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2471" w14:textId="77777777" w:rsidR="00737A99" w:rsidRPr="00CB2915" w:rsidRDefault="00EE20A8" w:rsidP="00CF5685">
      <w:pPr>
        <w:spacing w:after="3960"/>
        <w:jc w:val="right"/>
      </w:pPr>
      <w:r w:rsidRPr="00CB2915">
        <w:rPr>
          <w:noProof/>
        </w:rPr>
        <w:drawing>
          <wp:inline distT="0" distB="0" distL="0" distR="0" wp14:anchorId="4C842664" wp14:editId="04C1BB40">
            <wp:extent cx="1800225" cy="561975"/>
            <wp:effectExtent l="0" t="0" r="0" b="0"/>
            <wp:docPr id="1" name="Picture 60" descr="Melbourn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elbourne Water."/>
                    <pic:cNvPicPr>
                      <a:picLocks noChangeAspect="1" noChangeArrowheads="1"/>
                    </pic:cNvPicPr>
                  </pic:nvPicPr>
                  <pic:blipFill>
                    <a:blip r:embed="rId11">
                      <a:extLst>
                        <a:ext uri="{28A0092B-C50C-407E-A947-70E740481C1C}">
                          <a14:useLocalDpi xmlns:a14="http://schemas.microsoft.com/office/drawing/2010/main" val="0"/>
                        </a:ext>
                      </a:extLst>
                    </a:blip>
                    <a:srcRect r="31206"/>
                    <a:stretch>
                      <a:fillRect/>
                    </a:stretch>
                  </pic:blipFill>
                  <pic:spPr bwMode="auto">
                    <a:xfrm>
                      <a:off x="0" y="0"/>
                      <a:ext cx="1800225" cy="561975"/>
                    </a:xfrm>
                    <a:prstGeom prst="rect">
                      <a:avLst/>
                    </a:prstGeom>
                    <a:noFill/>
                    <a:ln>
                      <a:noFill/>
                    </a:ln>
                  </pic:spPr>
                </pic:pic>
              </a:graphicData>
            </a:graphic>
          </wp:inline>
        </w:drawing>
      </w:r>
      <w:r w:rsidRPr="00CB2915">
        <w:rPr>
          <w:noProof/>
        </w:rPr>
        <w:drawing>
          <wp:inline distT="0" distB="0" distL="0" distR="0" wp14:anchorId="17392F77" wp14:editId="07DE97F7">
            <wp:extent cx="981075" cy="571500"/>
            <wp:effectExtent l="0" t="0" r="0" b="0"/>
            <wp:docPr id="2" name="Picture 1"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Victoria State Government."/>
                    <pic:cNvPicPr>
                      <a:picLocks noChangeAspect="1" noChangeArrowheads="1"/>
                    </pic:cNvPicPr>
                  </pic:nvPicPr>
                  <pic:blipFill>
                    <a:blip r:embed="rId12">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981075" cy="571500"/>
                    </a:xfrm>
                    <a:prstGeom prst="rect">
                      <a:avLst/>
                    </a:prstGeom>
                    <a:noFill/>
                  </pic:spPr>
                </pic:pic>
              </a:graphicData>
            </a:graphic>
          </wp:inline>
        </w:drawing>
      </w:r>
    </w:p>
    <w:p w14:paraId="21D5F864" w14:textId="75EE4B96" w:rsidR="00AB71C8" w:rsidRPr="00AB71C8" w:rsidRDefault="00936E5E" w:rsidP="00D92E41">
      <w:pPr>
        <w:pStyle w:val="Title"/>
        <w:ind w:right="3572"/>
      </w:pPr>
      <w:r>
        <w:t xml:space="preserve">Melbourne Water </w:t>
      </w:r>
      <w:r w:rsidR="00EE2DC1">
        <w:t>Annual Report</w:t>
      </w:r>
    </w:p>
    <w:p w14:paraId="28A6D930" w14:textId="4D871CFE" w:rsidR="00AB71C8" w:rsidRDefault="00936E5E" w:rsidP="00AB71C8">
      <w:pPr>
        <w:pStyle w:val="Subtitle"/>
      </w:pPr>
      <w:r>
        <w:t>202</w:t>
      </w:r>
      <w:r w:rsidR="00EE2DC1">
        <w:t>0/21</w:t>
      </w:r>
    </w:p>
    <w:p w14:paraId="23E6DD82" w14:textId="77777777" w:rsidR="00D736A1" w:rsidRDefault="00D736A1" w:rsidP="00AB71C8">
      <w:pPr>
        <w:sectPr w:rsidR="00D736A1" w:rsidSect="00CF70F9">
          <w:footerReference w:type="default" r:id="rId13"/>
          <w:endnotePr>
            <w:numFmt w:val="decimal"/>
          </w:endnotePr>
          <w:type w:val="continuous"/>
          <w:pgSz w:w="11900" w:h="16840"/>
          <w:pgMar w:top="1134" w:right="851" w:bottom="1134" w:left="1418" w:header="709" w:footer="709" w:gutter="0"/>
          <w:cols w:space="708"/>
          <w:docGrid w:linePitch="360"/>
        </w:sectPr>
      </w:pPr>
    </w:p>
    <w:p w14:paraId="0CA91E58" w14:textId="77777777" w:rsidR="00056F67" w:rsidRDefault="00056F67" w:rsidP="00056F67">
      <w:pPr>
        <w:pStyle w:val="Heading1"/>
      </w:pPr>
      <w:bookmarkStart w:id="0" w:name="_Ref89719951"/>
      <w:bookmarkStart w:id="1" w:name="_Toc89722944"/>
      <w:bookmarkStart w:id="2" w:name="_Toc89723202"/>
      <w:bookmarkStart w:id="3" w:name="_Toc89723262"/>
      <w:bookmarkStart w:id="4" w:name="_Toc89860526"/>
      <w:bookmarkStart w:id="5" w:name="_Toc89860670"/>
      <w:bookmarkStart w:id="6" w:name="_Toc90325887"/>
      <w:bookmarkStart w:id="7" w:name="_Toc93659293"/>
      <w:r w:rsidRPr="00637658">
        <w:lastRenderedPageBreak/>
        <w:t>Our vision</w:t>
      </w:r>
      <w:bookmarkEnd w:id="0"/>
      <w:bookmarkEnd w:id="1"/>
      <w:bookmarkEnd w:id="2"/>
      <w:bookmarkEnd w:id="3"/>
      <w:bookmarkEnd w:id="4"/>
      <w:bookmarkEnd w:id="5"/>
      <w:bookmarkEnd w:id="6"/>
      <w:bookmarkEnd w:id="7"/>
    </w:p>
    <w:p w14:paraId="4EFDD8A8" w14:textId="77777777" w:rsidR="00056F67" w:rsidRPr="00096532" w:rsidRDefault="00056F67" w:rsidP="00096532">
      <w:pPr>
        <w:pStyle w:val="BodyText"/>
        <w:rPr>
          <w:rStyle w:val="Bold"/>
        </w:rPr>
      </w:pPr>
      <w:r w:rsidRPr="00096532">
        <w:rPr>
          <w:rStyle w:val="Bold"/>
        </w:rPr>
        <w:t>Enhancing Life and Liveability</w:t>
      </w:r>
    </w:p>
    <w:p w14:paraId="093756AB" w14:textId="44BB676B" w:rsidR="00056F67" w:rsidRDefault="00056F67" w:rsidP="00056F67">
      <w:pPr>
        <w:pStyle w:val="PullBox"/>
      </w:pPr>
      <w:r>
        <w:t>Water is central to life. It sustains the natural environment we live in, the communities we value and the economy we depend on.</w:t>
      </w:r>
    </w:p>
    <w:p w14:paraId="0A82A2F2" w14:textId="77777777" w:rsidR="00056F67" w:rsidRPr="00234701" w:rsidRDefault="00056F67" w:rsidP="00234701">
      <w:pPr>
        <w:pStyle w:val="BodyText"/>
        <w:rPr>
          <w:rStyle w:val="Bold"/>
        </w:rPr>
      </w:pPr>
      <w:r w:rsidRPr="00234701">
        <w:rPr>
          <w:rStyle w:val="Bold"/>
        </w:rPr>
        <w:t>Aboriginal Acknowledgement</w:t>
      </w:r>
    </w:p>
    <w:p w14:paraId="533FE04A" w14:textId="21CE6D31" w:rsidR="00056F67" w:rsidRDefault="00056F67" w:rsidP="00056F67">
      <w:pPr>
        <w:pStyle w:val="BodyText"/>
      </w:pPr>
      <w:r>
        <w:t>Melbourne Water respectfully acknowledges Aboriginal and Torres Strait Islander peoples as the Traditional Owners and custodians of the land and water on which all Australians rely. We pay our respects to Wurundjeri Woi Wurrung, Bunurong and Wadawurrung, their Elders past, present and future, as Traditional Owners and the custodians of the land and water on which we rely and operate.</w:t>
      </w:r>
    </w:p>
    <w:p w14:paraId="7B9C178C" w14:textId="6DE098EB" w:rsidR="00056F67" w:rsidRDefault="00056F67" w:rsidP="00056F67">
      <w:pPr>
        <w:pStyle w:val="BodyText"/>
      </w:pPr>
      <w:r>
        <w:t>We acknowledge and respect the continued cultural, social, economic and spiritual connections of all Aboriginal Victorians. We also acknowledge the broader Aboriginal and Torres Strait Islander community and their connections with lands and waters, and recognise and value their inherent responsibility to care for and protect them for thousands of generations.</w:t>
      </w:r>
    </w:p>
    <w:p w14:paraId="68C2B2B8" w14:textId="6E48A623" w:rsidR="00056F67" w:rsidRDefault="00056F67" w:rsidP="00056F67">
      <w:pPr>
        <w:pStyle w:val="BodyText"/>
      </w:pPr>
      <w:r>
        <w:t>Melbourne Water acknowledges Aboriginal Victorians as Traditional Owners and, in the spirit of reconciliation, we remain committed to developing partnerships with Traditional Owners to ensure meaningful, ongoing contributions to the future of land and water management.</w:t>
      </w:r>
    </w:p>
    <w:p w14:paraId="2076C977" w14:textId="77777777" w:rsidR="00056F67" w:rsidRPr="00234701" w:rsidRDefault="00056F67" w:rsidP="00234701">
      <w:pPr>
        <w:pStyle w:val="BodyText"/>
        <w:rPr>
          <w:rStyle w:val="Bold"/>
        </w:rPr>
      </w:pPr>
      <w:r w:rsidRPr="00234701">
        <w:rPr>
          <w:rStyle w:val="Bold"/>
        </w:rPr>
        <w:t>About this report</w:t>
      </w:r>
    </w:p>
    <w:p w14:paraId="0A70A716" w14:textId="5B776469" w:rsidR="00056F67" w:rsidRDefault="00056F67" w:rsidP="00056F67">
      <w:pPr>
        <w:pStyle w:val="BodyText"/>
      </w:pPr>
      <w:r>
        <w:t xml:space="preserve">The </w:t>
      </w:r>
      <w:r w:rsidRPr="007441E2">
        <w:rPr>
          <w:rStyle w:val="ItalicText"/>
        </w:rPr>
        <w:t>Melbourne Water Annual Report 2020-21</w:t>
      </w:r>
      <w:r>
        <w:t xml:space="preserve"> describes Melbourne Water activities undertaken between 1</w:t>
      </w:r>
      <w:r w:rsidR="00D92E41">
        <w:t> </w:t>
      </w:r>
      <w:r>
        <w:t>July 2020 and 30 June 2021 to meet our customers' needs, regulatory obligations and contribute towards achieving our vision of enhancing life and liveability.</w:t>
      </w:r>
    </w:p>
    <w:p w14:paraId="44D762AA" w14:textId="4DB23187" w:rsidR="00056F67" w:rsidRDefault="00056F67" w:rsidP="00056F67">
      <w:pPr>
        <w:pStyle w:val="BodyText"/>
      </w:pPr>
      <w:r>
        <w:t>Melbourne Water is a Victorian Government-owned statutory authority.</w:t>
      </w:r>
    </w:p>
    <w:p w14:paraId="2A1CB222" w14:textId="4ADAFB67" w:rsidR="00056F67" w:rsidRDefault="00056F67" w:rsidP="00056F67">
      <w:pPr>
        <w:pStyle w:val="BodyText"/>
      </w:pPr>
      <w:r>
        <w:t xml:space="preserve">As part of our commitment to sustainability, a limited number of copies of this report will be printed. An online version and accessible text format of this report are available on </w:t>
      </w:r>
      <w:hyperlink r:id="rId14" w:history="1">
        <w:r w:rsidR="00D92E41">
          <w:rPr>
            <w:rStyle w:val="Hyperlink"/>
          </w:rPr>
          <w:t>our website</w:t>
        </w:r>
      </w:hyperlink>
      <w:r>
        <w:rPr>
          <w:rStyle w:val="FootnoteReference"/>
        </w:rPr>
        <w:footnoteReference w:id="2"/>
      </w:r>
      <w:r>
        <w:t>.</w:t>
      </w:r>
    </w:p>
    <w:p w14:paraId="33CDB91B" w14:textId="3E1552B3" w:rsidR="00056F67" w:rsidRDefault="00056F67" w:rsidP="00056F67">
      <w:pPr>
        <w:pStyle w:val="BodyText"/>
      </w:pPr>
      <w:r>
        <w:t>If you would like a copy of this report in a different accessible format, please call Melbourne Water on 131</w:t>
      </w:r>
      <w:r w:rsidR="002B5BE2">
        <w:t> </w:t>
      </w:r>
      <w:r>
        <w:t xml:space="preserve">722 (within Victoria) or (03) 9679 7100 (outside Victoria), or email </w:t>
      </w:r>
      <w:hyperlink r:id="rId15" w:history="1">
        <w:r w:rsidRPr="00056F67">
          <w:rPr>
            <w:rStyle w:val="Hyperlink"/>
          </w:rPr>
          <w:t>enquiry@melbournewater.com.au</w:t>
        </w:r>
      </w:hyperlink>
    </w:p>
    <w:p w14:paraId="2EB11DA2" w14:textId="5E6A05A4" w:rsidR="00AD5FE9" w:rsidRDefault="005E3CDB" w:rsidP="003F4A13">
      <w:pPr>
        <w:pStyle w:val="TOCHeading"/>
      </w:pPr>
      <w:r>
        <w:lastRenderedPageBreak/>
        <w:t>Contents</w:t>
      </w:r>
    </w:p>
    <w:p w14:paraId="47D42DED" w14:textId="0A81AA33" w:rsidR="00926282" w:rsidRDefault="00E5679C">
      <w:pPr>
        <w:pStyle w:val="TOC1"/>
        <w:rPr>
          <w:rFonts w:asciiTheme="minorHAnsi" w:eastAsiaTheme="minorEastAsia" w:hAnsiTheme="minorHAnsi" w:cstheme="minorBidi"/>
          <w:sz w:val="22"/>
          <w:szCs w:val="22"/>
        </w:rPr>
      </w:pPr>
      <w:r>
        <w:rPr>
          <w:lang w:eastAsia="en-US"/>
        </w:rPr>
        <w:fldChar w:fldCharType="begin"/>
      </w:r>
      <w:r>
        <w:rPr>
          <w:lang w:eastAsia="en-US"/>
        </w:rPr>
        <w:instrText xml:space="preserve"> TOC \o "1-3" \h \z \u </w:instrText>
      </w:r>
      <w:r>
        <w:rPr>
          <w:lang w:eastAsia="en-US"/>
        </w:rPr>
        <w:fldChar w:fldCharType="separate"/>
      </w:r>
      <w:hyperlink w:anchor="_Toc93659293" w:history="1">
        <w:r w:rsidR="00926282" w:rsidRPr="006D3A22">
          <w:rPr>
            <w:rStyle w:val="Hyperlink"/>
          </w:rPr>
          <w:t>Our vision</w:t>
        </w:r>
        <w:r w:rsidR="00926282">
          <w:rPr>
            <w:webHidden/>
          </w:rPr>
          <w:tab/>
        </w:r>
        <w:r w:rsidR="00926282">
          <w:rPr>
            <w:webHidden/>
          </w:rPr>
          <w:fldChar w:fldCharType="begin"/>
        </w:r>
        <w:r w:rsidR="00926282">
          <w:rPr>
            <w:webHidden/>
          </w:rPr>
          <w:instrText xml:space="preserve"> PAGEREF _Toc93659293 \h </w:instrText>
        </w:r>
        <w:r w:rsidR="00926282">
          <w:rPr>
            <w:webHidden/>
          </w:rPr>
        </w:r>
        <w:r w:rsidR="00926282">
          <w:rPr>
            <w:webHidden/>
          </w:rPr>
          <w:fldChar w:fldCharType="separate"/>
        </w:r>
        <w:r w:rsidR="00926282">
          <w:rPr>
            <w:webHidden/>
          </w:rPr>
          <w:t>2</w:t>
        </w:r>
        <w:r w:rsidR="00926282">
          <w:rPr>
            <w:webHidden/>
          </w:rPr>
          <w:fldChar w:fldCharType="end"/>
        </w:r>
      </w:hyperlink>
    </w:p>
    <w:p w14:paraId="31F2BA62" w14:textId="6775FC3C" w:rsidR="00926282" w:rsidRDefault="00926282">
      <w:pPr>
        <w:pStyle w:val="TOC1"/>
        <w:rPr>
          <w:rFonts w:asciiTheme="minorHAnsi" w:eastAsiaTheme="minorEastAsia" w:hAnsiTheme="minorHAnsi" w:cstheme="minorBidi"/>
          <w:sz w:val="22"/>
          <w:szCs w:val="22"/>
        </w:rPr>
      </w:pPr>
      <w:hyperlink w:anchor="_Toc93659294" w:history="1">
        <w:r w:rsidRPr="006D3A22">
          <w:rPr>
            <w:rStyle w:val="Hyperlink"/>
          </w:rPr>
          <w:t>The Year in Review</w:t>
        </w:r>
        <w:r>
          <w:rPr>
            <w:webHidden/>
          </w:rPr>
          <w:tab/>
        </w:r>
        <w:r>
          <w:rPr>
            <w:webHidden/>
          </w:rPr>
          <w:fldChar w:fldCharType="begin"/>
        </w:r>
        <w:r>
          <w:rPr>
            <w:webHidden/>
          </w:rPr>
          <w:instrText xml:space="preserve"> PAGEREF _Toc93659294 \h </w:instrText>
        </w:r>
        <w:r>
          <w:rPr>
            <w:webHidden/>
          </w:rPr>
        </w:r>
        <w:r>
          <w:rPr>
            <w:webHidden/>
          </w:rPr>
          <w:fldChar w:fldCharType="separate"/>
        </w:r>
        <w:r>
          <w:rPr>
            <w:webHidden/>
          </w:rPr>
          <w:t>9</w:t>
        </w:r>
        <w:r>
          <w:rPr>
            <w:webHidden/>
          </w:rPr>
          <w:fldChar w:fldCharType="end"/>
        </w:r>
      </w:hyperlink>
    </w:p>
    <w:p w14:paraId="47E520E9" w14:textId="019DC632" w:rsidR="00926282" w:rsidRDefault="00926282">
      <w:pPr>
        <w:pStyle w:val="TOC2"/>
        <w:rPr>
          <w:rFonts w:asciiTheme="minorHAnsi" w:eastAsiaTheme="minorEastAsia" w:hAnsiTheme="minorHAnsi" w:cstheme="minorBidi"/>
          <w:noProof/>
          <w:color w:val="auto"/>
          <w:sz w:val="22"/>
          <w:szCs w:val="22"/>
        </w:rPr>
      </w:pPr>
      <w:hyperlink w:anchor="_Toc93659295" w:history="1">
        <w:r w:rsidRPr="006D3A22">
          <w:rPr>
            <w:rStyle w:val="Hyperlink"/>
            <w:noProof/>
          </w:rPr>
          <w:t>Report from the Chair and Managing Director</w:t>
        </w:r>
        <w:r>
          <w:rPr>
            <w:noProof/>
            <w:webHidden/>
          </w:rPr>
          <w:tab/>
        </w:r>
        <w:r>
          <w:rPr>
            <w:noProof/>
            <w:webHidden/>
          </w:rPr>
          <w:fldChar w:fldCharType="begin"/>
        </w:r>
        <w:r>
          <w:rPr>
            <w:noProof/>
            <w:webHidden/>
          </w:rPr>
          <w:instrText xml:space="preserve"> PAGEREF _Toc93659295 \h </w:instrText>
        </w:r>
        <w:r>
          <w:rPr>
            <w:noProof/>
            <w:webHidden/>
          </w:rPr>
        </w:r>
        <w:r>
          <w:rPr>
            <w:noProof/>
            <w:webHidden/>
          </w:rPr>
          <w:fldChar w:fldCharType="separate"/>
        </w:r>
        <w:r>
          <w:rPr>
            <w:noProof/>
            <w:webHidden/>
          </w:rPr>
          <w:t>9</w:t>
        </w:r>
        <w:r>
          <w:rPr>
            <w:noProof/>
            <w:webHidden/>
          </w:rPr>
          <w:fldChar w:fldCharType="end"/>
        </w:r>
      </w:hyperlink>
    </w:p>
    <w:p w14:paraId="3C2C6648" w14:textId="33A29ECD" w:rsidR="00926282" w:rsidRDefault="00926282">
      <w:pPr>
        <w:pStyle w:val="TOC1"/>
        <w:rPr>
          <w:rFonts w:asciiTheme="minorHAnsi" w:eastAsiaTheme="minorEastAsia" w:hAnsiTheme="minorHAnsi" w:cstheme="minorBidi"/>
          <w:sz w:val="22"/>
          <w:szCs w:val="22"/>
        </w:rPr>
      </w:pPr>
      <w:hyperlink w:anchor="_Toc93659296" w:history="1">
        <w:r w:rsidRPr="006D3A22">
          <w:rPr>
            <w:rStyle w:val="Hyperlink"/>
          </w:rPr>
          <w:t>Who We Are and How We Work</w:t>
        </w:r>
        <w:r>
          <w:rPr>
            <w:webHidden/>
          </w:rPr>
          <w:tab/>
        </w:r>
        <w:r>
          <w:rPr>
            <w:webHidden/>
          </w:rPr>
          <w:fldChar w:fldCharType="begin"/>
        </w:r>
        <w:r>
          <w:rPr>
            <w:webHidden/>
          </w:rPr>
          <w:instrText xml:space="preserve"> PAGEREF _Toc93659296 \h </w:instrText>
        </w:r>
        <w:r>
          <w:rPr>
            <w:webHidden/>
          </w:rPr>
        </w:r>
        <w:r>
          <w:rPr>
            <w:webHidden/>
          </w:rPr>
          <w:fldChar w:fldCharType="separate"/>
        </w:r>
        <w:r>
          <w:rPr>
            <w:webHidden/>
          </w:rPr>
          <w:t>12</w:t>
        </w:r>
        <w:r>
          <w:rPr>
            <w:webHidden/>
          </w:rPr>
          <w:fldChar w:fldCharType="end"/>
        </w:r>
      </w:hyperlink>
    </w:p>
    <w:p w14:paraId="0E5CB79E" w14:textId="1D2EF77C" w:rsidR="00926282" w:rsidRDefault="00926282">
      <w:pPr>
        <w:pStyle w:val="TOC2"/>
        <w:rPr>
          <w:rFonts w:asciiTheme="minorHAnsi" w:eastAsiaTheme="minorEastAsia" w:hAnsiTheme="minorHAnsi" w:cstheme="minorBidi"/>
          <w:noProof/>
          <w:color w:val="auto"/>
          <w:sz w:val="22"/>
          <w:szCs w:val="22"/>
        </w:rPr>
      </w:pPr>
      <w:hyperlink w:anchor="_Toc93659297" w:history="1">
        <w:r w:rsidRPr="006D3A22">
          <w:rPr>
            <w:rStyle w:val="Hyperlink"/>
            <w:noProof/>
          </w:rPr>
          <w:t>About Melbourne Water</w:t>
        </w:r>
        <w:r>
          <w:rPr>
            <w:noProof/>
            <w:webHidden/>
          </w:rPr>
          <w:tab/>
        </w:r>
        <w:r>
          <w:rPr>
            <w:noProof/>
            <w:webHidden/>
          </w:rPr>
          <w:fldChar w:fldCharType="begin"/>
        </w:r>
        <w:r>
          <w:rPr>
            <w:noProof/>
            <w:webHidden/>
          </w:rPr>
          <w:instrText xml:space="preserve"> PAGEREF _Toc93659297 \h </w:instrText>
        </w:r>
        <w:r>
          <w:rPr>
            <w:noProof/>
            <w:webHidden/>
          </w:rPr>
        </w:r>
        <w:r>
          <w:rPr>
            <w:noProof/>
            <w:webHidden/>
          </w:rPr>
          <w:fldChar w:fldCharType="separate"/>
        </w:r>
        <w:r>
          <w:rPr>
            <w:noProof/>
            <w:webHidden/>
          </w:rPr>
          <w:t>12</w:t>
        </w:r>
        <w:r>
          <w:rPr>
            <w:noProof/>
            <w:webHidden/>
          </w:rPr>
          <w:fldChar w:fldCharType="end"/>
        </w:r>
      </w:hyperlink>
    </w:p>
    <w:p w14:paraId="15FCEB9D" w14:textId="33BFF96E" w:rsidR="00926282" w:rsidRDefault="00926282">
      <w:pPr>
        <w:pStyle w:val="TOC3"/>
        <w:rPr>
          <w:rFonts w:asciiTheme="minorHAnsi" w:eastAsiaTheme="minorEastAsia" w:hAnsiTheme="minorHAnsi" w:cstheme="minorBidi"/>
          <w:color w:val="auto"/>
          <w:sz w:val="22"/>
          <w:szCs w:val="22"/>
        </w:rPr>
      </w:pPr>
      <w:hyperlink w:anchor="_Toc93659298" w:history="1">
        <w:r w:rsidRPr="006D3A22">
          <w:rPr>
            <w:rStyle w:val="Hyperlink"/>
          </w:rPr>
          <w:t>Our Vision and Strategic Direction</w:t>
        </w:r>
        <w:r>
          <w:rPr>
            <w:webHidden/>
          </w:rPr>
          <w:tab/>
        </w:r>
        <w:r>
          <w:rPr>
            <w:webHidden/>
          </w:rPr>
          <w:fldChar w:fldCharType="begin"/>
        </w:r>
        <w:r>
          <w:rPr>
            <w:webHidden/>
          </w:rPr>
          <w:instrText xml:space="preserve"> PAGEREF _Toc93659298 \h </w:instrText>
        </w:r>
        <w:r>
          <w:rPr>
            <w:webHidden/>
          </w:rPr>
        </w:r>
        <w:r>
          <w:rPr>
            <w:webHidden/>
          </w:rPr>
          <w:fldChar w:fldCharType="separate"/>
        </w:r>
        <w:r>
          <w:rPr>
            <w:webHidden/>
          </w:rPr>
          <w:t>12</w:t>
        </w:r>
        <w:r>
          <w:rPr>
            <w:webHidden/>
          </w:rPr>
          <w:fldChar w:fldCharType="end"/>
        </w:r>
      </w:hyperlink>
    </w:p>
    <w:p w14:paraId="22E796E4" w14:textId="2A0A3731" w:rsidR="00926282" w:rsidRDefault="00926282">
      <w:pPr>
        <w:pStyle w:val="TOC3"/>
        <w:rPr>
          <w:rFonts w:asciiTheme="minorHAnsi" w:eastAsiaTheme="minorEastAsia" w:hAnsiTheme="minorHAnsi" w:cstheme="minorBidi"/>
          <w:color w:val="auto"/>
          <w:sz w:val="22"/>
          <w:szCs w:val="22"/>
        </w:rPr>
      </w:pPr>
      <w:hyperlink w:anchor="_Toc93659299" w:history="1">
        <w:r w:rsidRPr="006D3A22">
          <w:rPr>
            <w:rStyle w:val="Hyperlink"/>
          </w:rPr>
          <w:t>Delivering the Victorian Government’s plan for water</w:t>
        </w:r>
        <w:r>
          <w:rPr>
            <w:webHidden/>
          </w:rPr>
          <w:tab/>
        </w:r>
        <w:r>
          <w:rPr>
            <w:webHidden/>
          </w:rPr>
          <w:fldChar w:fldCharType="begin"/>
        </w:r>
        <w:r>
          <w:rPr>
            <w:webHidden/>
          </w:rPr>
          <w:instrText xml:space="preserve"> PAGEREF _Toc93659299 \h </w:instrText>
        </w:r>
        <w:r>
          <w:rPr>
            <w:webHidden/>
          </w:rPr>
        </w:r>
        <w:r>
          <w:rPr>
            <w:webHidden/>
          </w:rPr>
          <w:fldChar w:fldCharType="separate"/>
        </w:r>
        <w:r>
          <w:rPr>
            <w:webHidden/>
          </w:rPr>
          <w:t>13</w:t>
        </w:r>
        <w:r>
          <w:rPr>
            <w:webHidden/>
          </w:rPr>
          <w:fldChar w:fldCharType="end"/>
        </w:r>
      </w:hyperlink>
    </w:p>
    <w:p w14:paraId="29946CCA" w14:textId="478651E9" w:rsidR="00926282" w:rsidRDefault="00926282">
      <w:pPr>
        <w:pStyle w:val="TOC2"/>
        <w:rPr>
          <w:rFonts w:asciiTheme="minorHAnsi" w:eastAsiaTheme="minorEastAsia" w:hAnsiTheme="minorHAnsi" w:cstheme="minorBidi"/>
          <w:noProof/>
          <w:color w:val="auto"/>
          <w:sz w:val="22"/>
          <w:szCs w:val="22"/>
        </w:rPr>
      </w:pPr>
      <w:hyperlink w:anchor="_Toc93659300" w:history="1">
        <w:r w:rsidRPr="006D3A22">
          <w:rPr>
            <w:rStyle w:val="Hyperlink"/>
            <w:noProof/>
          </w:rPr>
          <w:t>Our strategic performance</w:t>
        </w:r>
        <w:r>
          <w:rPr>
            <w:noProof/>
            <w:webHidden/>
          </w:rPr>
          <w:tab/>
        </w:r>
        <w:r>
          <w:rPr>
            <w:noProof/>
            <w:webHidden/>
          </w:rPr>
          <w:fldChar w:fldCharType="begin"/>
        </w:r>
        <w:r>
          <w:rPr>
            <w:noProof/>
            <w:webHidden/>
          </w:rPr>
          <w:instrText xml:space="preserve"> PAGEREF _Toc93659300 \h </w:instrText>
        </w:r>
        <w:r>
          <w:rPr>
            <w:noProof/>
            <w:webHidden/>
          </w:rPr>
        </w:r>
        <w:r>
          <w:rPr>
            <w:noProof/>
            <w:webHidden/>
          </w:rPr>
          <w:fldChar w:fldCharType="separate"/>
        </w:r>
        <w:r>
          <w:rPr>
            <w:noProof/>
            <w:webHidden/>
          </w:rPr>
          <w:t>13</w:t>
        </w:r>
        <w:r>
          <w:rPr>
            <w:noProof/>
            <w:webHidden/>
          </w:rPr>
          <w:fldChar w:fldCharType="end"/>
        </w:r>
      </w:hyperlink>
    </w:p>
    <w:p w14:paraId="3E1E518E" w14:textId="2AF23C33" w:rsidR="00926282" w:rsidRDefault="00926282">
      <w:pPr>
        <w:pStyle w:val="TOC3"/>
        <w:rPr>
          <w:rFonts w:asciiTheme="minorHAnsi" w:eastAsiaTheme="minorEastAsia" w:hAnsiTheme="minorHAnsi" w:cstheme="minorBidi"/>
          <w:color w:val="auto"/>
          <w:sz w:val="22"/>
          <w:szCs w:val="22"/>
        </w:rPr>
      </w:pPr>
      <w:hyperlink w:anchor="_Toc93659301" w:history="1">
        <w:r w:rsidRPr="006D3A22">
          <w:rPr>
            <w:rStyle w:val="Hyperlink"/>
          </w:rPr>
          <w:t>The Sustainable Development Goals</w:t>
        </w:r>
        <w:r>
          <w:rPr>
            <w:webHidden/>
          </w:rPr>
          <w:tab/>
        </w:r>
        <w:r>
          <w:rPr>
            <w:webHidden/>
          </w:rPr>
          <w:fldChar w:fldCharType="begin"/>
        </w:r>
        <w:r>
          <w:rPr>
            <w:webHidden/>
          </w:rPr>
          <w:instrText xml:space="preserve"> PAGEREF _Toc93659301 \h </w:instrText>
        </w:r>
        <w:r>
          <w:rPr>
            <w:webHidden/>
          </w:rPr>
        </w:r>
        <w:r>
          <w:rPr>
            <w:webHidden/>
          </w:rPr>
          <w:fldChar w:fldCharType="separate"/>
        </w:r>
        <w:r>
          <w:rPr>
            <w:webHidden/>
          </w:rPr>
          <w:t>13</w:t>
        </w:r>
        <w:r>
          <w:rPr>
            <w:webHidden/>
          </w:rPr>
          <w:fldChar w:fldCharType="end"/>
        </w:r>
      </w:hyperlink>
    </w:p>
    <w:p w14:paraId="2C2B9C10" w14:textId="123FE22D" w:rsidR="00926282" w:rsidRDefault="00926282">
      <w:pPr>
        <w:pStyle w:val="TOC3"/>
        <w:rPr>
          <w:rFonts w:asciiTheme="minorHAnsi" w:eastAsiaTheme="minorEastAsia" w:hAnsiTheme="minorHAnsi" w:cstheme="minorBidi"/>
          <w:color w:val="auto"/>
          <w:sz w:val="22"/>
          <w:szCs w:val="22"/>
        </w:rPr>
      </w:pPr>
      <w:hyperlink w:anchor="_Toc93659302" w:history="1">
        <w:r w:rsidRPr="006D3A22">
          <w:rPr>
            <w:rStyle w:val="Hyperlink"/>
          </w:rPr>
          <w:t>Our future focus</w:t>
        </w:r>
        <w:r>
          <w:rPr>
            <w:webHidden/>
          </w:rPr>
          <w:tab/>
        </w:r>
        <w:r>
          <w:rPr>
            <w:webHidden/>
          </w:rPr>
          <w:fldChar w:fldCharType="begin"/>
        </w:r>
        <w:r>
          <w:rPr>
            <w:webHidden/>
          </w:rPr>
          <w:instrText xml:space="preserve"> PAGEREF _Toc93659302 \h </w:instrText>
        </w:r>
        <w:r>
          <w:rPr>
            <w:webHidden/>
          </w:rPr>
        </w:r>
        <w:r>
          <w:rPr>
            <w:webHidden/>
          </w:rPr>
          <w:fldChar w:fldCharType="separate"/>
        </w:r>
        <w:r>
          <w:rPr>
            <w:webHidden/>
          </w:rPr>
          <w:t>14</w:t>
        </w:r>
        <w:r>
          <w:rPr>
            <w:webHidden/>
          </w:rPr>
          <w:fldChar w:fldCharType="end"/>
        </w:r>
      </w:hyperlink>
    </w:p>
    <w:p w14:paraId="200EE5BC" w14:textId="459B53B9" w:rsidR="00926282" w:rsidRDefault="00926282">
      <w:pPr>
        <w:pStyle w:val="TOC3"/>
        <w:rPr>
          <w:rFonts w:asciiTheme="minorHAnsi" w:eastAsiaTheme="minorEastAsia" w:hAnsiTheme="minorHAnsi" w:cstheme="minorBidi"/>
          <w:color w:val="auto"/>
          <w:sz w:val="22"/>
          <w:szCs w:val="22"/>
        </w:rPr>
      </w:pPr>
      <w:hyperlink w:anchor="_Toc93659303" w:history="1">
        <w:r w:rsidRPr="006D3A22">
          <w:rPr>
            <w:rStyle w:val="Hyperlink"/>
          </w:rPr>
          <w:t>Sustainable Development Goals</w:t>
        </w:r>
        <w:r>
          <w:rPr>
            <w:webHidden/>
          </w:rPr>
          <w:tab/>
        </w:r>
        <w:r>
          <w:rPr>
            <w:webHidden/>
          </w:rPr>
          <w:fldChar w:fldCharType="begin"/>
        </w:r>
        <w:r>
          <w:rPr>
            <w:webHidden/>
          </w:rPr>
          <w:instrText xml:space="preserve"> PAGEREF _Toc93659303 \h </w:instrText>
        </w:r>
        <w:r>
          <w:rPr>
            <w:webHidden/>
          </w:rPr>
        </w:r>
        <w:r>
          <w:rPr>
            <w:webHidden/>
          </w:rPr>
          <w:fldChar w:fldCharType="separate"/>
        </w:r>
        <w:r>
          <w:rPr>
            <w:webHidden/>
          </w:rPr>
          <w:t>14</w:t>
        </w:r>
        <w:r>
          <w:rPr>
            <w:webHidden/>
          </w:rPr>
          <w:fldChar w:fldCharType="end"/>
        </w:r>
      </w:hyperlink>
    </w:p>
    <w:p w14:paraId="7690218E" w14:textId="4B23329F" w:rsidR="00926282" w:rsidRDefault="00926282">
      <w:pPr>
        <w:pStyle w:val="TOC2"/>
        <w:rPr>
          <w:rFonts w:asciiTheme="minorHAnsi" w:eastAsiaTheme="minorEastAsia" w:hAnsiTheme="minorHAnsi" w:cstheme="minorBidi"/>
          <w:noProof/>
          <w:color w:val="auto"/>
          <w:sz w:val="22"/>
          <w:szCs w:val="22"/>
        </w:rPr>
      </w:pPr>
      <w:hyperlink w:anchor="_Toc93659304" w:history="1">
        <w:r w:rsidRPr="006D3A22">
          <w:rPr>
            <w:rStyle w:val="Hyperlink"/>
            <w:noProof/>
          </w:rPr>
          <w:t>Operating Environment: COVID</w:t>
        </w:r>
        <w:r w:rsidRPr="006D3A22">
          <w:rPr>
            <w:rStyle w:val="Hyperlink"/>
            <w:noProof/>
          </w:rPr>
          <w:noBreakHyphen/>
          <w:t>19</w:t>
        </w:r>
        <w:r>
          <w:rPr>
            <w:noProof/>
            <w:webHidden/>
          </w:rPr>
          <w:tab/>
        </w:r>
        <w:r>
          <w:rPr>
            <w:noProof/>
            <w:webHidden/>
          </w:rPr>
          <w:fldChar w:fldCharType="begin"/>
        </w:r>
        <w:r>
          <w:rPr>
            <w:noProof/>
            <w:webHidden/>
          </w:rPr>
          <w:instrText xml:space="preserve"> PAGEREF _Toc93659304 \h </w:instrText>
        </w:r>
        <w:r>
          <w:rPr>
            <w:noProof/>
            <w:webHidden/>
          </w:rPr>
        </w:r>
        <w:r>
          <w:rPr>
            <w:noProof/>
            <w:webHidden/>
          </w:rPr>
          <w:fldChar w:fldCharType="separate"/>
        </w:r>
        <w:r>
          <w:rPr>
            <w:noProof/>
            <w:webHidden/>
          </w:rPr>
          <w:t>14</w:t>
        </w:r>
        <w:r>
          <w:rPr>
            <w:noProof/>
            <w:webHidden/>
          </w:rPr>
          <w:fldChar w:fldCharType="end"/>
        </w:r>
      </w:hyperlink>
    </w:p>
    <w:p w14:paraId="126430A3" w14:textId="1FE4AF34" w:rsidR="00926282" w:rsidRDefault="00926282">
      <w:pPr>
        <w:pStyle w:val="TOC1"/>
        <w:rPr>
          <w:rFonts w:asciiTheme="minorHAnsi" w:eastAsiaTheme="minorEastAsia" w:hAnsiTheme="minorHAnsi" w:cstheme="minorBidi"/>
          <w:sz w:val="22"/>
          <w:szCs w:val="22"/>
        </w:rPr>
      </w:pPr>
      <w:hyperlink w:anchor="_Toc93659305" w:history="1">
        <w:r w:rsidRPr="006D3A22">
          <w:rPr>
            <w:rStyle w:val="Hyperlink"/>
          </w:rPr>
          <w:t>Delivering Valued Services</w:t>
        </w:r>
        <w:r>
          <w:rPr>
            <w:webHidden/>
          </w:rPr>
          <w:tab/>
        </w:r>
        <w:r>
          <w:rPr>
            <w:webHidden/>
          </w:rPr>
          <w:fldChar w:fldCharType="begin"/>
        </w:r>
        <w:r>
          <w:rPr>
            <w:webHidden/>
          </w:rPr>
          <w:instrText xml:space="preserve"> PAGEREF _Toc93659305 \h </w:instrText>
        </w:r>
        <w:r>
          <w:rPr>
            <w:webHidden/>
          </w:rPr>
        </w:r>
        <w:r>
          <w:rPr>
            <w:webHidden/>
          </w:rPr>
          <w:fldChar w:fldCharType="separate"/>
        </w:r>
        <w:r>
          <w:rPr>
            <w:webHidden/>
          </w:rPr>
          <w:t>20</w:t>
        </w:r>
        <w:r>
          <w:rPr>
            <w:webHidden/>
          </w:rPr>
          <w:fldChar w:fldCharType="end"/>
        </w:r>
      </w:hyperlink>
    </w:p>
    <w:p w14:paraId="28AA8DFF" w14:textId="720E2ECD" w:rsidR="00926282" w:rsidRDefault="00926282">
      <w:pPr>
        <w:pStyle w:val="TOC2"/>
        <w:rPr>
          <w:rFonts w:asciiTheme="minorHAnsi" w:eastAsiaTheme="minorEastAsia" w:hAnsiTheme="minorHAnsi" w:cstheme="minorBidi"/>
          <w:noProof/>
          <w:color w:val="auto"/>
          <w:sz w:val="22"/>
          <w:szCs w:val="22"/>
        </w:rPr>
      </w:pPr>
      <w:hyperlink w:anchor="_Toc93659306" w:history="1">
        <w:r w:rsidRPr="006D3A22">
          <w:rPr>
            <w:rStyle w:val="Hyperlink"/>
            <w:noProof/>
          </w:rPr>
          <w:t>Supply of Water Products</w:t>
        </w:r>
        <w:r>
          <w:rPr>
            <w:noProof/>
            <w:webHidden/>
          </w:rPr>
          <w:tab/>
        </w:r>
        <w:r>
          <w:rPr>
            <w:noProof/>
            <w:webHidden/>
          </w:rPr>
          <w:fldChar w:fldCharType="begin"/>
        </w:r>
        <w:r>
          <w:rPr>
            <w:noProof/>
            <w:webHidden/>
          </w:rPr>
          <w:instrText xml:space="preserve"> PAGEREF _Toc93659306 \h </w:instrText>
        </w:r>
        <w:r>
          <w:rPr>
            <w:noProof/>
            <w:webHidden/>
          </w:rPr>
        </w:r>
        <w:r>
          <w:rPr>
            <w:noProof/>
            <w:webHidden/>
          </w:rPr>
          <w:fldChar w:fldCharType="separate"/>
        </w:r>
        <w:r>
          <w:rPr>
            <w:noProof/>
            <w:webHidden/>
          </w:rPr>
          <w:t>20</w:t>
        </w:r>
        <w:r>
          <w:rPr>
            <w:noProof/>
            <w:webHidden/>
          </w:rPr>
          <w:fldChar w:fldCharType="end"/>
        </w:r>
      </w:hyperlink>
    </w:p>
    <w:p w14:paraId="32162CA1" w14:textId="756C0291" w:rsidR="00926282" w:rsidRDefault="00926282">
      <w:pPr>
        <w:pStyle w:val="TOC3"/>
        <w:rPr>
          <w:rFonts w:asciiTheme="minorHAnsi" w:eastAsiaTheme="minorEastAsia" w:hAnsiTheme="minorHAnsi" w:cstheme="minorBidi"/>
          <w:color w:val="auto"/>
          <w:sz w:val="22"/>
          <w:szCs w:val="22"/>
        </w:rPr>
      </w:pPr>
      <w:hyperlink w:anchor="_Toc93659307" w:history="1">
        <w:r w:rsidRPr="006D3A22">
          <w:rPr>
            <w:rStyle w:val="Hyperlink"/>
          </w:rPr>
          <w:t>Our Approach</w:t>
        </w:r>
        <w:r>
          <w:rPr>
            <w:webHidden/>
          </w:rPr>
          <w:tab/>
        </w:r>
        <w:r>
          <w:rPr>
            <w:webHidden/>
          </w:rPr>
          <w:fldChar w:fldCharType="begin"/>
        </w:r>
        <w:r>
          <w:rPr>
            <w:webHidden/>
          </w:rPr>
          <w:instrText xml:space="preserve"> PAGEREF _Toc93659307 \h </w:instrText>
        </w:r>
        <w:r>
          <w:rPr>
            <w:webHidden/>
          </w:rPr>
        </w:r>
        <w:r>
          <w:rPr>
            <w:webHidden/>
          </w:rPr>
          <w:fldChar w:fldCharType="separate"/>
        </w:r>
        <w:r>
          <w:rPr>
            <w:webHidden/>
          </w:rPr>
          <w:t>20</w:t>
        </w:r>
        <w:r>
          <w:rPr>
            <w:webHidden/>
          </w:rPr>
          <w:fldChar w:fldCharType="end"/>
        </w:r>
      </w:hyperlink>
    </w:p>
    <w:p w14:paraId="17BAF0C9" w14:textId="719FCAEB" w:rsidR="00926282" w:rsidRDefault="00926282">
      <w:pPr>
        <w:pStyle w:val="TOC3"/>
        <w:rPr>
          <w:rFonts w:asciiTheme="minorHAnsi" w:eastAsiaTheme="minorEastAsia" w:hAnsiTheme="minorHAnsi" w:cstheme="minorBidi"/>
          <w:color w:val="auto"/>
          <w:sz w:val="22"/>
          <w:szCs w:val="22"/>
        </w:rPr>
      </w:pPr>
      <w:hyperlink w:anchor="_Toc93659308" w:history="1">
        <w:r w:rsidRPr="006D3A22">
          <w:rPr>
            <w:rStyle w:val="Hyperlink"/>
          </w:rPr>
          <w:t>Central and Gippsland Region Sustainable Water Strategy</w:t>
        </w:r>
        <w:r>
          <w:rPr>
            <w:webHidden/>
          </w:rPr>
          <w:tab/>
        </w:r>
        <w:r>
          <w:rPr>
            <w:webHidden/>
          </w:rPr>
          <w:fldChar w:fldCharType="begin"/>
        </w:r>
        <w:r>
          <w:rPr>
            <w:webHidden/>
          </w:rPr>
          <w:instrText xml:space="preserve"> PAGEREF _Toc93659308 \h </w:instrText>
        </w:r>
        <w:r>
          <w:rPr>
            <w:webHidden/>
          </w:rPr>
        </w:r>
        <w:r>
          <w:rPr>
            <w:webHidden/>
          </w:rPr>
          <w:fldChar w:fldCharType="separate"/>
        </w:r>
        <w:r>
          <w:rPr>
            <w:webHidden/>
          </w:rPr>
          <w:t>20</w:t>
        </w:r>
        <w:r>
          <w:rPr>
            <w:webHidden/>
          </w:rPr>
          <w:fldChar w:fldCharType="end"/>
        </w:r>
      </w:hyperlink>
    </w:p>
    <w:p w14:paraId="79B40FC1" w14:textId="0179A9CA" w:rsidR="00926282" w:rsidRDefault="00926282">
      <w:pPr>
        <w:pStyle w:val="TOC3"/>
        <w:rPr>
          <w:rFonts w:asciiTheme="minorHAnsi" w:eastAsiaTheme="minorEastAsia" w:hAnsiTheme="minorHAnsi" w:cstheme="minorBidi"/>
          <w:color w:val="auto"/>
          <w:sz w:val="22"/>
          <w:szCs w:val="22"/>
        </w:rPr>
      </w:pPr>
      <w:hyperlink w:anchor="_Toc93659309" w:history="1">
        <w:r w:rsidRPr="006D3A22">
          <w:rPr>
            <w:rStyle w:val="Hyperlink"/>
          </w:rPr>
          <w:t>Planning for a secure water future</w:t>
        </w:r>
        <w:r>
          <w:rPr>
            <w:webHidden/>
          </w:rPr>
          <w:tab/>
        </w:r>
        <w:r>
          <w:rPr>
            <w:webHidden/>
          </w:rPr>
          <w:fldChar w:fldCharType="begin"/>
        </w:r>
        <w:r>
          <w:rPr>
            <w:webHidden/>
          </w:rPr>
          <w:instrText xml:space="preserve"> PAGEREF _Toc93659309 \h </w:instrText>
        </w:r>
        <w:r>
          <w:rPr>
            <w:webHidden/>
          </w:rPr>
        </w:r>
        <w:r>
          <w:rPr>
            <w:webHidden/>
          </w:rPr>
          <w:fldChar w:fldCharType="separate"/>
        </w:r>
        <w:r>
          <w:rPr>
            <w:webHidden/>
          </w:rPr>
          <w:t>21</w:t>
        </w:r>
        <w:r>
          <w:rPr>
            <w:webHidden/>
          </w:rPr>
          <w:fldChar w:fldCharType="end"/>
        </w:r>
      </w:hyperlink>
    </w:p>
    <w:p w14:paraId="0BCD5CEC" w14:textId="1D3A18F3" w:rsidR="00926282" w:rsidRDefault="00926282">
      <w:pPr>
        <w:pStyle w:val="TOC3"/>
        <w:rPr>
          <w:rFonts w:asciiTheme="minorHAnsi" w:eastAsiaTheme="minorEastAsia" w:hAnsiTheme="minorHAnsi" w:cstheme="minorBidi"/>
          <w:color w:val="auto"/>
          <w:sz w:val="22"/>
          <w:szCs w:val="22"/>
        </w:rPr>
      </w:pPr>
      <w:hyperlink w:anchor="_Toc93659310" w:history="1">
        <w:r w:rsidRPr="006D3A22">
          <w:rPr>
            <w:rStyle w:val="Hyperlink"/>
          </w:rPr>
          <w:t>Water transfer network automation</w:t>
        </w:r>
        <w:r>
          <w:rPr>
            <w:webHidden/>
          </w:rPr>
          <w:tab/>
        </w:r>
        <w:r>
          <w:rPr>
            <w:webHidden/>
          </w:rPr>
          <w:fldChar w:fldCharType="begin"/>
        </w:r>
        <w:r>
          <w:rPr>
            <w:webHidden/>
          </w:rPr>
          <w:instrText xml:space="preserve"> PAGEREF _Toc93659310 \h </w:instrText>
        </w:r>
        <w:r>
          <w:rPr>
            <w:webHidden/>
          </w:rPr>
        </w:r>
        <w:r>
          <w:rPr>
            <w:webHidden/>
          </w:rPr>
          <w:fldChar w:fldCharType="separate"/>
        </w:r>
        <w:r>
          <w:rPr>
            <w:webHidden/>
          </w:rPr>
          <w:t>21</w:t>
        </w:r>
        <w:r>
          <w:rPr>
            <w:webHidden/>
          </w:rPr>
          <w:fldChar w:fldCharType="end"/>
        </w:r>
      </w:hyperlink>
    </w:p>
    <w:p w14:paraId="60727C4F" w14:textId="281A3774" w:rsidR="00926282" w:rsidRDefault="00926282">
      <w:pPr>
        <w:pStyle w:val="TOC3"/>
        <w:rPr>
          <w:rFonts w:asciiTheme="minorHAnsi" w:eastAsiaTheme="minorEastAsia" w:hAnsiTheme="minorHAnsi" w:cstheme="minorBidi"/>
          <w:color w:val="auto"/>
          <w:sz w:val="22"/>
          <w:szCs w:val="22"/>
        </w:rPr>
      </w:pPr>
      <w:hyperlink w:anchor="_Toc93659311" w:history="1">
        <w:r w:rsidRPr="006D3A22">
          <w:rPr>
            <w:rStyle w:val="Hyperlink"/>
          </w:rPr>
          <w:t>Managing water supply</w:t>
        </w:r>
        <w:r>
          <w:rPr>
            <w:webHidden/>
          </w:rPr>
          <w:tab/>
        </w:r>
        <w:r>
          <w:rPr>
            <w:webHidden/>
          </w:rPr>
          <w:fldChar w:fldCharType="begin"/>
        </w:r>
        <w:r>
          <w:rPr>
            <w:webHidden/>
          </w:rPr>
          <w:instrText xml:space="preserve"> PAGEREF _Toc93659311 \h </w:instrText>
        </w:r>
        <w:r>
          <w:rPr>
            <w:webHidden/>
          </w:rPr>
        </w:r>
        <w:r>
          <w:rPr>
            <w:webHidden/>
          </w:rPr>
          <w:fldChar w:fldCharType="separate"/>
        </w:r>
        <w:r>
          <w:rPr>
            <w:webHidden/>
          </w:rPr>
          <w:t>21</w:t>
        </w:r>
        <w:r>
          <w:rPr>
            <w:webHidden/>
          </w:rPr>
          <w:fldChar w:fldCharType="end"/>
        </w:r>
      </w:hyperlink>
    </w:p>
    <w:p w14:paraId="2317D3D8" w14:textId="5A10D4A2" w:rsidR="00926282" w:rsidRDefault="00926282">
      <w:pPr>
        <w:pStyle w:val="TOC3"/>
        <w:rPr>
          <w:rFonts w:asciiTheme="minorHAnsi" w:eastAsiaTheme="minorEastAsia" w:hAnsiTheme="minorHAnsi" w:cstheme="minorBidi"/>
          <w:color w:val="auto"/>
          <w:sz w:val="22"/>
          <w:szCs w:val="22"/>
        </w:rPr>
      </w:pPr>
      <w:hyperlink w:anchor="_Toc93659312" w:history="1">
        <w:r w:rsidRPr="006D3A22">
          <w:rPr>
            <w:rStyle w:val="Hyperlink"/>
          </w:rPr>
          <w:t>Water from the Victorian Desalination Plant</w:t>
        </w:r>
        <w:r>
          <w:rPr>
            <w:webHidden/>
          </w:rPr>
          <w:tab/>
        </w:r>
        <w:r>
          <w:rPr>
            <w:webHidden/>
          </w:rPr>
          <w:fldChar w:fldCharType="begin"/>
        </w:r>
        <w:r>
          <w:rPr>
            <w:webHidden/>
          </w:rPr>
          <w:instrText xml:space="preserve"> PAGEREF _Toc93659312 \h </w:instrText>
        </w:r>
        <w:r>
          <w:rPr>
            <w:webHidden/>
          </w:rPr>
        </w:r>
        <w:r>
          <w:rPr>
            <w:webHidden/>
          </w:rPr>
          <w:fldChar w:fldCharType="separate"/>
        </w:r>
        <w:r>
          <w:rPr>
            <w:webHidden/>
          </w:rPr>
          <w:t>24</w:t>
        </w:r>
        <w:r>
          <w:rPr>
            <w:webHidden/>
          </w:rPr>
          <w:fldChar w:fldCharType="end"/>
        </w:r>
      </w:hyperlink>
    </w:p>
    <w:p w14:paraId="6426C395" w14:textId="7DD0E122" w:rsidR="00926282" w:rsidRDefault="00926282">
      <w:pPr>
        <w:pStyle w:val="TOC3"/>
        <w:rPr>
          <w:rFonts w:asciiTheme="minorHAnsi" w:eastAsiaTheme="minorEastAsia" w:hAnsiTheme="minorHAnsi" w:cstheme="minorBidi"/>
          <w:color w:val="auto"/>
          <w:sz w:val="22"/>
          <w:szCs w:val="22"/>
        </w:rPr>
      </w:pPr>
      <w:hyperlink w:anchor="_Toc93659313" w:history="1">
        <w:r w:rsidRPr="006D3A22">
          <w:rPr>
            <w:rStyle w:val="Hyperlink"/>
          </w:rPr>
          <w:t>Supplying our customers</w:t>
        </w:r>
        <w:r>
          <w:rPr>
            <w:webHidden/>
          </w:rPr>
          <w:tab/>
        </w:r>
        <w:r>
          <w:rPr>
            <w:webHidden/>
          </w:rPr>
          <w:fldChar w:fldCharType="begin"/>
        </w:r>
        <w:r>
          <w:rPr>
            <w:webHidden/>
          </w:rPr>
          <w:instrText xml:space="preserve"> PAGEREF _Toc93659313 \h </w:instrText>
        </w:r>
        <w:r>
          <w:rPr>
            <w:webHidden/>
          </w:rPr>
        </w:r>
        <w:r>
          <w:rPr>
            <w:webHidden/>
          </w:rPr>
          <w:fldChar w:fldCharType="separate"/>
        </w:r>
        <w:r>
          <w:rPr>
            <w:webHidden/>
          </w:rPr>
          <w:t>24</w:t>
        </w:r>
        <w:r>
          <w:rPr>
            <w:webHidden/>
          </w:rPr>
          <w:fldChar w:fldCharType="end"/>
        </w:r>
      </w:hyperlink>
    </w:p>
    <w:p w14:paraId="3E2A1B39" w14:textId="501F7ACA" w:rsidR="00926282" w:rsidRDefault="00926282">
      <w:pPr>
        <w:pStyle w:val="TOC3"/>
        <w:rPr>
          <w:rFonts w:asciiTheme="minorHAnsi" w:eastAsiaTheme="minorEastAsia" w:hAnsiTheme="minorHAnsi" w:cstheme="minorBidi"/>
          <w:color w:val="auto"/>
          <w:sz w:val="22"/>
          <w:szCs w:val="22"/>
        </w:rPr>
      </w:pPr>
      <w:hyperlink w:anchor="_Toc93659314" w:history="1">
        <w:r w:rsidRPr="006D3A22">
          <w:rPr>
            <w:rStyle w:val="Hyperlink"/>
          </w:rPr>
          <w:t>Water consumption</w:t>
        </w:r>
        <w:r>
          <w:rPr>
            <w:webHidden/>
          </w:rPr>
          <w:tab/>
        </w:r>
        <w:r>
          <w:rPr>
            <w:webHidden/>
          </w:rPr>
          <w:fldChar w:fldCharType="begin"/>
        </w:r>
        <w:r>
          <w:rPr>
            <w:webHidden/>
          </w:rPr>
          <w:instrText xml:space="preserve"> PAGEREF _Toc93659314 \h </w:instrText>
        </w:r>
        <w:r>
          <w:rPr>
            <w:webHidden/>
          </w:rPr>
        </w:r>
        <w:r>
          <w:rPr>
            <w:webHidden/>
          </w:rPr>
          <w:fldChar w:fldCharType="separate"/>
        </w:r>
        <w:r>
          <w:rPr>
            <w:webHidden/>
          </w:rPr>
          <w:t>25</w:t>
        </w:r>
        <w:r>
          <w:rPr>
            <w:webHidden/>
          </w:rPr>
          <w:fldChar w:fldCharType="end"/>
        </w:r>
      </w:hyperlink>
    </w:p>
    <w:p w14:paraId="7063295A" w14:textId="3F764C04" w:rsidR="00926282" w:rsidRDefault="00926282">
      <w:pPr>
        <w:pStyle w:val="TOC3"/>
        <w:rPr>
          <w:rFonts w:asciiTheme="minorHAnsi" w:eastAsiaTheme="minorEastAsia" w:hAnsiTheme="minorHAnsi" w:cstheme="minorBidi"/>
          <w:color w:val="auto"/>
          <w:sz w:val="22"/>
          <w:szCs w:val="22"/>
        </w:rPr>
      </w:pPr>
      <w:hyperlink w:anchor="_Toc93659315" w:history="1">
        <w:r w:rsidRPr="006D3A22">
          <w:rPr>
            <w:rStyle w:val="Hyperlink"/>
          </w:rPr>
          <w:t>Driving water conservation</w:t>
        </w:r>
        <w:r>
          <w:rPr>
            <w:webHidden/>
          </w:rPr>
          <w:tab/>
        </w:r>
        <w:r>
          <w:rPr>
            <w:webHidden/>
          </w:rPr>
          <w:fldChar w:fldCharType="begin"/>
        </w:r>
        <w:r>
          <w:rPr>
            <w:webHidden/>
          </w:rPr>
          <w:instrText xml:space="preserve"> PAGEREF _Toc93659315 \h </w:instrText>
        </w:r>
        <w:r>
          <w:rPr>
            <w:webHidden/>
          </w:rPr>
        </w:r>
        <w:r>
          <w:rPr>
            <w:webHidden/>
          </w:rPr>
          <w:fldChar w:fldCharType="separate"/>
        </w:r>
        <w:r>
          <w:rPr>
            <w:webHidden/>
          </w:rPr>
          <w:t>26</w:t>
        </w:r>
        <w:r>
          <w:rPr>
            <w:webHidden/>
          </w:rPr>
          <w:fldChar w:fldCharType="end"/>
        </w:r>
      </w:hyperlink>
    </w:p>
    <w:p w14:paraId="2736651F" w14:textId="1A98C298" w:rsidR="00926282" w:rsidRDefault="00926282">
      <w:pPr>
        <w:pStyle w:val="TOC3"/>
        <w:rPr>
          <w:rFonts w:asciiTheme="minorHAnsi" w:eastAsiaTheme="minorEastAsia" w:hAnsiTheme="minorHAnsi" w:cstheme="minorBidi"/>
          <w:color w:val="auto"/>
          <w:sz w:val="22"/>
          <w:szCs w:val="22"/>
        </w:rPr>
      </w:pPr>
      <w:hyperlink w:anchor="_Toc93659316" w:history="1">
        <w:r w:rsidRPr="006D3A22">
          <w:rPr>
            <w:rStyle w:val="Hyperlink"/>
          </w:rPr>
          <w:t>Ensuring our water quality</w:t>
        </w:r>
        <w:r>
          <w:rPr>
            <w:webHidden/>
          </w:rPr>
          <w:tab/>
        </w:r>
        <w:r>
          <w:rPr>
            <w:webHidden/>
          </w:rPr>
          <w:fldChar w:fldCharType="begin"/>
        </w:r>
        <w:r>
          <w:rPr>
            <w:webHidden/>
          </w:rPr>
          <w:instrText xml:space="preserve"> PAGEREF _Toc93659316 \h </w:instrText>
        </w:r>
        <w:r>
          <w:rPr>
            <w:webHidden/>
          </w:rPr>
        </w:r>
        <w:r>
          <w:rPr>
            <w:webHidden/>
          </w:rPr>
          <w:fldChar w:fldCharType="separate"/>
        </w:r>
        <w:r>
          <w:rPr>
            <w:webHidden/>
          </w:rPr>
          <w:t>27</w:t>
        </w:r>
        <w:r>
          <w:rPr>
            <w:webHidden/>
          </w:rPr>
          <w:fldChar w:fldCharType="end"/>
        </w:r>
      </w:hyperlink>
    </w:p>
    <w:p w14:paraId="6CD220D0" w14:textId="745985CC" w:rsidR="00926282" w:rsidRDefault="00926282">
      <w:pPr>
        <w:pStyle w:val="TOC3"/>
        <w:rPr>
          <w:rFonts w:asciiTheme="minorHAnsi" w:eastAsiaTheme="minorEastAsia" w:hAnsiTheme="minorHAnsi" w:cstheme="minorBidi"/>
          <w:color w:val="auto"/>
          <w:sz w:val="22"/>
          <w:szCs w:val="22"/>
        </w:rPr>
      </w:pPr>
      <w:hyperlink w:anchor="_Toc93659317" w:history="1">
        <w:r w:rsidRPr="006D3A22">
          <w:rPr>
            <w:rStyle w:val="Hyperlink"/>
          </w:rPr>
          <w:t>Water quality compliance</w:t>
        </w:r>
        <w:r>
          <w:rPr>
            <w:webHidden/>
          </w:rPr>
          <w:tab/>
        </w:r>
        <w:r>
          <w:rPr>
            <w:webHidden/>
          </w:rPr>
          <w:fldChar w:fldCharType="begin"/>
        </w:r>
        <w:r>
          <w:rPr>
            <w:webHidden/>
          </w:rPr>
          <w:instrText xml:space="preserve"> PAGEREF _Toc93659317 \h </w:instrText>
        </w:r>
        <w:r>
          <w:rPr>
            <w:webHidden/>
          </w:rPr>
        </w:r>
        <w:r>
          <w:rPr>
            <w:webHidden/>
          </w:rPr>
          <w:fldChar w:fldCharType="separate"/>
        </w:r>
        <w:r>
          <w:rPr>
            <w:webHidden/>
          </w:rPr>
          <w:t>27</w:t>
        </w:r>
        <w:r>
          <w:rPr>
            <w:webHidden/>
          </w:rPr>
          <w:fldChar w:fldCharType="end"/>
        </w:r>
      </w:hyperlink>
    </w:p>
    <w:p w14:paraId="5441C180" w14:textId="254B0116" w:rsidR="00926282" w:rsidRDefault="00926282">
      <w:pPr>
        <w:pStyle w:val="TOC3"/>
        <w:rPr>
          <w:rFonts w:asciiTheme="minorHAnsi" w:eastAsiaTheme="minorEastAsia" w:hAnsiTheme="minorHAnsi" w:cstheme="minorBidi"/>
          <w:color w:val="auto"/>
          <w:sz w:val="22"/>
          <w:szCs w:val="22"/>
        </w:rPr>
      </w:pPr>
      <w:hyperlink w:anchor="_Toc93659318" w:history="1">
        <w:r w:rsidRPr="006D3A22">
          <w:rPr>
            <w:rStyle w:val="Hyperlink"/>
          </w:rPr>
          <w:t>Recycled water</w:t>
        </w:r>
        <w:r>
          <w:rPr>
            <w:webHidden/>
          </w:rPr>
          <w:tab/>
        </w:r>
        <w:r>
          <w:rPr>
            <w:webHidden/>
          </w:rPr>
          <w:fldChar w:fldCharType="begin"/>
        </w:r>
        <w:r>
          <w:rPr>
            <w:webHidden/>
          </w:rPr>
          <w:instrText xml:space="preserve"> PAGEREF _Toc93659318 \h </w:instrText>
        </w:r>
        <w:r>
          <w:rPr>
            <w:webHidden/>
          </w:rPr>
        </w:r>
        <w:r>
          <w:rPr>
            <w:webHidden/>
          </w:rPr>
          <w:fldChar w:fldCharType="separate"/>
        </w:r>
        <w:r>
          <w:rPr>
            <w:webHidden/>
          </w:rPr>
          <w:t>27</w:t>
        </w:r>
        <w:r>
          <w:rPr>
            <w:webHidden/>
          </w:rPr>
          <w:fldChar w:fldCharType="end"/>
        </w:r>
      </w:hyperlink>
    </w:p>
    <w:p w14:paraId="79A921BD" w14:textId="520900B8" w:rsidR="00926282" w:rsidRDefault="00926282">
      <w:pPr>
        <w:pStyle w:val="TOC3"/>
        <w:rPr>
          <w:rFonts w:asciiTheme="minorHAnsi" w:eastAsiaTheme="minorEastAsia" w:hAnsiTheme="minorHAnsi" w:cstheme="minorBidi"/>
          <w:color w:val="auto"/>
          <w:sz w:val="22"/>
          <w:szCs w:val="22"/>
        </w:rPr>
      </w:pPr>
      <w:hyperlink w:anchor="_Toc93659319" w:history="1">
        <w:r w:rsidRPr="006D3A22">
          <w:rPr>
            <w:rStyle w:val="Hyperlink"/>
          </w:rPr>
          <w:t>Maintaining our world-class infrastructure</w:t>
        </w:r>
        <w:r>
          <w:rPr>
            <w:webHidden/>
          </w:rPr>
          <w:tab/>
        </w:r>
        <w:r>
          <w:rPr>
            <w:webHidden/>
          </w:rPr>
          <w:fldChar w:fldCharType="begin"/>
        </w:r>
        <w:r>
          <w:rPr>
            <w:webHidden/>
          </w:rPr>
          <w:instrText xml:space="preserve"> PAGEREF _Toc93659319 \h </w:instrText>
        </w:r>
        <w:r>
          <w:rPr>
            <w:webHidden/>
          </w:rPr>
        </w:r>
        <w:r>
          <w:rPr>
            <w:webHidden/>
          </w:rPr>
          <w:fldChar w:fldCharType="separate"/>
        </w:r>
        <w:r>
          <w:rPr>
            <w:webHidden/>
          </w:rPr>
          <w:t>28</w:t>
        </w:r>
        <w:r>
          <w:rPr>
            <w:webHidden/>
          </w:rPr>
          <w:fldChar w:fldCharType="end"/>
        </w:r>
      </w:hyperlink>
    </w:p>
    <w:p w14:paraId="6880527C" w14:textId="150C9C70" w:rsidR="00926282" w:rsidRDefault="00926282">
      <w:pPr>
        <w:pStyle w:val="TOC2"/>
        <w:rPr>
          <w:rFonts w:asciiTheme="minorHAnsi" w:eastAsiaTheme="minorEastAsia" w:hAnsiTheme="minorHAnsi" w:cstheme="minorBidi"/>
          <w:noProof/>
          <w:color w:val="auto"/>
          <w:sz w:val="22"/>
          <w:szCs w:val="22"/>
        </w:rPr>
      </w:pPr>
      <w:hyperlink w:anchor="_Toc93659320" w:history="1">
        <w:r w:rsidRPr="006D3A22">
          <w:rPr>
            <w:rStyle w:val="Hyperlink"/>
            <w:noProof/>
          </w:rPr>
          <w:t>Sewerage Management</w:t>
        </w:r>
        <w:r>
          <w:rPr>
            <w:noProof/>
            <w:webHidden/>
          </w:rPr>
          <w:tab/>
        </w:r>
        <w:r>
          <w:rPr>
            <w:noProof/>
            <w:webHidden/>
          </w:rPr>
          <w:fldChar w:fldCharType="begin"/>
        </w:r>
        <w:r>
          <w:rPr>
            <w:noProof/>
            <w:webHidden/>
          </w:rPr>
          <w:instrText xml:space="preserve"> PAGEREF _Toc93659320 \h </w:instrText>
        </w:r>
        <w:r>
          <w:rPr>
            <w:noProof/>
            <w:webHidden/>
          </w:rPr>
        </w:r>
        <w:r>
          <w:rPr>
            <w:noProof/>
            <w:webHidden/>
          </w:rPr>
          <w:fldChar w:fldCharType="separate"/>
        </w:r>
        <w:r>
          <w:rPr>
            <w:noProof/>
            <w:webHidden/>
          </w:rPr>
          <w:t>29</w:t>
        </w:r>
        <w:r>
          <w:rPr>
            <w:noProof/>
            <w:webHidden/>
          </w:rPr>
          <w:fldChar w:fldCharType="end"/>
        </w:r>
      </w:hyperlink>
    </w:p>
    <w:p w14:paraId="1DE93E95" w14:textId="43721B67" w:rsidR="00926282" w:rsidRDefault="00926282">
      <w:pPr>
        <w:pStyle w:val="TOC3"/>
        <w:rPr>
          <w:rFonts w:asciiTheme="minorHAnsi" w:eastAsiaTheme="minorEastAsia" w:hAnsiTheme="minorHAnsi" w:cstheme="minorBidi"/>
          <w:color w:val="auto"/>
          <w:sz w:val="22"/>
          <w:szCs w:val="22"/>
        </w:rPr>
      </w:pPr>
      <w:hyperlink w:anchor="_Toc93659321" w:history="1">
        <w:r w:rsidRPr="006D3A22">
          <w:rPr>
            <w:rStyle w:val="Hyperlink"/>
          </w:rPr>
          <w:t>Our Approach</w:t>
        </w:r>
        <w:r>
          <w:rPr>
            <w:webHidden/>
          </w:rPr>
          <w:tab/>
        </w:r>
        <w:r>
          <w:rPr>
            <w:webHidden/>
          </w:rPr>
          <w:fldChar w:fldCharType="begin"/>
        </w:r>
        <w:r>
          <w:rPr>
            <w:webHidden/>
          </w:rPr>
          <w:instrText xml:space="preserve"> PAGEREF _Toc93659321 \h </w:instrText>
        </w:r>
        <w:r>
          <w:rPr>
            <w:webHidden/>
          </w:rPr>
        </w:r>
        <w:r>
          <w:rPr>
            <w:webHidden/>
          </w:rPr>
          <w:fldChar w:fldCharType="separate"/>
        </w:r>
        <w:r>
          <w:rPr>
            <w:webHidden/>
          </w:rPr>
          <w:t>29</w:t>
        </w:r>
        <w:r>
          <w:rPr>
            <w:webHidden/>
          </w:rPr>
          <w:fldChar w:fldCharType="end"/>
        </w:r>
      </w:hyperlink>
    </w:p>
    <w:p w14:paraId="1812A450" w14:textId="7BC8555B" w:rsidR="00926282" w:rsidRDefault="00926282">
      <w:pPr>
        <w:pStyle w:val="TOC3"/>
        <w:rPr>
          <w:rFonts w:asciiTheme="minorHAnsi" w:eastAsiaTheme="minorEastAsia" w:hAnsiTheme="minorHAnsi" w:cstheme="minorBidi"/>
          <w:color w:val="auto"/>
          <w:sz w:val="22"/>
          <w:szCs w:val="22"/>
        </w:rPr>
      </w:pPr>
      <w:hyperlink w:anchor="_Toc93659322" w:history="1">
        <w:r w:rsidRPr="006D3A22">
          <w:rPr>
            <w:rStyle w:val="Hyperlink"/>
          </w:rPr>
          <w:t>The Melbourne Sewerage Strategy</w:t>
        </w:r>
        <w:r>
          <w:rPr>
            <w:webHidden/>
          </w:rPr>
          <w:tab/>
        </w:r>
        <w:r>
          <w:rPr>
            <w:webHidden/>
          </w:rPr>
          <w:fldChar w:fldCharType="begin"/>
        </w:r>
        <w:r>
          <w:rPr>
            <w:webHidden/>
          </w:rPr>
          <w:instrText xml:space="preserve"> PAGEREF _Toc93659322 \h </w:instrText>
        </w:r>
        <w:r>
          <w:rPr>
            <w:webHidden/>
          </w:rPr>
        </w:r>
        <w:r>
          <w:rPr>
            <w:webHidden/>
          </w:rPr>
          <w:fldChar w:fldCharType="separate"/>
        </w:r>
        <w:r>
          <w:rPr>
            <w:webHidden/>
          </w:rPr>
          <w:t>29</w:t>
        </w:r>
        <w:r>
          <w:rPr>
            <w:webHidden/>
          </w:rPr>
          <w:fldChar w:fldCharType="end"/>
        </w:r>
      </w:hyperlink>
    </w:p>
    <w:p w14:paraId="1E363DCC" w14:textId="0792781E" w:rsidR="00926282" w:rsidRDefault="00926282">
      <w:pPr>
        <w:pStyle w:val="TOC3"/>
        <w:rPr>
          <w:rFonts w:asciiTheme="minorHAnsi" w:eastAsiaTheme="minorEastAsia" w:hAnsiTheme="minorHAnsi" w:cstheme="minorBidi"/>
          <w:color w:val="auto"/>
          <w:sz w:val="22"/>
          <w:szCs w:val="22"/>
        </w:rPr>
      </w:pPr>
      <w:hyperlink w:anchor="_Toc93659323" w:history="1">
        <w:r w:rsidRPr="006D3A22">
          <w:rPr>
            <w:rStyle w:val="Hyperlink"/>
          </w:rPr>
          <w:t>Delivering our service</w:t>
        </w:r>
        <w:r>
          <w:rPr>
            <w:webHidden/>
          </w:rPr>
          <w:tab/>
        </w:r>
        <w:r>
          <w:rPr>
            <w:webHidden/>
          </w:rPr>
          <w:fldChar w:fldCharType="begin"/>
        </w:r>
        <w:r>
          <w:rPr>
            <w:webHidden/>
          </w:rPr>
          <w:instrText xml:space="preserve"> PAGEREF _Toc93659323 \h </w:instrText>
        </w:r>
        <w:r>
          <w:rPr>
            <w:webHidden/>
          </w:rPr>
        </w:r>
        <w:r>
          <w:rPr>
            <w:webHidden/>
          </w:rPr>
          <w:fldChar w:fldCharType="separate"/>
        </w:r>
        <w:r>
          <w:rPr>
            <w:webHidden/>
          </w:rPr>
          <w:t>30</w:t>
        </w:r>
        <w:r>
          <w:rPr>
            <w:webHidden/>
          </w:rPr>
          <w:fldChar w:fldCharType="end"/>
        </w:r>
      </w:hyperlink>
    </w:p>
    <w:p w14:paraId="21ED7F72" w14:textId="56810B65" w:rsidR="00926282" w:rsidRDefault="00926282">
      <w:pPr>
        <w:pStyle w:val="TOC3"/>
        <w:rPr>
          <w:rFonts w:asciiTheme="minorHAnsi" w:eastAsiaTheme="minorEastAsia" w:hAnsiTheme="minorHAnsi" w:cstheme="minorBidi"/>
          <w:color w:val="auto"/>
          <w:sz w:val="22"/>
          <w:szCs w:val="22"/>
        </w:rPr>
      </w:pPr>
      <w:hyperlink w:anchor="_Toc93659324" w:history="1">
        <w:r w:rsidRPr="006D3A22">
          <w:rPr>
            <w:rStyle w:val="Hyperlink"/>
          </w:rPr>
          <w:t>Improving our understanding of biogas production</w:t>
        </w:r>
        <w:r>
          <w:rPr>
            <w:webHidden/>
          </w:rPr>
          <w:tab/>
        </w:r>
        <w:r>
          <w:rPr>
            <w:webHidden/>
          </w:rPr>
          <w:fldChar w:fldCharType="begin"/>
        </w:r>
        <w:r>
          <w:rPr>
            <w:webHidden/>
          </w:rPr>
          <w:instrText xml:space="preserve"> PAGEREF _Toc93659324 \h </w:instrText>
        </w:r>
        <w:r>
          <w:rPr>
            <w:webHidden/>
          </w:rPr>
        </w:r>
        <w:r>
          <w:rPr>
            <w:webHidden/>
          </w:rPr>
          <w:fldChar w:fldCharType="separate"/>
        </w:r>
        <w:r>
          <w:rPr>
            <w:webHidden/>
          </w:rPr>
          <w:t>30</w:t>
        </w:r>
        <w:r>
          <w:rPr>
            <w:webHidden/>
          </w:rPr>
          <w:fldChar w:fldCharType="end"/>
        </w:r>
      </w:hyperlink>
    </w:p>
    <w:p w14:paraId="2F3F0511" w14:textId="4B71A11A" w:rsidR="00926282" w:rsidRDefault="00926282">
      <w:pPr>
        <w:pStyle w:val="TOC3"/>
        <w:rPr>
          <w:rFonts w:asciiTheme="minorHAnsi" w:eastAsiaTheme="minorEastAsia" w:hAnsiTheme="minorHAnsi" w:cstheme="minorBidi"/>
          <w:color w:val="auto"/>
          <w:sz w:val="22"/>
          <w:szCs w:val="22"/>
        </w:rPr>
      </w:pPr>
      <w:hyperlink w:anchor="_Toc93659325" w:history="1">
        <w:r w:rsidRPr="006D3A22">
          <w:rPr>
            <w:rStyle w:val="Hyperlink"/>
          </w:rPr>
          <w:t>Delivering an internationally significant wastewater treatment innovation</w:t>
        </w:r>
        <w:r>
          <w:rPr>
            <w:webHidden/>
          </w:rPr>
          <w:tab/>
        </w:r>
        <w:r>
          <w:rPr>
            <w:webHidden/>
          </w:rPr>
          <w:fldChar w:fldCharType="begin"/>
        </w:r>
        <w:r>
          <w:rPr>
            <w:webHidden/>
          </w:rPr>
          <w:instrText xml:space="preserve"> PAGEREF _Toc93659325 \h </w:instrText>
        </w:r>
        <w:r>
          <w:rPr>
            <w:webHidden/>
          </w:rPr>
        </w:r>
        <w:r>
          <w:rPr>
            <w:webHidden/>
          </w:rPr>
          <w:fldChar w:fldCharType="separate"/>
        </w:r>
        <w:r>
          <w:rPr>
            <w:webHidden/>
          </w:rPr>
          <w:t>30</w:t>
        </w:r>
        <w:r>
          <w:rPr>
            <w:webHidden/>
          </w:rPr>
          <w:fldChar w:fldCharType="end"/>
        </w:r>
      </w:hyperlink>
    </w:p>
    <w:p w14:paraId="1FB2300C" w14:textId="38FC4BE3" w:rsidR="00926282" w:rsidRDefault="00926282">
      <w:pPr>
        <w:pStyle w:val="TOC3"/>
        <w:rPr>
          <w:rFonts w:asciiTheme="minorHAnsi" w:eastAsiaTheme="minorEastAsia" w:hAnsiTheme="minorHAnsi" w:cstheme="minorBidi"/>
          <w:color w:val="auto"/>
          <w:sz w:val="22"/>
          <w:szCs w:val="22"/>
        </w:rPr>
      </w:pPr>
      <w:hyperlink w:anchor="_Toc93659326" w:history="1">
        <w:r w:rsidRPr="006D3A22">
          <w:rPr>
            <w:rStyle w:val="Hyperlink"/>
          </w:rPr>
          <w:t>Expanding our system to support a growing region</w:t>
        </w:r>
        <w:r>
          <w:rPr>
            <w:webHidden/>
          </w:rPr>
          <w:tab/>
        </w:r>
        <w:r>
          <w:rPr>
            <w:webHidden/>
          </w:rPr>
          <w:fldChar w:fldCharType="begin"/>
        </w:r>
        <w:r>
          <w:rPr>
            <w:webHidden/>
          </w:rPr>
          <w:instrText xml:space="preserve"> PAGEREF _Toc93659326 \h </w:instrText>
        </w:r>
        <w:r>
          <w:rPr>
            <w:webHidden/>
          </w:rPr>
        </w:r>
        <w:r>
          <w:rPr>
            <w:webHidden/>
          </w:rPr>
          <w:fldChar w:fldCharType="separate"/>
        </w:r>
        <w:r>
          <w:rPr>
            <w:webHidden/>
          </w:rPr>
          <w:t>31</w:t>
        </w:r>
        <w:r>
          <w:rPr>
            <w:webHidden/>
          </w:rPr>
          <w:fldChar w:fldCharType="end"/>
        </w:r>
      </w:hyperlink>
    </w:p>
    <w:p w14:paraId="11EA1228" w14:textId="4628C1C6" w:rsidR="00926282" w:rsidRDefault="00926282">
      <w:pPr>
        <w:pStyle w:val="TOC3"/>
        <w:rPr>
          <w:rFonts w:asciiTheme="minorHAnsi" w:eastAsiaTheme="minorEastAsia" w:hAnsiTheme="minorHAnsi" w:cstheme="minorBidi"/>
          <w:color w:val="auto"/>
          <w:sz w:val="22"/>
          <w:szCs w:val="22"/>
        </w:rPr>
      </w:pPr>
      <w:hyperlink w:anchor="_Toc93659327" w:history="1">
        <w:r w:rsidRPr="006D3A22">
          <w:rPr>
            <w:rStyle w:val="Hyperlink"/>
          </w:rPr>
          <w:t>Improving our infrastructure to support Melbourne’s growing population</w:t>
        </w:r>
        <w:r>
          <w:rPr>
            <w:webHidden/>
          </w:rPr>
          <w:tab/>
        </w:r>
        <w:r>
          <w:rPr>
            <w:webHidden/>
          </w:rPr>
          <w:fldChar w:fldCharType="begin"/>
        </w:r>
        <w:r>
          <w:rPr>
            <w:webHidden/>
          </w:rPr>
          <w:instrText xml:space="preserve"> PAGEREF _Toc93659327 \h </w:instrText>
        </w:r>
        <w:r>
          <w:rPr>
            <w:webHidden/>
          </w:rPr>
        </w:r>
        <w:r>
          <w:rPr>
            <w:webHidden/>
          </w:rPr>
          <w:fldChar w:fldCharType="separate"/>
        </w:r>
        <w:r>
          <w:rPr>
            <w:webHidden/>
          </w:rPr>
          <w:t>31</w:t>
        </w:r>
        <w:r>
          <w:rPr>
            <w:webHidden/>
          </w:rPr>
          <w:fldChar w:fldCharType="end"/>
        </w:r>
      </w:hyperlink>
    </w:p>
    <w:p w14:paraId="5BC73B2E" w14:textId="02E4E23E" w:rsidR="00926282" w:rsidRDefault="00926282">
      <w:pPr>
        <w:pStyle w:val="TOC2"/>
        <w:rPr>
          <w:rFonts w:asciiTheme="minorHAnsi" w:eastAsiaTheme="minorEastAsia" w:hAnsiTheme="minorHAnsi" w:cstheme="minorBidi"/>
          <w:noProof/>
          <w:color w:val="auto"/>
          <w:sz w:val="22"/>
          <w:szCs w:val="22"/>
        </w:rPr>
      </w:pPr>
      <w:hyperlink w:anchor="_Toc93659328" w:history="1">
        <w:r w:rsidRPr="006D3A22">
          <w:rPr>
            <w:rStyle w:val="Hyperlink"/>
            <w:noProof/>
          </w:rPr>
          <w:t>Flood Resilience and Drainage</w:t>
        </w:r>
        <w:r>
          <w:rPr>
            <w:noProof/>
            <w:webHidden/>
          </w:rPr>
          <w:tab/>
        </w:r>
        <w:r>
          <w:rPr>
            <w:noProof/>
            <w:webHidden/>
          </w:rPr>
          <w:fldChar w:fldCharType="begin"/>
        </w:r>
        <w:r>
          <w:rPr>
            <w:noProof/>
            <w:webHidden/>
          </w:rPr>
          <w:instrText xml:space="preserve"> PAGEREF _Toc93659328 \h </w:instrText>
        </w:r>
        <w:r>
          <w:rPr>
            <w:noProof/>
            <w:webHidden/>
          </w:rPr>
        </w:r>
        <w:r>
          <w:rPr>
            <w:noProof/>
            <w:webHidden/>
          </w:rPr>
          <w:fldChar w:fldCharType="separate"/>
        </w:r>
        <w:r>
          <w:rPr>
            <w:noProof/>
            <w:webHidden/>
          </w:rPr>
          <w:t>32</w:t>
        </w:r>
        <w:r>
          <w:rPr>
            <w:noProof/>
            <w:webHidden/>
          </w:rPr>
          <w:fldChar w:fldCharType="end"/>
        </w:r>
      </w:hyperlink>
    </w:p>
    <w:p w14:paraId="05364BD3" w14:textId="2ED13CDE" w:rsidR="00926282" w:rsidRDefault="00926282">
      <w:pPr>
        <w:pStyle w:val="TOC3"/>
        <w:rPr>
          <w:rFonts w:asciiTheme="minorHAnsi" w:eastAsiaTheme="minorEastAsia" w:hAnsiTheme="minorHAnsi" w:cstheme="minorBidi"/>
          <w:color w:val="auto"/>
          <w:sz w:val="22"/>
          <w:szCs w:val="22"/>
        </w:rPr>
      </w:pPr>
      <w:hyperlink w:anchor="_Toc93659329" w:history="1">
        <w:r w:rsidRPr="006D3A22">
          <w:rPr>
            <w:rStyle w:val="Hyperlink"/>
          </w:rPr>
          <w:t>Our Approach</w:t>
        </w:r>
        <w:r>
          <w:rPr>
            <w:webHidden/>
          </w:rPr>
          <w:tab/>
        </w:r>
        <w:r>
          <w:rPr>
            <w:webHidden/>
          </w:rPr>
          <w:fldChar w:fldCharType="begin"/>
        </w:r>
        <w:r>
          <w:rPr>
            <w:webHidden/>
          </w:rPr>
          <w:instrText xml:space="preserve"> PAGEREF _Toc93659329 \h </w:instrText>
        </w:r>
        <w:r>
          <w:rPr>
            <w:webHidden/>
          </w:rPr>
        </w:r>
        <w:r>
          <w:rPr>
            <w:webHidden/>
          </w:rPr>
          <w:fldChar w:fldCharType="separate"/>
        </w:r>
        <w:r>
          <w:rPr>
            <w:webHidden/>
          </w:rPr>
          <w:t>32</w:t>
        </w:r>
        <w:r>
          <w:rPr>
            <w:webHidden/>
          </w:rPr>
          <w:fldChar w:fldCharType="end"/>
        </w:r>
      </w:hyperlink>
    </w:p>
    <w:p w14:paraId="0F0797A6" w14:textId="12B51CF5" w:rsidR="00926282" w:rsidRDefault="00926282">
      <w:pPr>
        <w:pStyle w:val="TOC3"/>
        <w:rPr>
          <w:rFonts w:asciiTheme="minorHAnsi" w:eastAsiaTheme="minorEastAsia" w:hAnsiTheme="minorHAnsi" w:cstheme="minorBidi"/>
          <w:color w:val="auto"/>
          <w:sz w:val="22"/>
          <w:szCs w:val="22"/>
        </w:rPr>
      </w:pPr>
      <w:hyperlink w:anchor="_Toc93659330" w:history="1">
        <w:r w:rsidRPr="006D3A22">
          <w:rPr>
            <w:rStyle w:val="Hyperlink"/>
          </w:rPr>
          <w:t>Flood management strategy</w:t>
        </w:r>
        <w:r>
          <w:rPr>
            <w:webHidden/>
          </w:rPr>
          <w:tab/>
        </w:r>
        <w:r>
          <w:rPr>
            <w:webHidden/>
          </w:rPr>
          <w:fldChar w:fldCharType="begin"/>
        </w:r>
        <w:r>
          <w:rPr>
            <w:webHidden/>
          </w:rPr>
          <w:instrText xml:space="preserve"> PAGEREF _Toc93659330 \h </w:instrText>
        </w:r>
        <w:r>
          <w:rPr>
            <w:webHidden/>
          </w:rPr>
        </w:r>
        <w:r>
          <w:rPr>
            <w:webHidden/>
          </w:rPr>
          <w:fldChar w:fldCharType="separate"/>
        </w:r>
        <w:r>
          <w:rPr>
            <w:webHidden/>
          </w:rPr>
          <w:t>32</w:t>
        </w:r>
        <w:r>
          <w:rPr>
            <w:webHidden/>
          </w:rPr>
          <w:fldChar w:fldCharType="end"/>
        </w:r>
      </w:hyperlink>
    </w:p>
    <w:p w14:paraId="31518569" w14:textId="7FCB34B1" w:rsidR="00926282" w:rsidRDefault="00926282">
      <w:pPr>
        <w:pStyle w:val="TOC3"/>
        <w:rPr>
          <w:rFonts w:asciiTheme="minorHAnsi" w:eastAsiaTheme="minorEastAsia" w:hAnsiTheme="minorHAnsi" w:cstheme="minorBidi"/>
          <w:color w:val="auto"/>
          <w:sz w:val="22"/>
          <w:szCs w:val="22"/>
        </w:rPr>
      </w:pPr>
      <w:hyperlink w:anchor="_Toc93659331" w:history="1">
        <w:r w:rsidRPr="006D3A22">
          <w:rPr>
            <w:rStyle w:val="Hyperlink"/>
          </w:rPr>
          <w:t>Melbourne Urban Stormwater Institutional Arrangements review</w:t>
        </w:r>
        <w:r>
          <w:rPr>
            <w:webHidden/>
          </w:rPr>
          <w:tab/>
        </w:r>
        <w:r>
          <w:rPr>
            <w:webHidden/>
          </w:rPr>
          <w:fldChar w:fldCharType="begin"/>
        </w:r>
        <w:r>
          <w:rPr>
            <w:webHidden/>
          </w:rPr>
          <w:instrText xml:space="preserve"> PAGEREF _Toc93659331 \h </w:instrText>
        </w:r>
        <w:r>
          <w:rPr>
            <w:webHidden/>
          </w:rPr>
        </w:r>
        <w:r>
          <w:rPr>
            <w:webHidden/>
          </w:rPr>
          <w:fldChar w:fldCharType="separate"/>
        </w:r>
        <w:r>
          <w:rPr>
            <w:webHidden/>
          </w:rPr>
          <w:t>32</w:t>
        </w:r>
        <w:r>
          <w:rPr>
            <w:webHidden/>
          </w:rPr>
          <w:fldChar w:fldCharType="end"/>
        </w:r>
      </w:hyperlink>
    </w:p>
    <w:p w14:paraId="1F77D946" w14:textId="174BD634" w:rsidR="00926282" w:rsidRDefault="00926282">
      <w:pPr>
        <w:pStyle w:val="TOC3"/>
        <w:rPr>
          <w:rFonts w:asciiTheme="minorHAnsi" w:eastAsiaTheme="minorEastAsia" w:hAnsiTheme="minorHAnsi" w:cstheme="minorBidi"/>
          <w:color w:val="auto"/>
          <w:sz w:val="22"/>
          <w:szCs w:val="22"/>
        </w:rPr>
      </w:pPr>
      <w:hyperlink w:anchor="_Toc93659332" w:history="1">
        <w:r w:rsidRPr="006D3A22">
          <w:rPr>
            <w:rStyle w:val="Hyperlink"/>
          </w:rPr>
          <w:t>Mapping program to prioritise flood management investment</w:t>
        </w:r>
        <w:r>
          <w:rPr>
            <w:webHidden/>
          </w:rPr>
          <w:tab/>
        </w:r>
        <w:r>
          <w:rPr>
            <w:webHidden/>
          </w:rPr>
          <w:fldChar w:fldCharType="begin"/>
        </w:r>
        <w:r>
          <w:rPr>
            <w:webHidden/>
          </w:rPr>
          <w:instrText xml:space="preserve"> PAGEREF _Toc93659332 \h </w:instrText>
        </w:r>
        <w:r>
          <w:rPr>
            <w:webHidden/>
          </w:rPr>
        </w:r>
        <w:r>
          <w:rPr>
            <w:webHidden/>
          </w:rPr>
          <w:fldChar w:fldCharType="separate"/>
        </w:r>
        <w:r>
          <w:rPr>
            <w:webHidden/>
          </w:rPr>
          <w:t>33</w:t>
        </w:r>
        <w:r>
          <w:rPr>
            <w:webHidden/>
          </w:rPr>
          <w:fldChar w:fldCharType="end"/>
        </w:r>
      </w:hyperlink>
    </w:p>
    <w:p w14:paraId="53D71AE2" w14:textId="77E74154" w:rsidR="00926282" w:rsidRDefault="00926282">
      <w:pPr>
        <w:pStyle w:val="TOC3"/>
        <w:rPr>
          <w:rFonts w:asciiTheme="minorHAnsi" w:eastAsiaTheme="minorEastAsia" w:hAnsiTheme="minorHAnsi" w:cstheme="minorBidi"/>
          <w:color w:val="auto"/>
          <w:sz w:val="22"/>
          <w:szCs w:val="22"/>
        </w:rPr>
      </w:pPr>
      <w:hyperlink w:anchor="_Toc93659333" w:history="1">
        <w:r w:rsidRPr="006D3A22">
          <w:rPr>
            <w:rStyle w:val="Hyperlink"/>
          </w:rPr>
          <w:t>Innovative flood management solutions</w:t>
        </w:r>
        <w:r>
          <w:rPr>
            <w:webHidden/>
          </w:rPr>
          <w:tab/>
        </w:r>
        <w:r>
          <w:rPr>
            <w:webHidden/>
          </w:rPr>
          <w:fldChar w:fldCharType="begin"/>
        </w:r>
        <w:r>
          <w:rPr>
            <w:webHidden/>
          </w:rPr>
          <w:instrText xml:space="preserve"> PAGEREF _Toc93659333 \h </w:instrText>
        </w:r>
        <w:r>
          <w:rPr>
            <w:webHidden/>
          </w:rPr>
        </w:r>
        <w:r>
          <w:rPr>
            <w:webHidden/>
          </w:rPr>
          <w:fldChar w:fldCharType="separate"/>
        </w:r>
        <w:r>
          <w:rPr>
            <w:webHidden/>
          </w:rPr>
          <w:t>33</w:t>
        </w:r>
        <w:r>
          <w:rPr>
            <w:webHidden/>
          </w:rPr>
          <w:fldChar w:fldCharType="end"/>
        </w:r>
      </w:hyperlink>
    </w:p>
    <w:p w14:paraId="7E2F42BD" w14:textId="0E3672E4" w:rsidR="00926282" w:rsidRDefault="00926282">
      <w:pPr>
        <w:pStyle w:val="TOC3"/>
        <w:rPr>
          <w:rFonts w:asciiTheme="minorHAnsi" w:eastAsiaTheme="minorEastAsia" w:hAnsiTheme="minorHAnsi" w:cstheme="minorBidi"/>
          <w:color w:val="auto"/>
          <w:sz w:val="22"/>
          <w:szCs w:val="22"/>
        </w:rPr>
      </w:pPr>
      <w:hyperlink w:anchor="_Toc93659334" w:history="1">
        <w:r w:rsidRPr="006D3A22">
          <w:rPr>
            <w:rStyle w:val="Hyperlink"/>
          </w:rPr>
          <w:t>Flood resilient guides for homes</w:t>
        </w:r>
        <w:r>
          <w:rPr>
            <w:webHidden/>
          </w:rPr>
          <w:tab/>
        </w:r>
        <w:r>
          <w:rPr>
            <w:webHidden/>
          </w:rPr>
          <w:fldChar w:fldCharType="begin"/>
        </w:r>
        <w:r>
          <w:rPr>
            <w:webHidden/>
          </w:rPr>
          <w:instrText xml:space="preserve"> PAGEREF _Toc93659334 \h </w:instrText>
        </w:r>
        <w:r>
          <w:rPr>
            <w:webHidden/>
          </w:rPr>
        </w:r>
        <w:r>
          <w:rPr>
            <w:webHidden/>
          </w:rPr>
          <w:fldChar w:fldCharType="separate"/>
        </w:r>
        <w:r>
          <w:rPr>
            <w:webHidden/>
          </w:rPr>
          <w:t>34</w:t>
        </w:r>
        <w:r>
          <w:rPr>
            <w:webHidden/>
          </w:rPr>
          <w:fldChar w:fldCharType="end"/>
        </w:r>
      </w:hyperlink>
    </w:p>
    <w:p w14:paraId="7620496A" w14:textId="78D7C515" w:rsidR="00926282" w:rsidRDefault="00926282">
      <w:pPr>
        <w:pStyle w:val="TOC3"/>
        <w:rPr>
          <w:rFonts w:asciiTheme="minorHAnsi" w:eastAsiaTheme="minorEastAsia" w:hAnsiTheme="minorHAnsi" w:cstheme="minorBidi"/>
          <w:color w:val="auto"/>
          <w:sz w:val="22"/>
          <w:szCs w:val="22"/>
        </w:rPr>
      </w:pPr>
      <w:hyperlink w:anchor="_Toc93659335" w:history="1">
        <w:r w:rsidRPr="006D3A22">
          <w:rPr>
            <w:rStyle w:val="Hyperlink"/>
          </w:rPr>
          <w:t>Infrastructure investments</w:t>
        </w:r>
        <w:r>
          <w:rPr>
            <w:webHidden/>
          </w:rPr>
          <w:tab/>
        </w:r>
        <w:r>
          <w:rPr>
            <w:webHidden/>
          </w:rPr>
          <w:fldChar w:fldCharType="begin"/>
        </w:r>
        <w:r>
          <w:rPr>
            <w:webHidden/>
          </w:rPr>
          <w:instrText xml:space="preserve"> PAGEREF _Toc93659335 \h </w:instrText>
        </w:r>
        <w:r>
          <w:rPr>
            <w:webHidden/>
          </w:rPr>
        </w:r>
        <w:r>
          <w:rPr>
            <w:webHidden/>
          </w:rPr>
          <w:fldChar w:fldCharType="separate"/>
        </w:r>
        <w:r>
          <w:rPr>
            <w:webHidden/>
          </w:rPr>
          <w:t>34</w:t>
        </w:r>
        <w:r>
          <w:rPr>
            <w:webHidden/>
          </w:rPr>
          <w:fldChar w:fldCharType="end"/>
        </w:r>
      </w:hyperlink>
    </w:p>
    <w:p w14:paraId="4FAD51FB" w14:textId="2457C1AA" w:rsidR="00926282" w:rsidRDefault="00926282">
      <w:pPr>
        <w:pStyle w:val="TOC3"/>
        <w:rPr>
          <w:rFonts w:asciiTheme="minorHAnsi" w:eastAsiaTheme="minorEastAsia" w:hAnsiTheme="minorHAnsi" w:cstheme="minorBidi"/>
          <w:color w:val="auto"/>
          <w:sz w:val="22"/>
          <w:szCs w:val="22"/>
        </w:rPr>
      </w:pPr>
      <w:hyperlink w:anchor="_Toc93659336" w:history="1">
        <w:r w:rsidRPr="006D3A22">
          <w:rPr>
            <w:rStyle w:val="Hyperlink"/>
          </w:rPr>
          <w:t>Fostering community connection: Shakespeare Grove drain renewal</w:t>
        </w:r>
        <w:r>
          <w:rPr>
            <w:webHidden/>
          </w:rPr>
          <w:tab/>
        </w:r>
        <w:r>
          <w:rPr>
            <w:webHidden/>
          </w:rPr>
          <w:fldChar w:fldCharType="begin"/>
        </w:r>
        <w:r>
          <w:rPr>
            <w:webHidden/>
          </w:rPr>
          <w:instrText xml:space="preserve"> PAGEREF _Toc93659336 \h </w:instrText>
        </w:r>
        <w:r>
          <w:rPr>
            <w:webHidden/>
          </w:rPr>
        </w:r>
        <w:r>
          <w:rPr>
            <w:webHidden/>
          </w:rPr>
          <w:fldChar w:fldCharType="separate"/>
        </w:r>
        <w:r>
          <w:rPr>
            <w:webHidden/>
          </w:rPr>
          <w:t>34</w:t>
        </w:r>
        <w:r>
          <w:rPr>
            <w:webHidden/>
          </w:rPr>
          <w:fldChar w:fldCharType="end"/>
        </w:r>
      </w:hyperlink>
    </w:p>
    <w:p w14:paraId="472EE85E" w14:textId="4692033A" w:rsidR="00926282" w:rsidRDefault="00926282">
      <w:pPr>
        <w:pStyle w:val="TOC3"/>
        <w:rPr>
          <w:rFonts w:asciiTheme="minorHAnsi" w:eastAsiaTheme="minorEastAsia" w:hAnsiTheme="minorHAnsi" w:cstheme="minorBidi"/>
          <w:color w:val="auto"/>
          <w:sz w:val="22"/>
          <w:szCs w:val="22"/>
        </w:rPr>
      </w:pPr>
      <w:hyperlink w:anchor="_Toc93659337" w:history="1">
        <w:r w:rsidRPr="006D3A22">
          <w:rPr>
            <w:rStyle w:val="Hyperlink"/>
          </w:rPr>
          <w:t>Land development: supporting a resilient and liveable Melbourne</w:t>
        </w:r>
        <w:r>
          <w:rPr>
            <w:webHidden/>
          </w:rPr>
          <w:tab/>
        </w:r>
        <w:r>
          <w:rPr>
            <w:webHidden/>
          </w:rPr>
          <w:fldChar w:fldCharType="begin"/>
        </w:r>
        <w:r>
          <w:rPr>
            <w:webHidden/>
          </w:rPr>
          <w:instrText xml:space="preserve"> PAGEREF _Toc93659337 \h </w:instrText>
        </w:r>
        <w:r>
          <w:rPr>
            <w:webHidden/>
          </w:rPr>
        </w:r>
        <w:r>
          <w:rPr>
            <w:webHidden/>
          </w:rPr>
          <w:fldChar w:fldCharType="separate"/>
        </w:r>
        <w:r>
          <w:rPr>
            <w:webHidden/>
          </w:rPr>
          <w:t>34</w:t>
        </w:r>
        <w:r>
          <w:rPr>
            <w:webHidden/>
          </w:rPr>
          <w:fldChar w:fldCharType="end"/>
        </w:r>
      </w:hyperlink>
    </w:p>
    <w:p w14:paraId="6D954459" w14:textId="138A509F" w:rsidR="00926282" w:rsidRDefault="00926282">
      <w:pPr>
        <w:pStyle w:val="TOC2"/>
        <w:rPr>
          <w:rFonts w:asciiTheme="minorHAnsi" w:eastAsiaTheme="minorEastAsia" w:hAnsiTheme="minorHAnsi" w:cstheme="minorBidi"/>
          <w:noProof/>
          <w:color w:val="auto"/>
          <w:sz w:val="22"/>
          <w:szCs w:val="22"/>
        </w:rPr>
      </w:pPr>
      <w:hyperlink w:anchor="_Toc93659338" w:history="1">
        <w:r w:rsidRPr="006D3A22">
          <w:rPr>
            <w:rStyle w:val="Hyperlink"/>
            <w:noProof/>
          </w:rPr>
          <w:t>Waterway Management</w:t>
        </w:r>
        <w:r>
          <w:rPr>
            <w:noProof/>
            <w:webHidden/>
          </w:rPr>
          <w:tab/>
        </w:r>
        <w:r>
          <w:rPr>
            <w:noProof/>
            <w:webHidden/>
          </w:rPr>
          <w:fldChar w:fldCharType="begin"/>
        </w:r>
        <w:r>
          <w:rPr>
            <w:noProof/>
            <w:webHidden/>
          </w:rPr>
          <w:instrText xml:space="preserve"> PAGEREF _Toc93659338 \h </w:instrText>
        </w:r>
        <w:r>
          <w:rPr>
            <w:noProof/>
            <w:webHidden/>
          </w:rPr>
        </w:r>
        <w:r>
          <w:rPr>
            <w:noProof/>
            <w:webHidden/>
          </w:rPr>
          <w:fldChar w:fldCharType="separate"/>
        </w:r>
        <w:r>
          <w:rPr>
            <w:noProof/>
            <w:webHidden/>
          </w:rPr>
          <w:t>35</w:t>
        </w:r>
        <w:r>
          <w:rPr>
            <w:noProof/>
            <w:webHidden/>
          </w:rPr>
          <w:fldChar w:fldCharType="end"/>
        </w:r>
      </w:hyperlink>
    </w:p>
    <w:p w14:paraId="126C013F" w14:textId="6AF48854" w:rsidR="00926282" w:rsidRDefault="00926282">
      <w:pPr>
        <w:pStyle w:val="TOC3"/>
        <w:rPr>
          <w:rFonts w:asciiTheme="minorHAnsi" w:eastAsiaTheme="minorEastAsia" w:hAnsiTheme="minorHAnsi" w:cstheme="minorBidi"/>
          <w:color w:val="auto"/>
          <w:sz w:val="22"/>
          <w:szCs w:val="22"/>
        </w:rPr>
      </w:pPr>
      <w:hyperlink w:anchor="_Toc93659339" w:history="1">
        <w:r w:rsidRPr="006D3A22">
          <w:rPr>
            <w:rStyle w:val="Hyperlink"/>
          </w:rPr>
          <w:t>Our Approach</w:t>
        </w:r>
        <w:r>
          <w:rPr>
            <w:webHidden/>
          </w:rPr>
          <w:tab/>
        </w:r>
        <w:r>
          <w:rPr>
            <w:webHidden/>
          </w:rPr>
          <w:fldChar w:fldCharType="begin"/>
        </w:r>
        <w:r>
          <w:rPr>
            <w:webHidden/>
          </w:rPr>
          <w:instrText xml:space="preserve"> PAGEREF _Toc93659339 \h </w:instrText>
        </w:r>
        <w:r>
          <w:rPr>
            <w:webHidden/>
          </w:rPr>
        </w:r>
        <w:r>
          <w:rPr>
            <w:webHidden/>
          </w:rPr>
          <w:fldChar w:fldCharType="separate"/>
        </w:r>
        <w:r>
          <w:rPr>
            <w:webHidden/>
          </w:rPr>
          <w:t>35</w:t>
        </w:r>
        <w:r>
          <w:rPr>
            <w:webHidden/>
          </w:rPr>
          <w:fldChar w:fldCharType="end"/>
        </w:r>
      </w:hyperlink>
    </w:p>
    <w:p w14:paraId="54788B8D" w14:textId="423EFBD8" w:rsidR="00926282" w:rsidRDefault="00926282">
      <w:pPr>
        <w:pStyle w:val="TOC3"/>
        <w:rPr>
          <w:rFonts w:asciiTheme="minorHAnsi" w:eastAsiaTheme="minorEastAsia" w:hAnsiTheme="minorHAnsi" w:cstheme="minorBidi"/>
          <w:color w:val="auto"/>
          <w:sz w:val="22"/>
          <w:szCs w:val="22"/>
        </w:rPr>
      </w:pPr>
      <w:hyperlink w:anchor="_Toc93659340" w:history="1">
        <w:r w:rsidRPr="006D3A22">
          <w:rPr>
            <w:rStyle w:val="Hyperlink"/>
          </w:rPr>
          <w:t xml:space="preserve">Driving evidence-based delivery of the </w:t>
        </w:r>
        <w:r w:rsidRPr="006D3A22">
          <w:rPr>
            <w:rStyle w:val="Hyperlink"/>
            <w:i/>
          </w:rPr>
          <w:t>Healthy Waterways Strategy</w:t>
        </w:r>
        <w:r>
          <w:rPr>
            <w:webHidden/>
          </w:rPr>
          <w:tab/>
        </w:r>
        <w:r>
          <w:rPr>
            <w:webHidden/>
          </w:rPr>
          <w:fldChar w:fldCharType="begin"/>
        </w:r>
        <w:r>
          <w:rPr>
            <w:webHidden/>
          </w:rPr>
          <w:instrText xml:space="preserve"> PAGEREF _Toc93659340 \h </w:instrText>
        </w:r>
        <w:r>
          <w:rPr>
            <w:webHidden/>
          </w:rPr>
        </w:r>
        <w:r>
          <w:rPr>
            <w:webHidden/>
          </w:rPr>
          <w:fldChar w:fldCharType="separate"/>
        </w:r>
        <w:r>
          <w:rPr>
            <w:webHidden/>
          </w:rPr>
          <w:t>36</w:t>
        </w:r>
        <w:r>
          <w:rPr>
            <w:webHidden/>
          </w:rPr>
          <w:fldChar w:fldCharType="end"/>
        </w:r>
      </w:hyperlink>
    </w:p>
    <w:p w14:paraId="2F8E8CDF" w14:textId="579EC934" w:rsidR="00926282" w:rsidRDefault="00926282">
      <w:pPr>
        <w:pStyle w:val="TOC3"/>
        <w:rPr>
          <w:rFonts w:asciiTheme="minorHAnsi" w:eastAsiaTheme="minorEastAsia" w:hAnsiTheme="minorHAnsi" w:cstheme="minorBidi"/>
          <w:color w:val="auto"/>
          <w:sz w:val="22"/>
          <w:szCs w:val="22"/>
        </w:rPr>
      </w:pPr>
      <w:hyperlink w:anchor="_Toc93659341" w:history="1">
        <w:r w:rsidRPr="006D3A22">
          <w:rPr>
            <w:rStyle w:val="Hyperlink"/>
          </w:rPr>
          <w:t>Waterways and Drainage Investment Plan</w:t>
        </w:r>
        <w:r>
          <w:rPr>
            <w:webHidden/>
          </w:rPr>
          <w:tab/>
        </w:r>
        <w:r>
          <w:rPr>
            <w:webHidden/>
          </w:rPr>
          <w:fldChar w:fldCharType="begin"/>
        </w:r>
        <w:r>
          <w:rPr>
            <w:webHidden/>
          </w:rPr>
          <w:instrText xml:space="preserve"> PAGEREF _Toc93659341 \h </w:instrText>
        </w:r>
        <w:r>
          <w:rPr>
            <w:webHidden/>
          </w:rPr>
        </w:r>
        <w:r>
          <w:rPr>
            <w:webHidden/>
          </w:rPr>
          <w:fldChar w:fldCharType="separate"/>
        </w:r>
        <w:r>
          <w:rPr>
            <w:webHidden/>
          </w:rPr>
          <w:t>36</w:t>
        </w:r>
        <w:r>
          <w:rPr>
            <w:webHidden/>
          </w:rPr>
          <w:fldChar w:fldCharType="end"/>
        </w:r>
      </w:hyperlink>
    </w:p>
    <w:p w14:paraId="0ABF0907" w14:textId="6AAE8015" w:rsidR="00926282" w:rsidRDefault="00926282">
      <w:pPr>
        <w:pStyle w:val="TOC3"/>
        <w:rPr>
          <w:rFonts w:asciiTheme="minorHAnsi" w:eastAsiaTheme="minorEastAsia" w:hAnsiTheme="minorHAnsi" w:cstheme="minorBidi"/>
          <w:color w:val="auto"/>
          <w:sz w:val="22"/>
          <w:szCs w:val="22"/>
        </w:rPr>
      </w:pPr>
      <w:hyperlink w:anchor="_Toc93659342" w:history="1">
        <w:r w:rsidRPr="006D3A22">
          <w:rPr>
            <w:rStyle w:val="Hyperlink"/>
          </w:rPr>
          <w:t>Waterways research</w:t>
        </w:r>
        <w:r>
          <w:rPr>
            <w:webHidden/>
          </w:rPr>
          <w:tab/>
        </w:r>
        <w:r>
          <w:rPr>
            <w:webHidden/>
          </w:rPr>
          <w:fldChar w:fldCharType="begin"/>
        </w:r>
        <w:r>
          <w:rPr>
            <w:webHidden/>
          </w:rPr>
          <w:instrText xml:space="preserve"> PAGEREF _Toc93659342 \h </w:instrText>
        </w:r>
        <w:r>
          <w:rPr>
            <w:webHidden/>
          </w:rPr>
        </w:r>
        <w:r>
          <w:rPr>
            <w:webHidden/>
          </w:rPr>
          <w:fldChar w:fldCharType="separate"/>
        </w:r>
        <w:r>
          <w:rPr>
            <w:webHidden/>
          </w:rPr>
          <w:t>36</w:t>
        </w:r>
        <w:r>
          <w:rPr>
            <w:webHidden/>
          </w:rPr>
          <w:fldChar w:fldCharType="end"/>
        </w:r>
      </w:hyperlink>
    </w:p>
    <w:p w14:paraId="5DCA05FE" w14:textId="09AE8007" w:rsidR="00926282" w:rsidRDefault="00926282">
      <w:pPr>
        <w:pStyle w:val="TOC3"/>
        <w:rPr>
          <w:rFonts w:asciiTheme="minorHAnsi" w:eastAsiaTheme="minorEastAsia" w:hAnsiTheme="minorHAnsi" w:cstheme="minorBidi"/>
          <w:color w:val="auto"/>
          <w:sz w:val="22"/>
          <w:szCs w:val="22"/>
        </w:rPr>
      </w:pPr>
      <w:hyperlink w:anchor="_Toc93659343" w:history="1">
        <w:r w:rsidRPr="006D3A22">
          <w:rPr>
            <w:rStyle w:val="Hyperlink"/>
          </w:rPr>
          <w:t>Improving the health of Birrarung’s billabongs</w:t>
        </w:r>
        <w:r>
          <w:rPr>
            <w:webHidden/>
          </w:rPr>
          <w:tab/>
        </w:r>
        <w:r>
          <w:rPr>
            <w:webHidden/>
          </w:rPr>
          <w:fldChar w:fldCharType="begin"/>
        </w:r>
        <w:r>
          <w:rPr>
            <w:webHidden/>
          </w:rPr>
          <w:instrText xml:space="preserve"> PAGEREF _Toc93659343 \h </w:instrText>
        </w:r>
        <w:r>
          <w:rPr>
            <w:webHidden/>
          </w:rPr>
        </w:r>
        <w:r>
          <w:rPr>
            <w:webHidden/>
          </w:rPr>
          <w:fldChar w:fldCharType="separate"/>
        </w:r>
        <w:r>
          <w:rPr>
            <w:webHidden/>
          </w:rPr>
          <w:t>37</w:t>
        </w:r>
        <w:r>
          <w:rPr>
            <w:webHidden/>
          </w:rPr>
          <w:fldChar w:fldCharType="end"/>
        </w:r>
      </w:hyperlink>
    </w:p>
    <w:p w14:paraId="2A54C0CF" w14:textId="0610E68D" w:rsidR="00926282" w:rsidRDefault="00926282">
      <w:pPr>
        <w:pStyle w:val="TOC3"/>
        <w:rPr>
          <w:rFonts w:asciiTheme="minorHAnsi" w:eastAsiaTheme="minorEastAsia" w:hAnsiTheme="minorHAnsi" w:cstheme="minorBidi"/>
          <w:color w:val="auto"/>
          <w:sz w:val="22"/>
          <w:szCs w:val="22"/>
        </w:rPr>
      </w:pPr>
      <w:hyperlink w:anchor="_Toc93659344" w:history="1">
        <w:r w:rsidRPr="006D3A22">
          <w:rPr>
            <w:rStyle w:val="Hyperlink"/>
          </w:rPr>
          <w:t>Integrated service planning</w:t>
        </w:r>
        <w:r>
          <w:rPr>
            <w:webHidden/>
          </w:rPr>
          <w:tab/>
        </w:r>
        <w:r>
          <w:rPr>
            <w:webHidden/>
          </w:rPr>
          <w:fldChar w:fldCharType="begin"/>
        </w:r>
        <w:r>
          <w:rPr>
            <w:webHidden/>
          </w:rPr>
          <w:instrText xml:space="preserve"> PAGEREF _Toc93659344 \h </w:instrText>
        </w:r>
        <w:r>
          <w:rPr>
            <w:webHidden/>
          </w:rPr>
        </w:r>
        <w:r>
          <w:rPr>
            <w:webHidden/>
          </w:rPr>
          <w:fldChar w:fldCharType="separate"/>
        </w:r>
        <w:r>
          <w:rPr>
            <w:webHidden/>
          </w:rPr>
          <w:t>37</w:t>
        </w:r>
        <w:r>
          <w:rPr>
            <w:webHidden/>
          </w:rPr>
          <w:fldChar w:fldCharType="end"/>
        </w:r>
      </w:hyperlink>
    </w:p>
    <w:p w14:paraId="10758F62" w14:textId="1CFB5244" w:rsidR="00926282" w:rsidRDefault="00926282">
      <w:pPr>
        <w:pStyle w:val="TOC3"/>
        <w:rPr>
          <w:rFonts w:asciiTheme="minorHAnsi" w:eastAsiaTheme="minorEastAsia" w:hAnsiTheme="minorHAnsi" w:cstheme="minorBidi"/>
          <w:color w:val="auto"/>
          <w:sz w:val="22"/>
          <w:szCs w:val="22"/>
        </w:rPr>
      </w:pPr>
      <w:hyperlink w:anchor="_Toc93659345" w:history="1">
        <w:r w:rsidRPr="006D3A22">
          <w:rPr>
            <w:rStyle w:val="Hyperlink"/>
          </w:rPr>
          <w:t>Port Philip and Westernport Catchment Management Authority integration into Melbourne Water</w:t>
        </w:r>
        <w:r>
          <w:rPr>
            <w:webHidden/>
          </w:rPr>
          <w:tab/>
        </w:r>
        <w:r>
          <w:rPr>
            <w:webHidden/>
          </w:rPr>
          <w:fldChar w:fldCharType="begin"/>
        </w:r>
        <w:r>
          <w:rPr>
            <w:webHidden/>
          </w:rPr>
          <w:instrText xml:space="preserve"> PAGEREF _Toc93659345 \h </w:instrText>
        </w:r>
        <w:r>
          <w:rPr>
            <w:webHidden/>
          </w:rPr>
        </w:r>
        <w:r>
          <w:rPr>
            <w:webHidden/>
          </w:rPr>
          <w:fldChar w:fldCharType="separate"/>
        </w:r>
        <w:r>
          <w:rPr>
            <w:webHidden/>
          </w:rPr>
          <w:t>37</w:t>
        </w:r>
        <w:r>
          <w:rPr>
            <w:webHidden/>
          </w:rPr>
          <w:fldChar w:fldCharType="end"/>
        </w:r>
      </w:hyperlink>
    </w:p>
    <w:p w14:paraId="090A4F56" w14:textId="7FFAC0AE" w:rsidR="00926282" w:rsidRDefault="00926282">
      <w:pPr>
        <w:pStyle w:val="TOC3"/>
        <w:rPr>
          <w:rFonts w:asciiTheme="minorHAnsi" w:eastAsiaTheme="minorEastAsia" w:hAnsiTheme="minorHAnsi" w:cstheme="minorBidi"/>
          <w:color w:val="auto"/>
          <w:sz w:val="22"/>
          <w:szCs w:val="22"/>
        </w:rPr>
      </w:pPr>
      <w:hyperlink w:anchor="_Toc93659346" w:history="1">
        <w:r w:rsidRPr="006D3A22">
          <w:rPr>
            <w:rStyle w:val="Hyperlink"/>
          </w:rPr>
          <w:t>Measuring the value and outcomes for natural waterway assets</w:t>
        </w:r>
        <w:r>
          <w:rPr>
            <w:webHidden/>
          </w:rPr>
          <w:tab/>
        </w:r>
        <w:r>
          <w:rPr>
            <w:webHidden/>
          </w:rPr>
          <w:fldChar w:fldCharType="begin"/>
        </w:r>
        <w:r>
          <w:rPr>
            <w:webHidden/>
          </w:rPr>
          <w:instrText xml:space="preserve"> PAGEREF _Toc93659346 \h </w:instrText>
        </w:r>
        <w:r>
          <w:rPr>
            <w:webHidden/>
          </w:rPr>
        </w:r>
        <w:r>
          <w:rPr>
            <w:webHidden/>
          </w:rPr>
          <w:fldChar w:fldCharType="separate"/>
        </w:r>
        <w:r>
          <w:rPr>
            <w:webHidden/>
          </w:rPr>
          <w:t>37</w:t>
        </w:r>
        <w:r>
          <w:rPr>
            <w:webHidden/>
          </w:rPr>
          <w:fldChar w:fldCharType="end"/>
        </w:r>
      </w:hyperlink>
    </w:p>
    <w:p w14:paraId="6B925A93" w14:textId="6B83284A" w:rsidR="00926282" w:rsidRDefault="00926282">
      <w:pPr>
        <w:pStyle w:val="TOC3"/>
        <w:rPr>
          <w:rFonts w:asciiTheme="minorHAnsi" w:eastAsiaTheme="minorEastAsia" w:hAnsiTheme="minorHAnsi" w:cstheme="minorBidi"/>
          <w:color w:val="auto"/>
          <w:sz w:val="22"/>
          <w:szCs w:val="22"/>
        </w:rPr>
      </w:pPr>
      <w:hyperlink w:anchor="_Toc93659347" w:history="1">
        <w:r w:rsidRPr="006D3A22">
          <w:rPr>
            <w:rStyle w:val="Hyperlink"/>
          </w:rPr>
          <w:t>Waterway Blitz</w:t>
        </w:r>
        <w:r>
          <w:rPr>
            <w:webHidden/>
          </w:rPr>
          <w:tab/>
        </w:r>
        <w:r>
          <w:rPr>
            <w:webHidden/>
          </w:rPr>
          <w:fldChar w:fldCharType="begin"/>
        </w:r>
        <w:r>
          <w:rPr>
            <w:webHidden/>
          </w:rPr>
          <w:instrText xml:space="preserve"> PAGEREF _Toc93659347 \h </w:instrText>
        </w:r>
        <w:r>
          <w:rPr>
            <w:webHidden/>
          </w:rPr>
        </w:r>
        <w:r>
          <w:rPr>
            <w:webHidden/>
          </w:rPr>
          <w:fldChar w:fldCharType="separate"/>
        </w:r>
        <w:r>
          <w:rPr>
            <w:webHidden/>
          </w:rPr>
          <w:t>38</w:t>
        </w:r>
        <w:r>
          <w:rPr>
            <w:webHidden/>
          </w:rPr>
          <w:fldChar w:fldCharType="end"/>
        </w:r>
      </w:hyperlink>
    </w:p>
    <w:p w14:paraId="68A9AC6A" w14:textId="3D53AD8F" w:rsidR="00926282" w:rsidRDefault="00926282">
      <w:pPr>
        <w:pStyle w:val="TOC3"/>
        <w:rPr>
          <w:rFonts w:asciiTheme="minorHAnsi" w:eastAsiaTheme="minorEastAsia" w:hAnsiTheme="minorHAnsi" w:cstheme="minorBidi"/>
          <w:color w:val="auto"/>
          <w:sz w:val="22"/>
          <w:szCs w:val="22"/>
        </w:rPr>
      </w:pPr>
      <w:hyperlink w:anchor="_Toc93659348" w:history="1">
        <w:r w:rsidRPr="006D3A22">
          <w:rPr>
            <w:rStyle w:val="Hyperlink"/>
          </w:rPr>
          <w:t>Liveable Communities, Liveable Waterways</w:t>
        </w:r>
        <w:r>
          <w:rPr>
            <w:webHidden/>
          </w:rPr>
          <w:tab/>
        </w:r>
        <w:r>
          <w:rPr>
            <w:webHidden/>
          </w:rPr>
          <w:fldChar w:fldCharType="begin"/>
        </w:r>
        <w:r>
          <w:rPr>
            <w:webHidden/>
          </w:rPr>
          <w:instrText xml:space="preserve"> PAGEREF _Toc93659348 \h </w:instrText>
        </w:r>
        <w:r>
          <w:rPr>
            <w:webHidden/>
          </w:rPr>
        </w:r>
        <w:r>
          <w:rPr>
            <w:webHidden/>
          </w:rPr>
          <w:fldChar w:fldCharType="separate"/>
        </w:r>
        <w:r>
          <w:rPr>
            <w:webHidden/>
          </w:rPr>
          <w:t>38</w:t>
        </w:r>
        <w:r>
          <w:rPr>
            <w:webHidden/>
          </w:rPr>
          <w:fldChar w:fldCharType="end"/>
        </w:r>
      </w:hyperlink>
    </w:p>
    <w:p w14:paraId="504857D1" w14:textId="24070D15" w:rsidR="00926282" w:rsidRDefault="00926282">
      <w:pPr>
        <w:pStyle w:val="TOC3"/>
        <w:rPr>
          <w:rFonts w:asciiTheme="minorHAnsi" w:eastAsiaTheme="minorEastAsia" w:hAnsiTheme="minorHAnsi" w:cstheme="minorBidi"/>
          <w:color w:val="auto"/>
          <w:sz w:val="22"/>
          <w:szCs w:val="22"/>
        </w:rPr>
      </w:pPr>
      <w:hyperlink w:anchor="_Toc93659349" w:history="1">
        <w:r w:rsidRPr="006D3A22">
          <w:rPr>
            <w:rStyle w:val="Hyperlink"/>
          </w:rPr>
          <w:t>Stream Frontage Management Program and Rural Land Programs</w:t>
        </w:r>
        <w:r>
          <w:rPr>
            <w:webHidden/>
          </w:rPr>
          <w:tab/>
        </w:r>
        <w:r>
          <w:rPr>
            <w:webHidden/>
          </w:rPr>
          <w:fldChar w:fldCharType="begin"/>
        </w:r>
        <w:r>
          <w:rPr>
            <w:webHidden/>
          </w:rPr>
          <w:instrText xml:space="preserve"> PAGEREF _Toc93659349 \h </w:instrText>
        </w:r>
        <w:r>
          <w:rPr>
            <w:webHidden/>
          </w:rPr>
        </w:r>
        <w:r>
          <w:rPr>
            <w:webHidden/>
          </w:rPr>
          <w:fldChar w:fldCharType="separate"/>
        </w:r>
        <w:r>
          <w:rPr>
            <w:webHidden/>
          </w:rPr>
          <w:t>38</w:t>
        </w:r>
        <w:r>
          <w:rPr>
            <w:webHidden/>
          </w:rPr>
          <w:fldChar w:fldCharType="end"/>
        </w:r>
      </w:hyperlink>
    </w:p>
    <w:p w14:paraId="025DC9B1" w14:textId="13DFA915" w:rsidR="00926282" w:rsidRDefault="00926282">
      <w:pPr>
        <w:pStyle w:val="TOC3"/>
        <w:rPr>
          <w:rFonts w:asciiTheme="minorHAnsi" w:eastAsiaTheme="minorEastAsia" w:hAnsiTheme="minorHAnsi" w:cstheme="minorBidi"/>
          <w:color w:val="auto"/>
          <w:sz w:val="22"/>
          <w:szCs w:val="22"/>
        </w:rPr>
      </w:pPr>
      <w:hyperlink w:anchor="_Toc93659350" w:history="1">
        <w:r w:rsidRPr="006D3A22">
          <w:rPr>
            <w:rStyle w:val="Hyperlink"/>
          </w:rPr>
          <w:t>Research into climate resilient revegetation</w:t>
        </w:r>
        <w:r>
          <w:rPr>
            <w:webHidden/>
          </w:rPr>
          <w:tab/>
        </w:r>
        <w:r>
          <w:rPr>
            <w:webHidden/>
          </w:rPr>
          <w:fldChar w:fldCharType="begin"/>
        </w:r>
        <w:r>
          <w:rPr>
            <w:webHidden/>
          </w:rPr>
          <w:instrText xml:space="preserve"> PAGEREF _Toc93659350 \h </w:instrText>
        </w:r>
        <w:r>
          <w:rPr>
            <w:webHidden/>
          </w:rPr>
        </w:r>
        <w:r>
          <w:rPr>
            <w:webHidden/>
          </w:rPr>
          <w:fldChar w:fldCharType="separate"/>
        </w:r>
        <w:r>
          <w:rPr>
            <w:webHidden/>
          </w:rPr>
          <w:t>39</w:t>
        </w:r>
        <w:r>
          <w:rPr>
            <w:webHidden/>
          </w:rPr>
          <w:fldChar w:fldCharType="end"/>
        </w:r>
      </w:hyperlink>
    </w:p>
    <w:p w14:paraId="630F39D4" w14:textId="02E15624" w:rsidR="00926282" w:rsidRDefault="00926282">
      <w:pPr>
        <w:pStyle w:val="TOC3"/>
        <w:rPr>
          <w:rFonts w:asciiTheme="minorHAnsi" w:eastAsiaTheme="minorEastAsia" w:hAnsiTheme="minorHAnsi" w:cstheme="minorBidi"/>
          <w:color w:val="auto"/>
          <w:sz w:val="22"/>
          <w:szCs w:val="22"/>
        </w:rPr>
      </w:pPr>
      <w:hyperlink w:anchor="_Toc93659351" w:history="1">
        <w:r w:rsidRPr="006D3A22">
          <w:rPr>
            <w:rStyle w:val="Hyperlink"/>
          </w:rPr>
          <w:t>Delivering environmental water releases</w:t>
        </w:r>
        <w:r>
          <w:rPr>
            <w:webHidden/>
          </w:rPr>
          <w:tab/>
        </w:r>
        <w:r>
          <w:rPr>
            <w:webHidden/>
          </w:rPr>
          <w:fldChar w:fldCharType="begin"/>
        </w:r>
        <w:r>
          <w:rPr>
            <w:webHidden/>
          </w:rPr>
          <w:instrText xml:space="preserve"> PAGEREF _Toc93659351 \h </w:instrText>
        </w:r>
        <w:r>
          <w:rPr>
            <w:webHidden/>
          </w:rPr>
        </w:r>
        <w:r>
          <w:rPr>
            <w:webHidden/>
          </w:rPr>
          <w:fldChar w:fldCharType="separate"/>
        </w:r>
        <w:r>
          <w:rPr>
            <w:webHidden/>
          </w:rPr>
          <w:t>39</w:t>
        </w:r>
        <w:r>
          <w:rPr>
            <w:webHidden/>
          </w:rPr>
          <w:fldChar w:fldCharType="end"/>
        </w:r>
      </w:hyperlink>
    </w:p>
    <w:p w14:paraId="5A2A7280" w14:textId="67B2F7BF" w:rsidR="00926282" w:rsidRDefault="00926282">
      <w:pPr>
        <w:pStyle w:val="TOC3"/>
        <w:rPr>
          <w:rFonts w:asciiTheme="minorHAnsi" w:eastAsiaTheme="minorEastAsia" w:hAnsiTheme="minorHAnsi" w:cstheme="minorBidi"/>
          <w:color w:val="auto"/>
          <w:sz w:val="22"/>
          <w:szCs w:val="22"/>
        </w:rPr>
      </w:pPr>
      <w:hyperlink w:anchor="_Toc93659352" w:history="1">
        <w:r w:rsidRPr="006D3A22">
          <w:rPr>
            <w:rStyle w:val="Hyperlink"/>
          </w:rPr>
          <w:t>Managing the health of our rivers, creeks, wetlands and estuaries</w:t>
        </w:r>
        <w:r>
          <w:rPr>
            <w:webHidden/>
          </w:rPr>
          <w:tab/>
        </w:r>
        <w:r>
          <w:rPr>
            <w:webHidden/>
          </w:rPr>
          <w:fldChar w:fldCharType="begin"/>
        </w:r>
        <w:r>
          <w:rPr>
            <w:webHidden/>
          </w:rPr>
          <w:instrText xml:space="preserve"> PAGEREF _Toc93659352 \h </w:instrText>
        </w:r>
        <w:r>
          <w:rPr>
            <w:webHidden/>
          </w:rPr>
        </w:r>
        <w:r>
          <w:rPr>
            <w:webHidden/>
          </w:rPr>
          <w:fldChar w:fldCharType="separate"/>
        </w:r>
        <w:r>
          <w:rPr>
            <w:webHidden/>
          </w:rPr>
          <w:t>40</w:t>
        </w:r>
        <w:r>
          <w:rPr>
            <w:webHidden/>
          </w:rPr>
          <w:fldChar w:fldCharType="end"/>
        </w:r>
      </w:hyperlink>
    </w:p>
    <w:p w14:paraId="29778C57" w14:textId="1EC40010" w:rsidR="00926282" w:rsidRDefault="00926282">
      <w:pPr>
        <w:pStyle w:val="TOC1"/>
        <w:rPr>
          <w:rFonts w:asciiTheme="minorHAnsi" w:eastAsiaTheme="minorEastAsia" w:hAnsiTheme="minorHAnsi" w:cstheme="minorBidi"/>
          <w:sz w:val="22"/>
          <w:szCs w:val="22"/>
        </w:rPr>
      </w:pPr>
      <w:hyperlink w:anchor="_Toc93659353" w:history="1">
        <w:r w:rsidRPr="006D3A22">
          <w:rPr>
            <w:rStyle w:val="Hyperlink"/>
          </w:rPr>
          <w:t>Delivering for Liveability</w:t>
        </w:r>
        <w:r>
          <w:rPr>
            <w:webHidden/>
          </w:rPr>
          <w:tab/>
        </w:r>
        <w:r>
          <w:rPr>
            <w:webHidden/>
          </w:rPr>
          <w:fldChar w:fldCharType="begin"/>
        </w:r>
        <w:r>
          <w:rPr>
            <w:webHidden/>
          </w:rPr>
          <w:instrText xml:space="preserve"> PAGEREF _Toc93659353 \h </w:instrText>
        </w:r>
        <w:r>
          <w:rPr>
            <w:webHidden/>
          </w:rPr>
        </w:r>
        <w:r>
          <w:rPr>
            <w:webHidden/>
          </w:rPr>
          <w:fldChar w:fldCharType="separate"/>
        </w:r>
        <w:r>
          <w:rPr>
            <w:webHidden/>
          </w:rPr>
          <w:t>42</w:t>
        </w:r>
        <w:r>
          <w:rPr>
            <w:webHidden/>
          </w:rPr>
          <w:fldChar w:fldCharType="end"/>
        </w:r>
      </w:hyperlink>
    </w:p>
    <w:p w14:paraId="6A4FB866" w14:textId="49147152" w:rsidR="00926282" w:rsidRDefault="00926282">
      <w:pPr>
        <w:pStyle w:val="TOC2"/>
        <w:rPr>
          <w:rFonts w:asciiTheme="minorHAnsi" w:eastAsiaTheme="minorEastAsia" w:hAnsiTheme="minorHAnsi" w:cstheme="minorBidi"/>
          <w:noProof/>
          <w:color w:val="auto"/>
          <w:sz w:val="22"/>
          <w:szCs w:val="22"/>
        </w:rPr>
      </w:pPr>
      <w:hyperlink w:anchor="_Toc93659354" w:history="1">
        <w:r w:rsidRPr="006D3A22">
          <w:rPr>
            <w:rStyle w:val="Hyperlink"/>
            <w:noProof/>
          </w:rPr>
          <w:t>Resilient Cities and Towns</w:t>
        </w:r>
        <w:r>
          <w:rPr>
            <w:noProof/>
            <w:webHidden/>
          </w:rPr>
          <w:tab/>
        </w:r>
        <w:r>
          <w:rPr>
            <w:noProof/>
            <w:webHidden/>
          </w:rPr>
          <w:fldChar w:fldCharType="begin"/>
        </w:r>
        <w:r>
          <w:rPr>
            <w:noProof/>
            <w:webHidden/>
          </w:rPr>
          <w:instrText xml:space="preserve"> PAGEREF _Toc93659354 \h </w:instrText>
        </w:r>
        <w:r>
          <w:rPr>
            <w:noProof/>
            <w:webHidden/>
          </w:rPr>
        </w:r>
        <w:r>
          <w:rPr>
            <w:noProof/>
            <w:webHidden/>
          </w:rPr>
          <w:fldChar w:fldCharType="separate"/>
        </w:r>
        <w:r>
          <w:rPr>
            <w:noProof/>
            <w:webHidden/>
          </w:rPr>
          <w:t>42</w:t>
        </w:r>
        <w:r>
          <w:rPr>
            <w:noProof/>
            <w:webHidden/>
          </w:rPr>
          <w:fldChar w:fldCharType="end"/>
        </w:r>
      </w:hyperlink>
    </w:p>
    <w:p w14:paraId="0F62163F" w14:textId="28DF4057" w:rsidR="00926282" w:rsidRDefault="00926282">
      <w:pPr>
        <w:pStyle w:val="TOC3"/>
        <w:rPr>
          <w:rFonts w:asciiTheme="minorHAnsi" w:eastAsiaTheme="minorEastAsia" w:hAnsiTheme="minorHAnsi" w:cstheme="minorBidi"/>
          <w:color w:val="auto"/>
          <w:sz w:val="22"/>
          <w:szCs w:val="22"/>
        </w:rPr>
      </w:pPr>
      <w:hyperlink w:anchor="_Toc93659355" w:history="1">
        <w:r w:rsidRPr="006D3A22">
          <w:rPr>
            <w:rStyle w:val="Hyperlink"/>
          </w:rPr>
          <w:t>Our Approach</w:t>
        </w:r>
        <w:r>
          <w:rPr>
            <w:webHidden/>
          </w:rPr>
          <w:tab/>
        </w:r>
        <w:r>
          <w:rPr>
            <w:webHidden/>
          </w:rPr>
          <w:fldChar w:fldCharType="begin"/>
        </w:r>
        <w:r>
          <w:rPr>
            <w:webHidden/>
          </w:rPr>
          <w:instrText xml:space="preserve"> PAGEREF _Toc93659355 \h </w:instrText>
        </w:r>
        <w:r>
          <w:rPr>
            <w:webHidden/>
          </w:rPr>
        </w:r>
        <w:r>
          <w:rPr>
            <w:webHidden/>
          </w:rPr>
          <w:fldChar w:fldCharType="separate"/>
        </w:r>
        <w:r>
          <w:rPr>
            <w:webHidden/>
          </w:rPr>
          <w:t>42</w:t>
        </w:r>
        <w:r>
          <w:rPr>
            <w:webHidden/>
          </w:rPr>
          <w:fldChar w:fldCharType="end"/>
        </w:r>
      </w:hyperlink>
    </w:p>
    <w:p w14:paraId="40FC25A9" w14:textId="4D664035" w:rsidR="00926282" w:rsidRDefault="00926282">
      <w:pPr>
        <w:pStyle w:val="TOC3"/>
        <w:rPr>
          <w:rFonts w:asciiTheme="minorHAnsi" w:eastAsiaTheme="minorEastAsia" w:hAnsiTheme="minorHAnsi" w:cstheme="minorBidi"/>
          <w:color w:val="auto"/>
          <w:sz w:val="22"/>
          <w:szCs w:val="22"/>
        </w:rPr>
      </w:pPr>
      <w:hyperlink w:anchor="_Toc93659356" w:history="1">
        <w:r w:rsidRPr="006D3A22">
          <w:rPr>
            <w:rStyle w:val="Hyperlink"/>
          </w:rPr>
          <w:t>Facilitating Integrated Water Management for urban development</w:t>
        </w:r>
        <w:r>
          <w:rPr>
            <w:webHidden/>
          </w:rPr>
          <w:tab/>
        </w:r>
        <w:r>
          <w:rPr>
            <w:webHidden/>
          </w:rPr>
          <w:fldChar w:fldCharType="begin"/>
        </w:r>
        <w:r>
          <w:rPr>
            <w:webHidden/>
          </w:rPr>
          <w:instrText xml:space="preserve"> PAGEREF _Toc93659356 \h </w:instrText>
        </w:r>
        <w:r>
          <w:rPr>
            <w:webHidden/>
          </w:rPr>
        </w:r>
        <w:r>
          <w:rPr>
            <w:webHidden/>
          </w:rPr>
          <w:fldChar w:fldCharType="separate"/>
        </w:r>
        <w:r>
          <w:rPr>
            <w:webHidden/>
          </w:rPr>
          <w:t>42</w:t>
        </w:r>
        <w:r>
          <w:rPr>
            <w:webHidden/>
          </w:rPr>
          <w:fldChar w:fldCharType="end"/>
        </w:r>
      </w:hyperlink>
    </w:p>
    <w:p w14:paraId="243D95C5" w14:textId="1D2FC3FD" w:rsidR="00926282" w:rsidRDefault="00926282">
      <w:pPr>
        <w:pStyle w:val="TOC3"/>
        <w:rPr>
          <w:rFonts w:asciiTheme="minorHAnsi" w:eastAsiaTheme="minorEastAsia" w:hAnsiTheme="minorHAnsi" w:cstheme="minorBidi"/>
          <w:color w:val="auto"/>
          <w:sz w:val="22"/>
          <w:szCs w:val="22"/>
        </w:rPr>
      </w:pPr>
      <w:hyperlink w:anchor="_Toc93659357" w:history="1">
        <w:r w:rsidRPr="006D3A22">
          <w:rPr>
            <w:rStyle w:val="Hyperlink"/>
          </w:rPr>
          <w:t>Integrated Water Management forums</w:t>
        </w:r>
        <w:r>
          <w:rPr>
            <w:webHidden/>
          </w:rPr>
          <w:tab/>
        </w:r>
        <w:r>
          <w:rPr>
            <w:webHidden/>
          </w:rPr>
          <w:fldChar w:fldCharType="begin"/>
        </w:r>
        <w:r>
          <w:rPr>
            <w:webHidden/>
          </w:rPr>
          <w:instrText xml:space="preserve"> PAGEREF _Toc93659357 \h </w:instrText>
        </w:r>
        <w:r>
          <w:rPr>
            <w:webHidden/>
          </w:rPr>
        </w:r>
        <w:r>
          <w:rPr>
            <w:webHidden/>
          </w:rPr>
          <w:fldChar w:fldCharType="separate"/>
        </w:r>
        <w:r>
          <w:rPr>
            <w:webHidden/>
          </w:rPr>
          <w:t>43</w:t>
        </w:r>
        <w:r>
          <w:rPr>
            <w:webHidden/>
          </w:rPr>
          <w:fldChar w:fldCharType="end"/>
        </w:r>
      </w:hyperlink>
    </w:p>
    <w:p w14:paraId="69A76415" w14:textId="0570304A" w:rsidR="00926282" w:rsidRDefault="00926282">
      <w:pPr>
        <w:pStyle w:val="TOC3"/>
        <w:rPr>
          <w:rFonts w:asciiTheme="minorHAnsi" w:eastAsiaTheme="minorEastAsia" w:hAnsiTheme="minorHAnsi" w:cstheme="minorBidi"/>
          <w:color w:val="auto"/>
          <w:sz w:val="22"/>
          <w:szCs w:val="22"/>
        </w:rPr>
      </w:pPr>
      <w:hyperlink w:anchor="_Toc93659358" w:history="1">
        <w:r w:rsidRPr="006D3A22">
          <w:rPr>
            <w:rStyle w:val="Hyperlink"/>
          </w:rPr>
          <w:t>Investigating city-scale alternative water networks</w:t>
        </w:r>
        <w:r>
          <w:rPr>
            <w:webHidden/>
          </w:rPr>
          <w:tab/>
        </w:r>
        <w:r>
          <w:rPr>
            <w:webHidden/>
          </w:rPr>
          <w:fldChar w:fldCharType="begin"/>
        </w:r>
        <w:r>
          <w:rPr>
            <w:webHidden/>
          </w:rPr>
          <w:instrText xml:space="preserve"> PAGEREF _Toc93659358 \h </w:instrText>
        </w:r>
        <w:r>
          <w:rPr>
            <w:webHidden/>
          </w:rPr>
        </w:r>
        <w:r>
          <w:rPr>
            <w:webHidden/>
          </w:rPr>
          <w:fldChar w:fldCharType="separate"/>
        </w:r>
        <w:r>
          <w:rPr>
            <w:webHidden/>
          </w:rPr>
          <w:t>43</w:t>
        </w:r>
        <w:r>
          <w:rPr>
            <w:webHidden/>
          </w:rPr>
          <w:fldChar w:fldCharType="end"/>
        </w:r>
      </w:hyperlink>
    </w:p>
    <w:p w14:paraId="55B75856" w14:textId="0BD8EB1A" w:rsidR="00926282" w:rsidRDefault="00926282">
      <w:pPr>
        <w:pStyle w:val="TOC3"/>
        <w:rPr>
          <w:rFonts w:asciiTheme="minorHAnsi" w:eastAsiaTheme="minorEastAsia" w:hAnsiTheme="minorHAnsi" w:cstheme="minorBidi"/>
          <w:color w:val="auto"/>
          <w:sz w:val="22"/>
          <w:szCs w:val="22"/>
        </w:rPr>
      </w:pPr>
      <w:hyperlink w:anchor="_Toc93659359" w:history="1">
        <w:r w:rsidRPr="006D3A22">
          <w:rPr>
            <w:rStyle w:val="Hyperlink"/>
          </w:rPr>
          <w:t>Integrated Water Management capacity building and education with Clearwater</w:t>
        </w:r>
        <w:r>
          <w:rPr>
            <w:webHidden/>
          </w:rPr>
          <w:tab/>
        </w:r>
        <w:r>
          <w:rPr>
            <w:webHidden/>
          </w:rPr>
          <w:fldChar w:fldCharType="begin"/>
        </w:r>
        <w:r>
          <w:rPr>
            <w:webHidden/>
          </w:rPr>
          <w:instrText xml:space="preserve"> PAGEREF _Toc93659359 \h </w:instrText>
        </w:r>
        <w:r>
          <w:rPr>
            <w:webHidden/>
          </w:rPr>
        </w:r>
        <w:r>
          <w:rPr>
            <w:webHidden/>
          </w:rPr>
          <w:fldChar w:fldCharType="separate"/>
        </w:r>
        <w:r>
          <w:rPr>
            <w:webHidden/>
          </w:rPr>
          <w:t>43</w:t>
        </w:r>
        <w:r>
          <w:rPr>
            <w:webHidden/>
          </w:rPr>
          <w:fldChar w:fldCharType="end"/>
        </w:r>
      </w:hyperlink>
    </w:p>
    <w:p w14:paraId="75C4CBDB" w14:textId="3DB5DC37" w:rsidR="00926282" w:rsidRDefault="00926282">
      <w:pPr>
        <w:pStyle w:val="TOC3"/>
        <w:rPr>
          <w:rFonts w:asciiTheme="minorHAnsi" w:eastAsiaTheme="minorEastAsia" w:hAnsiTheme="minorHAnsi" w:cstheme="minorBidi"/>
          <w:color w:val="auto"/>
          <w:sz w:val="22"/>
          <w:szCs w:val="22"/>
        </w:rPr>
      </w:pPr>
      <w:hyperlink w:anchor="_Toc93659360" w:history="1">
        <w:r w:rsidRPr="006D3A22">
          <w:rPr>
            <w:rStyle w:val="Hyperlink"/>
          </w:rPr>
          <w:t>Future investment in stormwater catchments</w:t>
        </w:r>
        <w:r>
          <w:rPr>
            <w:webHidden/>
          </w:rPr>
          <w:tab/>
        </w:r>
        <w:r>
          <w:rPr>
            <w:webHidden/>
          </w:rPr>
          <w:fldChar w:fldCharType="begin"/>
        </w:r>
        <w:r>
          <w:rPr>
            <w:webHidden/>
          </w:rPr>
          <w:instrText xml:space="preserve"> PAGEREF _Toc93659360 \h </w:instrText>
        </w:r>
        <w:r>
          <w:rPr>
            <w:webHidden/>
          </w:rPr>
        </w:r>
        <w:r>
          <w:rPr>
            <w:webHidden/>
          </w:rPr>
          <w:fldChar w:fldCharType="separate"/>
        </w:r>
        <w:r>
          <w:rPr>
            <w:webHidden/>
          </w:rPr>
          <w:t>44</w:t>
        </w:r>
        <w:r>
          <w:rPr>
            <w:webHidden/>
          </w:rPr>
          <w:fldChar w:fldCharType="end"/>
        </w:r>
      </w:hyperlink>
    </w:p>
    <w:p w14:paraId="19CD90FD" w14:textId="032AF621" w:rsidR="00926282" w:rsidRDefault="00926282">
      <w:pPr>
        <w:pStyle w:val="TOC3"/>
        <w:rPr>
          <w:rFonts w:asciiTheme="minorHAnsi" w:eastAsiaTheme="minorEastAsia" w:hAnsiTheme="minorHAnsi" w:cstheme="minorBidi"/>
          <w:color w:val="auto"/>
          <w:sz w:val="22"/>
          <w:szCs w:val="22"/>
        </w:rPr>
      </w:pPr>
      <w:hyperlink w:anchor="_Toc93659361" w:history="1">
        <w:r w:rsidRPr="006D3A22">
          <w:rPr>
            <w:rStyle w:val="Hyperlink"/>
          </w:rPr>
          <w:t>Creating cooler, greener environments</w:t>
        </w:r>
        <w:r>
          <w:rPr>
            <w:webHidden/>
          </w:rPr>
          <w:tab/>
        </w:r>
        <w:r>
          <w:rPr>
            <w:webHidden/>
          </w:rPr>
          <w:fldChar w:fldCharType="begin"/>
        </w:r>
        <w:r>
          <w:rPr>
            <w:webHidden/>
          </w:rPr>
          <w:instrText xml:space="preserve"> PAGEREF _Toc93659361 \h </w:instrText>
        </w:r>
        <w:r>
          <w:rPr>
            <w:webHidden/>
          </w:rPr>
        </w:r>
        <w:r>
          <w:rPr>
            <w:webHidden/>
          </w:rPr>
          <w:fldChar w:fldCharType="separate"/>
        </w:r>
        <w:r>
          <w:rPr>
            <w:webHidden/>
          </w:rPr>
          <w:t>44</w:t>
        </w:r>
        <w:r>
          <w:rPr>
            <w:webHidden/>
          </w:rPr>
          <w:fldChar w:fldCharType="end"/>
        </w:r>
      </w:hyperlink>
    </w:p>
    <w:p w14:paraId="7E3FFA45" w14:textId="18A40FC0" w:rsidR="00926282" w:rsidRDefault="00926282">
      <w:pPr>
        <w:pStyle w:val="TOC3"/>
        <w:rPr>
          <w:rFonts w:asciiTheme="minorHAnsi" w:eastAsiaTheme="minorEastAsia" w:hAnsiTheme="minorHAnsi" w:cstheme="minorBidi"/>
          <w:color w:val="auto"/>
          <w:sz w:val="22"/>
          <w:szCs w:val="22"/>
        </w:rPr>
      </w:pPr>
      <w:hyperlink w:anchor="_Toc93659362" w:history="1">
        <w:r w:rsidRPr="006D3A22">
          <w:rPr>
            <w:rStyle w:val="Hyperlink"/>
          </w:rPr>
          <w:t>Increasing recreational use of Melbourne’s waterways</w:t>
        </w:r>
        <w:r>
          <w:rPr>
            <w:webHidden/>
          </w:rPr>
          <w:tab/>
        </w:r>
        <w:r>
          <w:rPr>
            <w:webHidden/>
          </w:rPr>
          <w:fldChar w:fldCharType="begin"/>
        </w:r>
        <w:r>
          <w:rPr>
            <w:webHidden/>
          </w:rPr>
          <w:instrText xml:space="preserve"> PAGEREF _Toc93659362 \h </w:instrText>
        </w:r>
        <w:r>
          <w:rPr>
            <w:webHidden/>
          </w:rPr>
        </w:r>
        <w:r>
          <w:rPr>
            <w:webHidden/>
          </w:rPr>
          <w:fldChar w:fldCharType="separate"/>
        </w:r>
        <w:r>
          <w:rPr>
            <w:webHidden/>
          </w:rPr>
          <w:t>44</w:t>
        </w:r>
        <w:r>
          <w:rPr>
            <w:webHidden/>
          </w:rPr>
          <w:fldChar w:fldCharType="end"/>
        </w:r>
      </w:hyperlink>
    </w:p>
    <w:p w14:paraId="77712A64" w14:textId="70D5B523" w:rsidR="00926282" w:rsidRDefault="00926282">
      <w:pPr>
        <w:pStyle w:val="TOC3"/>
        <w:rPr>
          <w:rFonts w:asciiTheme="minorHAnsi" w:eastAsiaTheme="minorEastAsia" w:hAnsiTheme="minorHAnsi" w:cstheme="minorBidi"/>
          <w:color w:val="auto"/>
          <w:sz w:val="22"/>
          <w:szCs w:val="22"/>
        </w:rPr>
      </w:pPr>
      <w:hyperlink w:anchor="_Toc93659363" w:history="1">
        <w:r w:rsidRPr="006D3A22">
          <w:rPr>
            <w:rStyle w:val="Hyperlink"/>
          </w:rPr>
          <w:t>Reimagining Your Creek</w:t>
        </w:r>
        <w:r>
          <w:rPr>
            <w:webHidden/>
          </w:rPr>
          <w:tab/>
        </w:r>
        <w:r>
          <w:rPr>
            <w:webHidden/>
          </w:rPr>
          <w:fldChar w:fldCharType="begin"/>
        </w:r>
        <w:r>
          <w:rPr>
            <w:webHidden/>
          </w:rPr>
          <w:instrText xml:space="preserve"> PAGEREF _Toc93659363 \h </w:instrText>
        </w:r>
        <w:r>
          <w:rPr>
            <w:webHidden/>
          </w:rPr>
        </w:r>
        <w:r>
          <w:rPr>
            <w:webHidden/>
          </w:rPr>
          <w:fldChar w:fldCharType="separate"/>
        </w:r>
        <w:r>
          <w:rPr>
            <w:webHidden/>
          </w:rPr>
          <w:t>45</w:t>
        </w:r>
        <w:r>
          <w:rPr>
            <w:webHidden/>
          </w:rPr>
          <w:fldChar w:fldCharType="end"/>
        </w:r>
      </w:hyperlink>
    </w:p>
    <w:p w14:paraId="4B742BF3" w14:textId="66D90DBA" w:rsidR="00926282" w:rsidRDefault="00926282">
      <w:pPr>
        <w:pStyle w:val="TOC3"/>
        <w:rPr>
          <w:rFonts w:asciiTheme="minorHAnsi" w:eastAsiaTheme="minorEastAsia" w:hAnsiTheme="minorHAnsi" w:cstheme="minorBidi"/>
          <w:color w:val="auto"/>
          <w:sz w:val="22"/>
          <w:szCs w:val="22"/>
        </w:rPr>
      </w:pPr>
      <w:hyperlink w:anchor="_Toc93659364" w:history="1">
        <w:r w:rsidRPr="006D3A22">
          <w:rPr>
            <w:rStyle w:val="Hyperlink"/>
          </w:rPr>
          <w:t>Blue-green corridor planning</w:t>
        </w:r>
        <w:r>
          <w:rPr>
            <w:webHidden/>
          </w:rPr>
          <w:tab/>
        </w:r>
        <w:r>
          <w:rPr>
            <w:webHidden/>
          </w:rPr>
          <w:fldChar w:fldCharType="begin"/>
        </w:r>
        <w:r>
          <w:rPr>
            <w:webHidden/>
          </w:rPr>
          <w:instrText xml:space="preserve"> PAGEREF _Toc93659364 \h </w:instrText>
        </w:r>
        <w:r>
          <w:rPr>
            <w:webHidden/>
          </w:rPr>
        </w:r>
        <w:r>
          <w:rPr>
            <w:webHidden/>
          </w:rPr>
          <w:fldChar w:fldCharType="separate"/>
        </w:r>
        <w:r>
          <w:rPr>
            <w:webHidden/>
          </w:rPr>
          <w:t>45</w:t>
        </w:r>
        <w:r>
          <w:rPr>
            <w:webHidden/>
          </w:rPr>
          <w:fldChar w:fldCharType="end"/>
        </w:r>
      </w:hyperlink>
    </w:p>
    <w:p w14:paraId="42C6D93A" w14:textId="0193BE12" w:rsidR="00926282" w:rsidRDefault="00926282">
      <w:pPr>
        <w:pStyle w:val="TOC2"/>
        <w:rPr>
          <w:rFonts w:asciiTheme="minorHAnsi" w:eastAsiaTheme="minorEastAsia" w:hAnsiTheme="minorHAnsi" w:cstheme="minorBidi"/>
          <w:noProof/>
          <w:color w:val="auto"/>
          <w:sz w:val="22"/>
          <w:szCs w:val="22"/>
        </w:rPr>
      </w:pPr>
      <w:hyperlink w:anchor="_Toc93659365" w:history="1">
        <w:r w:rsidRPr="006D3A22">
          <w:rPr>
            <w:rStyle w:val="Hyperlink"/>
            <w:noProof/>
          </w:rPr>
          <w:t>Customers and Community</w:t>
        </w:r>
        <w:r>
          <w:rPr>
            <w:noProof/>
            <w:webHidden/>
          </w:rPr>
          <w:tab/>
        </w:r>
        <w:r>
          <w:rPr>
            <w:noProof/>
            <w:webHidden/>
          </w:rPr>
          <w:fldChar w:fldCharType="begin"/>
        </w:r>
        <w:r>
          <w:rPr>
            <w:noProof/>
            <w:webHidden/>
          </w:rPr>
          <w:instrText xml:space="preserve"> PAGEREF _Toc93659365 \h </w:instrText>
        </w:r>
        <w:r>
          <w:rPr>
            <w:noProof/>
            <w:webHidden/>
          </w:rPr>
        </w:r>
        <w:r>
          <w:rPr>
            <w:noProof/>
            <w:webHidden/>
          </w:rPr>
          <w:fldChar w:fldCharType="separate"/>
        </w:r>
        <w:r>
          <w:rPr>
            <w:noProof/>
            <w:webHidden/>
          </w:rPr>
          <w:t>46</w:t>
        </w:r>
        <w:r>
          <w:rPr>
            <w:noProof/>
            <w:webHidden/>
          </w:rPr>
          <w:fldChar w:fldCharType="end"/>
        </w:r>
      </w:hyperlink>
    </w:p>
    <w:p w14:paraId="618858A4" w14:textId="7C7FB2BC" w:rsidR="00926282" w:rsidRDefault="00926282">
      <w:pPr>
        <w:pStyle w:val="TOC3"/>
        <w:rPr>
          <w:rFonts w:asciiTheme="minorHAnsi" w:eastAsiaTheme="minorEastAsia" w:hAnsiTheme="minorHAnsi" w:cstheme="minorBidi"/>
          <w:color w:val="auto"/>
          <w:sz w:val="22"/>
          <w:szCs w:val="22"/>
        </w:rPr>
      </w:pPr>
      <w:hyperlink w:anchor="_Toc93659366" w:history="1">
        <w:r w:rsidRPr="006D3A22">
          <w:rPr>
            <w:rStyle w:val="Hyperlink"/>
          </w:rPr>
          <w:t>Our Approach</w:t>
        </w:r>
        <w:r>
          <w:rPr>
            <w:webHidden/>
          </w:rPr>
          <w:tab/>
        </w:r>
        <w:r>
          <w:rPr>
            <w:webHidden/>
          </w:rPr>
          <w:fldChar w:fldCharType="begin"/>
        </w:r>
        <w:r>
          <w:rPr>
            <w:webHidden/>
          </w:rPr>
          <w:instrText xml:space="preserve"> PAGEREF _Toc93659366 \h </w:instrText>
        </w:r>
        <w:r>
          <w:rPr>
            <w:webHidden/>
          </w:rPr>
        </w:r>
        <w:r>
          <w:rPr>
            <w:webHidden/>
          </w:rPr>
          <w:fldChar w:fldCharType="separate"/>
        </w:r>
        <w:r>
          <w:rPr>
            <w:webHidden/>
          </w:rPr>
          <w:t>46</w:t>
        </w:r>
        <w:r>
          <w:rPr>
            <w:webHidden/>
          </w:rPr>
          <w:fldChar w:fldCharType="end"/>
        </w:r>
      </w:hyperlink>
    </w:p>
    <w:p w14:paraId="46BD6BDC" w14:textId="366FF2D0" w:rsidR="00926282" w:rsidRDefault="00926282">
      <w:pPr>
        <w:pStyle w:val="TOC3"/>
        <w:rPr>
          <w:rFonts w:asciiTheme="minorHAnsi" w:eastAsiaTheme="minorEastAsia" w:hAnsiTheme="minorHAnsi" w:cstheme="minorBidi"/>
          <w:color w:val="auto"/>
          <w:sz w:val="22"/>
          <w:szCs w:val="22"/>
        </w:rPr>
      </w:pPr>
      <w:hyperlink w:anchor="_Toc93659367" w:history="1">
        <w:r w:rsidRPr="006D3A22">
          <w:rPr>
            <w:rStyle w:val="Hyperlink"/>
          </w:rPr>
          <w:t>Next Generation Engagement Program</w:t>
        </w:r>
        <w:r>
          <w:rPr>
            <w:webHidden/>
          </w:rPr>
          <w:tab/>
        </w:r>
        <w:r>
          <w:rPr>
            <w:webHidden/>
          </w:rPr>
          <w:fldChar w:fldCharType="begin"/>
        </w:r>
        <w:r>
          <w:rPr>
            <w:webHidden/>
          </w:rPr>
          <w:instrText xml:space="preserve"> PAGEREF _Toc93659367 \h </w:instrText>
        </w:r>
        <w:r>
          <w:rPr>
            <w:webHidden/>
          </w:rPr>
        </w:r>
        <w:r>
          <w:rPr>
            <w:webHidden/>
          </w:rPr>
          <w:fldChar w:fldCharType="separate"/>
        </w:r>
        <w:r>
          <w:rPr>
            <w:webHidden/>
          </w:rPr>
          <w:t>46</w:t>
        </w:r>
        <w:r>
          <w:rPr>
            <w:webHidden/>
          </w:rPr>
          <w:fldChar w:fldCharType="end"/>
        </w:r>
      </w:hyperlink>
    </w:p>
    <w:p w14:paraId="6BDFC06B" w14:textId="1A7C1663" w:rsidR="00926282" w:rsidRDefault="00926282">
      <w:pPr>
        <w:pStyle w:val="TOC3"/>
        <w:rPr>
          <w:rFonts w:asciiTheme="minorHAnsi" w:eastAsiaTheme="minorEastAsia" w:hAnsiTheme="minorHAnsi" w:cstheme="minorBidi"/>
          <w:color w:val="auto"/>
          <w:sz w:val="22"/>
          <w:szCs w:val="22"/>
        </w:rPr>
      </w:pPr>
      <w:hyperlink w:anchor="_Toc93659368" w:history="1">
        <w:r w:rsidRPr="006D3A22">
          <w:rPr>
            <w:rStyle w:val="Hyperlink"/>
          </w:rPr>
          <w:t>Increasing water literacy</w:t>
        </w:r>
        <w:r>
          <w:rPr>
            <w:webHidden/>
          </w:rPr>
          <w:tab/>
        </w:r>
        <w:r>
          <w:rPr>
            <w:webHidden/>
          </w:rPr>
          <w:fldChar w:fldCharType="begin"/>
        </w:r>
        <w:r>
          <w:rPr>
            <w:webHidden/>
          </w:rPr>
          <w:instrText xml:space="preserve"> PAGEREF _Toc93659368 \h </w:instrText>
        </w:r>
        <w:r>
          <w:rPr>
            <w:webHidden/>
          </w:rPr>
        </w:r>
        <w:r>
          <w:rPr>
            <w:webHidden/>
          </w:rPr>
          <w:fldChar w:fldCharType="separate"/>
        </w:r>
        <w:r>
          <w:rPr>
            <w:webHidden/>
          </w:rPr>
          <w:t>47</w:t>
        </w:r>
        <w:r>
          <w:rPr>
            <w:webHidden/>
          </w:rPr>
          <w:fldChar w:fldCharType="end"/>
        </w:r>
      </w:hyperlink>
    </w:p>
    <w:p w14:paraId="01E5BF7D" w14:textId="7DF7A28E" w:rsidR="00926282" w:rsidRDefault="00926282">
      <w:pPr>
        <w:pStyle w:val="TOC3"/>
        <w:rPr>
          <w:rFonts w:asciiTheme="minorHAnsi" w:eastAsiaTheme="minorEastAsia" w:hAnsiTheme="minorHAnsi" w:cstheme="minorBidi"/>
          <w:color w:val="auto"/>
          <w:sz w:val="22"/>
          <w:szCs w:val="22"/>
        </w:rPr>
      </w:pPr>
      <w:hyperlink w:anchor="_Toc93659369" w:history="1">
        <w:r w:rsidRPr="006D3A22">
          <w:rPr>
            <w:rStyle w:val="Hyperlink"/>
          </w:rPr>
          <w:t>Reducing litter in our waterways</w:t>
        </w:r>
        <w:r>
          <w:rPr>
            <w:webHidden/>
          </w:rPr>
          <w:tab/>
        </w:r>
        <w:r>
          <w:rPr>
            <w:webHidden/>
          </w:rPr>
          <w:fldChar w:fldCharType="begin"/>
        </w:r>
        <w:r>
          <w:rPr>
            <w:webHidden/>
          </w:rPr>
          <w:instrText xml:space="preserve"> PAGEREF _Toc93659369 \h </w:instrText>
        </w:r>
        <w:r>
          <w:rPr>
            <w:webHidden/>
          </w:rPr>
        </w:r>
        <w:r>
          <w:rPr>
            <w:webHidden/>
          </w:rPr>
          <w:fldChar w:fldCharType="separate"/>
        </w:r>
        <w:r>
          <w:rPr>
            <w:webHidden/>
          </w:rPr>
          <w:t>47</w:t>
        </w:r>
        <w:r>
          <w:rPr>
            <w:webHidden/>
          </w:rPr>
          <w:fldChar w:fldCharType="end"/>
        </w:r>
      </w:hyperlink>
    </w:p>
    <w:p w14:paraId="65EFC033" w14:textId="4C8C854E" w:rsidR="00926282" w:rsidRDefault="00926282">
      <w:pPr>
        <w:pStyle w:val="TOC3"/>
        <w:rPr>
          <w:rFonts w:asciiTheme="minorHAnsi" w:eastAsiaTheme="minorEastAsia" w:hAnsiTheme="minorHAnsi" w:cstheme="minorBidi"/>
          <w:color w:val="auto"/>
          <w:sz w:val="22"/>
          <w:szCs w:val="22"/>
        </w:rPr>
      </w:pPr>
      <w:hyperlink w:anchor="_Toc93659370" w:history="1">
        <w:r w:rsidRPr="006D3A22">
          <w:rPr>
            <w:rStyle w:val="Hyperlink"/>
          </w:rPr>
          <w:t>Improving the service experience of our customers</w:t>
        </w:r>
        <w:r>
          <w:rPr>
            <w:webHidden/>
          </w:rPr>
          <w:tab/>
        </w:r>
        <w:r>
          <w:rPr>
            <w:webHidden/>
          </w:rPr>
          <w:fldChar w:fldCharType="begin"/>
        </w:r>
        <w:r>
          <w:rPr>
            <w:webHidden/>
          </w:rPr>
          <w:instrText xml:space="preserve"> PAGEREF _Toc93659370 \h </w:instrText>
        </w:r>
        <w:r>
          <w:rPr>
            <w:webHidden/>
          </w:rPr>
        </w:r>
        <w:r>
          <w:rPr>
            <w:webHidden/>
          </w:rPr>
          <w:fldChar w:fldCharType="separate"/>
        </w:r>
        <w:r>
          <w:rPr>
            <w:webHidden/>
          </w:rPr>
          <w:t>47</w:t>
        </w:r>
        <w:r>
          <w:rPr>
            <w:webHidden/>
          </w:rPr>
          <w:fldChar w:fldCharType="end"/>
        </w:r>
      </w:hyperlink>
    </w:p>
    <w:p w14:paraId="39AD61A9" w14:textId="37B940C3" w:rsidR="00926282" w:rsidRDefault="00926282">
      <w:pPr>
        <w:pStyle w:val="TOC3"/>
        <w:rPr>
          <w:rFonts w:asciiTheme="minorHAnsi" w:eastAsiaTheme="minorEastAsia" w:hAnsiTheme="minorHAnsi" w:cstheme="minorBidi"/>
          <w:color w:val="auto"/>
          <w:sz w:val="22"/>
          <w:szCs w:val="22"/>
        </w:rPr>
      </w:pPr>
      <w:hyperlink w:anchor="_Toc93659371" w:history="1">
        <w:r w:rsidRPr="006D3A22">
          <w:rPr>
            <w:rStyle w:val="Hyperlink"/>
          </w:rPr>
          <w:t>Digital services and education</w:t>
        </w:r>
        <w:r>
          <w:rPr>
            <w:webHidden/>
          </w:rPr>
          <w:tab/>
        </w:r>
        <w:r>
          <w:rPr>
            <w:webHidden/>
          </w:rPr>
          <w:fldChar w:fldCharType="begin"/>
        </w:r>
        <w:r>
          <w:rPr>
            <w:webHidden/>
          </w:rPr>
          <w:instrText xml:space="preserve"> PAGEREF _Toc93659371 \h </w:instrText>
        </w:r>
        <w:r>
          <w:rPr>
            <w:webHidden/>
          </w:rPr>
        </w:r>
        <w:r>
          <w:rPr>
            <w:webHidden/>
          </w:rPr>
          <w:fldChar w:fldCharType="separate"/>
        </w:r>
        <w:r>
          <w:rPr>
            <w:webHidden/>
          </w:rPr>
          <w:t>48</w:t>
        </w:r>
        <w:r>
          <w:rPr>
            <w:webHidden/>
          </w:rPr>
          <w:fldChar w:fldCharType="end"/>
        </w:r>
      </w:hyperlink>
    </w:p>
    <w:p w14:paraId="4B8867E9" w14:textId="505309DD" w:rsidR="00926282" w:rsidRDefault="00926282">
      <w:pPr>
        <w:pStyle w:val="TOC3"/>
        <w:rPr>
          <w:rFonts w:asciiTheme="minorHAnsi" w:eastAsiaTheme="minorEastAsia" w:hAnsiTheme="minorHAnsi" w:cstheme="minorBidi"/>
          <w:color w:val="auto"/>
          <w:sz w:val="22"/>
          <w:szCs w:val="22"/>
        </w:rPr>
      </w:pPr>
      <w:hyperlink w:anchor="_Toc93659372" w:history="1">
        <w:r w:rsidRPr="006D3A22">
          <w:rPr>
            <w:rStyle w:val="Hyperlink"/>
          </w:rPr>
          <w:t>QR codes enhancing community experiences</w:t>
        </w:r>
        <w:r>
          <w:rPr>
            <w:webHidden/>
          </w:rPr>
          <w:tab/>
        </w:r>
        <w:r>
          <w:rPr>
            <w:webHidden/>
          </w:rPr>
          <w:fldChar w:fldCharType="begin"/>
        </w:r>
        <w:r>
          <w:rPr>
            <w:webHidden/>
          </w:rPr>
          <w:instrText xml:space="preserve"> PAGEREF _Toc93659372 \h </w:instrText>
        </w:r>
        <w:r>
          <w:rPr>
            <w:webHidden/>
          </w:rPr>
        </w:r>
        <w:r>
          <w:rPr>
            <w:webHidden/>
          </w:rPr>
          <w:fldChar w:fldCharType="separate"/>
        </w:r>
        <w:r>
          <w:rPr>
            <w:webHidden/>
          </w:rPr>
          <w:t>48</w:t>
        </w:r>
        <w:r>
          <w:rPr>
            <w:webHidden/>
          </w:rPr>
          <w:fldChar w:fldCharType="end"/>
        </w:r>
      </w:hyperlink>
    </w:p>
    <w:p w14:paraId="4B07357A" w14:textId="0E32D0C7" w:rsidR="00926282" w:rsidRDefault="00926282">
      <w:pPr>
        <w:pStyle w:val="TOC3"/>
        <w:rPr>
          <w:rFonts w:asciiTheme="minorHAnsi" w:eastAsiaTheme="minorEastAsia" w:hAnsiTheme="minorHAnsi" w:cstheme="minorBidi"/>
          <w:color w:val="auto"/>
          <w:sz w:val="22"/>
          <w:szCs w:val="22"/>
        </w:rPr>
      </w:pPr>
      <w:hyperlink w:anchor="_Toc93659373" w:history="1">
        <w:r w:rsidRPr="006D3A22">
          <w:rPr>
            <w:rStyle w:val="Hyperlink"/>
          </w:rPr>
          <w:t>Customer hardship program</w:t>
        </w:r>
        <w:r>
          <w:rPr>
            <w:webHidden/>
          </w:rPr>
          <w:tab/>
        </w:r>
        <w:r>
          <w:rPr>
            <w:webHidden/>
          </w:rPr>
          <w:fldChar w:fldCharType="begin"/>
        </w:r>
        <w:r>
          <w:rPr>
            <w:webHidden/>
          </w:rPr>
          <w:instrText xml:space="preserve"> PAGEREF _Toc93659373 \h </w:instrText>
        </w:r>
        <w:r>
          <w:rPr>
            <w:webHidden/>
          </w:rPr>
        </w:r>
        <w:r>
          <w:rPr>
            <w:webHidden/>
          </w:rPr>
          <w:fldChar w:fldCharType="separate"/>
        </w:r>
        <w:r>
          <w:rPr>
            <w:webHidden/>
          </w:rPr>
          <w:t>48</w:t>
        </w:r>
        <w:r>
          <w:rPr>
            <w:webHidden/>
          </w:rPr>
          <w:fldChar w:fldCharType="end"/>
        </w:r>
      </w:hyperlink>
    </w:p>
    <w:p w14:paraId="6E9B6F5F" w14:textId="4C20DD2D" w:rsidR="00926282" w:rsidRDefault="00926282">
      <w:pPr>
        <w:pStyle w:val="TOC3"/>
        <w:rPr>
          <w:rFonts w:asciiTheme="minorHAnsi" w:eastAsiaTheme="minorEastAsia" w:hAnsiTheme="minorHAnsi" w:cstheme="minorBidi"/>
          <w:color w:val="auto"/>
          <w:sz w:val="22"/>
          <w:szCs w:val="22"/>
        </w:rPr>
      </w:pPr>
      <w:hyperlink w:anchor="_Toc93659374" w:history="1">
        <w:r w:rsidRPr="006D3A22">
          <w:rPr>
            <w:rStyle w:val="Hyperlink"/>
          </w:rPr>
          <w:t>Our customer performance</w:t>
        </w:r>
        <w:r>
          <w:rPr>
            <w:webHidden/>
          </w:rPr>
          <w:tab/>
        </w:r>
        <w:r>
          <w:rPr>
            <w:webHidden/>
          </w:rPr>
          <w:fldChar w:fldCharType="begin"/>
        </w:r>
        <w:r>
          <w:rPr>
            <w:webHidden/>
          </w:rPr>
          <w:instrText xml:space="preserve"> PAGEREF _Toc93659374 \h </w:instrText>
        </w:r>
        <w:r>
          <w:rPr>
            <w:webHidden/>
          </w:rPr>
        </w:r>
        <w:r>
          <w:rPr>
            <w:webHidden/>
          </w:rPr>
          <w:fldChar w:fldCharType="separate"/>
        </w:r>
        <w:r>
          <w:rPr>
            <w:webHidden/>
          </w:rPr>
          <w:t>48</w:t>
        </w:r>
        <w:r>
          <w:rPr>
            <w:webHidden/>
          </w:rPr>
          <w:fldChar w:fldCharType="end"/>
        </w:r>
      </w:hyperlink>
    </w:p>
    <w:p w14:paraId="5C0C787C" w14:textId="2DCC7325" w:rsidR="00926282" w:rsidRDefault="00926282">
      <w:pPr>
        <w:pStyle w:val="TOC2"/>
        <w:rPr>
          <w:rFonts w:asciiTheme="minorHAnsi" w:eastAsiaTheme="minorEastAsia" w:hAnsiTheme="minorHAnsi" w:cstheme="minorBidi"/>
          <w:noProof/>
          <w:color w:val="auto"/>
          <w:sz w:val="22"/>
          <w:szCs w:val="22"/>
        </w:rPr>
      </w:pPr>
      <w:hyperlink w:anchor="_Toc93659375" w:history="1">
        <w:r w:rsidRPr="006D3A22">
          <w:rPr>
            <w:rStyle w:val="Hyperlink"/>
            <w:noProof/>
          </w:rPr>
          <w:t>Water for Aboriginal Cultural, Spiritual and Economic Value</w:t>
        </w:r>
        <w:r>
          <w:rPr>
            <w:noProof/>
            <w:webHidden/>
          </w:rPr>
          <w:tab/>
        </w:r>
        <w:r>
          <w:rPr>
            <w:noProof/>
            <w:webHidden/>
          </w:rPr>
          <w:fldChar w:fldCharType="begin"/>
        </w:r>
        <w:r>
          <w:rPr>
            <w:noProof/>
            <w:webHidden/>
          </w:rPr>
          <w:instrText xml:space="preserve"> PAGEREF _Toc93659375 \h </w:instrText>
        </w:r>
        <w:r>
          <w:rPr>
            <w:noProof/>
            <w:webHidden/>
          </w:rPr>
        </w:r>
        <w:r>
          <w:rPr>
            <w:noProof/>
            <w:webHidden/>
          </w:rPr>
          <w:fldChar w:fldCharType="separate"/>
        </w:r>
        <w:r>
          <w:rPr>
            <w:noProof/>
            <w:webHidden/>
          </w:rPr>
          <w:t>50</w:t>
        </w:r>
        <w:r>
          <w:rPr>
            <w:noProof/>
            <w:webHidden/>
          </w:rPr>
          <w:fldChar w:fldCharType="end"/>
        </w:r>
      </w:hyperlink>
    </w:p>
    <w:p w14:paraId="65771951" w14:textId="06C5481A" w:rsidR="00926282" w:rsidRDefault="00926282">
      <w:pPr>
        <w:pStyle w:val="TOC3"/>
        <w:rPr>
          <w:rFonts w:asciiTheme="minorHAnsi" w:eastAsiaTheme="minorEastAsia" w:hAnsiTheme="minorHAnsi" w:cstheme="minorBidi"/>
          <w:color w:val="auto"/>
          <w:sz w:val="22"/>
          <w:szCs w:val="22"/>
        </w:rPr>
      </w:pPr>
      <w:hyperlink w:anchor="_Toc93659376" w:history="1">
        <w:r w:rsidRPr="006D3A22">
          <w:rPr>
            <w:rStyle w:val="Hyperlink"/>
          </w:rPr>
          <w:t>Our Approach</w:t>
        </w:r>
        <w:r>
          <w:rPr>
            <w:webHidden/>
          </w:rPr>
          <w:tab/>
        </w:r>
        <w:r>
          <w:rPr>
            <w:webHidden/>
          </w:rPr>
          <w:fldChar w:fldCharType="begin"/>
        </w:r>
        <w:r>
          <w:rPr>
            <w:webHidden/>
          </w:rPr>
          <w:instrText xml:space="preserve"> PAGEREF _Toc93659376 \h </w:instrText>
        </w:r>
        <w:r>
          <w:rPr>
            <w:webHidden/>
          </w:rPr>
        </w:r>
        <w:r>
          <w:rPr>
            <w:webHidden/>
          </w:rPr>
          <w:fldChar w:fldCharType="separate"/>
        </w:r>
        <w:r>
          <w:rPr>
            <w:webHidden/>
          </w:rPr>
          <w:t>50</w:t>
        </w:r>
        <w:r>
          <w:rPr>
            <w:webHidden/>
          </w:rPr>
          <w:fldChar w:fldCharType="end"/>
        </w:r>
      </w:hyperlink>
    </w:p>
    <w:p w14:paraId="25132453" w14:textId="4D9E5D6C" w:rsidR="00926282" w:rsidRDefault="00926282">
      <w:pPr>
        <w:pStyle w:val="TOC3"/>
        <w:rPr>
          <w:rFonts w:asciiTheme="minorHAnsi" w:eastAsiaTheme="minorEastAsia" w:hAnsiTheme="minorHAnsi" w:cstheme="minorBidi"/>
          <w:color w:val="auto"/>
          <w:sz w:val="22"/>
          <w:szCs w:val="22"/>
        </w:rPr>
      </w:pPr>
      <w:hyperlink w:anchor="_Toc93659377" w:history="1">
        <w:r w:rsidRPr="006D3A22">
          <w:rPr>
            <w:rStyle w:val="Hyperlink"/>
          </w:rPr>
          <w:t>Traditional Owner partnerships</w:t>
        </w:r>
        <w:r>
          <w:rPr>
            <w:webHidden/>
          </w:rPr>
          <w:tab/>
        </w:r>
        <w:r>
          <w:rPr>
            <w:webHidden/>
          </w:rPr>
          <w:fldChar w:fldCharType="begin"/>
        </w:r>
        <w:r>
          <w:rPr>
            <w:webHidden/>
          </w:rPr>
          <w:instrText xml:space="preserve"> PAGEREF _Toc93659377 \h </w:instrText>
        </w:r>
        <w:r>
          <w:rPr>
            <w:webHidden/>
          </w:rPr>
        </w:r>
        <w:r>
          <w:rPr>
            <w:webHidden/>
          </w:rPr>
          <w:fldChar w:fldCharType="separate"/>
        </w:r>
        <w:r>
          <w:rPr>
            <w:webHidden/>
          </w:rPr>
          <w:t>50</w:t>
        </w:r>
        <w:r>
          <w:rPr>
            <w:webHidden/>
          </w:rPr>
          <w:fldChar w:fldCharType="end"/>
        </w:r>
      </w:hyperlink>
    </w:p>
    <w:p w14:paraId="6A654D35" w14:textId="766E432C" w:rsidR="00926282" w:rsidRDefault="00926282">
      <w:pPr>
        <w:pStyle w:val="TOC3"/>
        <w:rPr>
          <w:rFonts w:asciiTheme="minorHAnsi" w:eastAsiaTheme="minorEastAsia" w:hAnsiTheme="minorHAnsi" w:cstheme="minorBidi"/>
          <w:color w:val="auto"/>
          <w:sz w:val="22"/>
          <w:szCs w:val="22"/>
        </w:rPr>
      </w:pPr>
      <w:hyperlink w:anchor="_Toc93659378" w:history="1">
        <w:r w:rsidRPr="006D3A22">
          <w:rPr>
            <w:rStyle w:val="Hyperlink"/>
          </w:rPr>
          <w:t>Cultural Fire</w:t>
        </w:r>
        <w:r>
          <w:rPr>
            <w:webHidden/>
          </w:rPr>
          <w:tab/>
        </w:r>
        <w:r>
          <w:rPr>
            <w:webHidden/>
          </w:rPr>
          <w:fldChar w:fldCharType="begin"/>
        </w:r>
        <w:r>
          <w:rPr>
            <w:webHidden/>
          </w:rPr>
          <w:instrText xml:space="preserve"> PAGEREF _Toc93659378 \h </w:instrText>
        </w:r>
        <w:r>
          <w:rPr>
            <w:webHidden/>
          </w:rPr>
        </w:r>
        <w:r>
          <w:rPr>
            <w:webHidden/>
          </w:rPr>
          <w:fldChar w:fldCharType="separate"/>
        </w:r>
        <w:r>
          <w:rPr>
            <w:webHidden/>
          </w:rPr>
          <w:t>50</w:t>
        </w:r>
        <w:r>
          <w:rPr>
            <w:webHidden/>
          </w:rPr>
          <w:fldChar w:fldCharType="end"/>
        </w:r>
      </w:hyperlink>
    </w:p>
    <w:p w14:paraId="4B4FC7EA" w14:textId="08FF8E88" w:rsidR="00926282" w:rsidRDefault="00926282">
      <w:pPr>
        <w:pStyle w:val="TOC3"/>
        <w:rPr>
          <w:rFonts w:asciiTheme="minorHAnsi" w:eastAsiaTheme="minorEastAsia" w:hAnsiTheme="minorHAnsi" w:cstheme="minorBidi"/>
          <w:color w:val="auto"/>
          <w:sz w:val="22"/>
          <w:szCs w:val="22"/>
        </w:rPr>
      </w:pPr>
      <w:hyperlink w:anchor="_Toc93659379" w:history="1">
        <w:r w:rsidRPr="006D3A22">
          <w:rPr>
            <w:rStyle w:val="Hyperlink"/>
          </w:rPr>
          <w:t>Protecting traditional ecological knowledge</w:t>
        </w:r>
        <w:r>
          <w:rPr>
            <w:webHidden/>
          </w:rPr>
          <w:tab/>
        </w:r>
        <w:r>
          <w:rPr>
            <w:webHidden/>
          </w:rPr>
          <w:fldChar w:fldCharType="begin"/>
        </w:r>
        <w:r>
          <w:rPr>
            <w:webHidden/>
          </w:rPr>
          <w:instrText xml:space="preserve"> PAGEREF _Toc93659379 \h </w:instrText>
        </w:r>
        <w:r>
          <w:rPr>
            <w:webHidden/>
          </w:rPr>
        </w:r>
        <w:r>
          <w:rPr>
            <w:webHidden/>
          </w:rPr>
          <w:fldChar w:fldCharType="separate"/>
        </w:r>
        <w:r>
          <w:rPr>
            <w:webHidden/>
          </w:rPr>
          <w:t>51</w:t>
        </w:r>
        <w:r>
          <w:rPr>
            <w:webHidden/>
          </w:rPr>
          <w:fldChar w:fldCharType="end"/>
        </w:r>
      </w:hyperlink>
    </w:p>
    <w:p w14:paraId="4EB537CB" w14:textId="4E6D4210" w:rsidR="00926282" w:rsidRDefault="00926282">
      <w:pPr>
        <w:pStyle w:val="TOC3"/>
        <w:rPr>
          <w:rFonts w:asciiTheme="minorHAnsi" w:eastAsiaTheme="minorEastAsia" w:hAnsiTheme="minorHAnsi" w:cstheme="minorBidi"/>
          <w:color w:val="auto"/>
          <w:sz w:val="22"/>
          <w:szCs w:val="22"/>
        </w:rPr>
      </w:pPr>
      <w:hyperlink w:anchor="_Toc93659380" w:history="1">
        <w:r w:rsidRPr="006D3A22">
          <w:rPr>
            <w:rStyle w:val="Hyperlink"/>
          </w:rPr>
          <w:t>Reconciliation Action Plan</w:t>
        </w:r>
        <w:r>
          <w:rPr>
            <w:webHidden/>
          </w:rPr>
          <w:tab/>
        </w:r>
        <w:r>
          <w:rPr>
            <w:webHidden/>
          </w:rPr>
          <w:fldChar w:fldCharType="begin"/>
        </w:r>
        <w:r>
          <w:rPr>
            <w:webHidden/>
          </w:rPr>
          <w:instrText xml:space="preserve"> PAGEREF _Toc93659380 \h </w:instrText>
        </w:r>
        <w:r>
          <w:rPr>
            <w:webHidden/>
          </w:rPr>
        </w:r>
        <w:r>
          <w:rPr>
            <w:webHidden/>
          </w:rPr>
          <w:fldChar w:fldCharType="separate"/>
        </w:r>
        <w:r>
          <w:rPr>
            <w:webHidden/>
          </w:rPr>
          <w:t>51</w:t>
        </w:r>
        <w:r>
          <w:rPr>
            <w:webHidden/>
          </w:rPr>
          <w:fldChar w:fldCharType="end"/>
        </w:r>
      </w:hyperlink>
    </w:p>
    <w:p w14:paraId="192A5425" w14:textId="15A67D7E" w:rsidR="00926282" w:rsidRDefault="00926282">
      <w:pPr>
        <w:pStyle w:val="TOC1"/>
        <w:rPr>
          <w:rFonts w:asciiTheme="minorHAnsi" w:eastAsiaTheme="minorEastAsia" w:hAnsiTheme="minorHAnsi" w:cstheme="minorBidi"/>
          <w:sz w:val="22"/>
          <w:szCs w:val="22"/>
        </w:rPr>
      </w:pPr>
      <w:hyperlink w:anchor="_Toc93659381" w:history="1">
        <w:r w:rsidRPr="006D3A22">
          <w:rPr>
            <w:rStyle w:val="Hyperlink"/>
          </w:rPr>
          <w:t>Delivering for Environment</w:t>
        </w:r>
        <w:r>
          <w:rPr>
            <w:webHidden/>
          </w:rPr>
          <w:tab/>
        </w:r>
        <w:r>
          <w:rPr>
            <w:webHidden/>
          </w:rPr>
          <w:fldChar w:fldCharType="begin"/>
        </w:r>
        <w:r>
          <w:rPr>
            <w:webHidden/>
          </w:rPr>
          <w:instrText xml:space="preserve"> PAGEREF _Toc93659381 \h </w:instrText>
        </w:r>
        <w:r>
          <w:rPr>
            <w:webHidden/>
          </w:rPr>
        </w:r>
        <w:r>
          <w:rPr>
            <w:webHidden/>
          </w:rPr>
          <w:fldChar w:fldCharType="separate"/>
        </w:r>
        <w:r>
          <w:rPr>
            <w:webHidden/>
          </w:rPr>
          <w:t>53</w:t>
        </w:r>
        <w:r>
          <w:rPr>
            <w:webHidden/>
          </w:rPr>
          <w:fldChar w:fldCharType="end"/>
        </w:r>
      </w:hyperlink>
    </w:p>
    <w:p w14:paraId="07EACA6A" w14:textId="5DB35C25" w:rsidR="00926282" w:rsidRDefault="00926282">
      <w:pPr>
        <w:pStyle w:val="TOC2"/>
        <w:rPr>
          <w:rFonts w:asciiTheme="minorHAnsi" w:eastAsiaTheme="minorEastAsia" w:hAnsiTheme="minorHAnsi" w:cstheme="minorBidi"/>
          <w:noProof/>
          <w:color w:val="auto"/>
          <w:sz w:val="22"/>
          <w:szCs w:val="22"/>
        </w:rPr>
      </w:pPr>
      <w:hyperlink w:anchor="_Toc93659382" w:history="1">
        <w:r w:rsidRPr="006D3A22">
          <w:rPr>
            <w:rStyle w:val="Hyperlink"/>
            <w:noProof/>
          </w:rPr>
          <w:t>Climate Change and Adaptation</w:t>
        </w:r>
        <w:r>
          <w:rPr>
            <w:noProof/>
            <w:webHidden/>
          </w:rPr>
          <w:tab/>
        </w:r>
        <w:r>
          <w:rPr>
            <w:noProof/>
            <w:webHidden/>
          </w:rPr>
          <w:fldChar w:fldCharType="begin"/>
        </w:r>
        <w:r>
          <w:rPr>
            <w:noProof/>
            <w:webHidden/>
          </w:rPr>
          <w:instrText xml:space="preserve"> PAGEREF _Toc93659382 \h </w:instrText>
        </w:r>
        <w:r>
          <w:rPr>
            <w:noProof/>
            <w:webHidden/>
          </w:rPr>
        </w:r>
        <w:r>
          <w:rPr>
            <w:noProof/>
            <w:webHidden/>
          </w:rPr>
          <w:fldChar w:fldCharType="separate"/>
        </w:r>
        <w:r>
          <w:rPr>
            <w:noProof/>
            <w:webHidden/>
          </w:rPr>
          <w:t>53</w:t>
        </w:r>
        <w:r>
          <w:rPr>
            <w:noProof/>
            <w:webHidden/>
          </w:rPr>
          <w:fldChar w:fldCharType="end"/>
        </w:r>
      </w:hyperlink>
    </w:p>
    <w:p w14:paraId="5563F61C" w14:textId="5ACE2FAE" w:rsidR="00926282" w:rsidRDefault="00926282">
      <w:pPr>
        <w:pStyle w:val="TOC3"/>
        <w:rPr>
          <w:rFonts w:asciiTheme="minorHAnsi" w:eastAsiaTheme="minorEastAsia" w:hAnsiTheme="minorHAnsi" w:cstheme="minorBidi"/>
          <w:color w:val="auto"/>
          <w:sz w:val="22"/>
          <w:szCs w:val="22"/>
        </w:rPr>
      </w:pPr>
      <w:hyperlink w:anchor="_Toc93659383" w:history="1">
        <w:r w:rsidRPr="006D3A22">
          <w:rPr>
            <w:rStyle w:val="Hyperlink"/>
          </w:rPr>
          <w:t>Our Approach</w:t>
        </w:r>
        <w:r>
          <w:rPr>
            <w:webHidden/>
          </w:rPr>
          <w:tab/>
        </w:r>
        <w:r>
          <w:rPr>
            <w:webHidden/>
          </w:rPr>
          <w:fldChar w:fldCharType="begin"/>
        </w:r>
        <w:r>
          <w:rPr>
            <w:webHidden/>
          </w:rPr>
          <w:instrText xml:space="preserve"> PAGEREF _Toc93659383 \h </w:instrText>
        </w:r>
        <w:r>
          <w:rPr>
            <w:webHidden/>
          </w:rPr>
        </w:r>
        <w:r>
          <w:rPr>
            <w:webHidden/>
          </w:rPr>
          <w:fldChar w:fldCharType="separate"/>
        </w:r>
        <w:r>
          <w:rPr>
            <w:webHidden/>
          </w:rPr>
          <w:t>53</w:t>
        </w:r>
        <w:r>
          <w:rPr>
            <w:webHidden/>
          </w:rPr>
          <w:fldChar w:fldCharType="end"/>
        </w:r>
      </w:hyperlink>
    </w:p>
    <w:p w14:paraId="76E57373" w14:textId="1CBD577E" w:rsidR="00926282" w:rsidRDefault="00926282">
      <w:pPr>
        <w:pStyle w:val="TOC3"/>
        <w:rPr>
          <w:rFonts w:asciiTheme="minorHAnsi" w:eastAsiaTheme="minorEastAsia" w:hAnsiTheme="minorHAnsi" w:cstheme="minorBidi"/>
          <w:color w:val="auto"/>
          <w:sz w:val="22"/>
          <w:szCs w:val="22"/>
        </w:rPr>
      </w:pPr>
      <w:hyperlink w:anchor="_Toc93659384" w:history="1">
        <w:r w:rsidRPr="006D3A22">
          <w:rPr>
            <w:rStyle w:val="Hyperlink"/>
          </w:rPr>
          <w:t>Climate risks</w:t>
        </w:r>
        <w:r>
          <w:rPr>
            <w:webHidden/>
          </w:rPr>
          <w:tab/>
        </w:r>
        <w:r>
          <w:rPr>
            <w:webHidden/>
          </w:rPr>
          <w:fldChar w:fldCharType="begin"/>
        </w:r>
        <w:r>
          <w:rPr>
            <w:webHidden/>
          </w:rPr>
          <w:instrText xml:space="preserve"> PAGEREF _Toc93659384 \h </w:instrText>
        </w:r>
        <w:r>
          <w:rPr>
            <w:webHidden/>
          </w:rPr>
        </w:r>
        <w:r>
          <w:rPr>
            <w:webHidden/>
          </w:rPr>
          <w:fldChar w:fldCharType="separate"/>
        </w:r>
        <w:r>
          <w:rPr>
            <w:webHidden/>
          </w:rPr>
          <w:t>53</w:t>
        </w:r>
        <w:r>
          <w:rPr>
            <w:webHidden/>
          </w:rPr>
          <w:fldChar w:fldCharType="end"/>
        </w:r>
      </w:hyperlink>
    </w:p>
    <w:p w14:paraId="5B8AF677" w14:textId="67B26EB6" w:rsidR="00926282" w:rsidRDefault="00926282">
      <w:pPr>
        <w:pStyle w:val="TOC3"/>
        <w:rPr>
          <w:rFonts w:asciiTheme="minorHAnsi" w:eastAsiaTheme="minorEastAsia" w:hAnsiTheme="minorHAnsi" w:cstheme="minorBidi"/>
          <w:color w:val="auto"/>
          <w:sz w:val="22"/>
          <w:szCs w:val="22"/>
        </w:rPr>
      </w:pPr>
      <w:hyperlink w:anchor="_Toc93659385" w:history="1">
        <w:r w:rsidRPr="006D3A22">
          <w:rPr>
            <w:rStyle w:val="Hyperlink"/>
          </w:rPr>
          <w:t>Scenario planning</w:t>
        </w:r>
        <w:r>
          <w:rPr>
            <w:webHidden/>
          </w:rPr>
          <w:tab/>
        </w:r>
        <w:r>
          <w:rPr>
            <w:webHidden/>
          </w:rPr>
          <w:fldChar w:fldCharType="begin"/>
        </w:r>
        <w:r>
          <w:rPr>
            <w:webHidden/>
          </w:rPr>
          <w:instrText xml:space="preserve"> PAGEREF _Toc93659385 \h </w:instrText>
        </w:r>
        <w:r>
          <w:rPr>
            <w:webHidden/>
          </w:rPr>
        </w:r>
        <w:r>
          <w:rPr>
            <w:webHidden/>
          </w:rPr>
          <w:fldChar w:fldCharType="separate"/>
        </w:r>
        <w:r>
          <w:rPr>
            <w:webHidden/>
          </w:rPr>
          <w:t>53</w:t>
        </w:r>
        <w:r>
          <w:rPr>
            <w:webHidden/>
          </w:rPr>
          <w:fldChar w:fldCharType="end"/>
        </w:r>
      </w:hyperlink>
    </w:p>
    <w:p w14:paraId="7D1E1E73" w14:textId="40FAAE08" w:rsidR="00926282" w:rsidRDefault="00926282">
      <w:pPr>
        <w:pStyle w:val="TOC3"/>
        <w:rPr>
          <w:rFonts w:asciiTheme="minorHAnsi" w:eastAsiaTheme="minorEastAsia" w:hAnsiTheme="minorHAnsi" w:cstheme="minorBidi"/>
          <w:color w:val="auto"/>
          <w:sz w:val="22"/>
          <w:szCs w:val="22"/>
        </w:rPr>
      </w:pPr>
      <w:hyperlink w:anchor="_Toc93659386" w:history="1">
        <w:r w:rsidRPr="006D3A22">
          <w:rPr>
            <w:rStyle w:val="Hyperlink"/>
          </w:rPr>
          <w:t>Risk governance and management</w:t>
        </w:r>
        <w:r>
          <w:rPr>
            <w:webHidden/>
          </w:rPr>
          <w:tab/>
        </w:r>
        <w:r>
          <w:rPr>
            <w:webHidden/>
          </w:rPr>
          <w:fldChar w:fldCharType="begin"/>
        </w:r>
        <w:r>
          <w:rPr>
            <w:webHidden/>
          </w:rPr>
          <w:instrText xml:space="preserve"> PAGEREF _Toc93659386 \h </w:instrText>
        </w:r>
        <w:r>
          <w:rPr>
            <w:webHidden/>
          </w:rPr>
        </w:r>
        <w:r>
          <w:rPr>
            <w:webHidden/>
          </w:rPr>
          <w:fldChar w:fldCharType="separate"/>
        </w:r>
        <w:r>
          <w:rPr>
            <w:webHidden/>
          </w:rPr>
          <w:t>53</w:t>
        </w:r>
        <w:r>
          <w:rPr>
            <w:webHidden/>
          </w:rPr>
          <w:fldChar w:fldCharType="end"/>
        </w:r>
      </w:hyperlink>
    </w:p>
    <w:p w14:paraId="07831F36" w14:textId="499D6D8D" w:rsidR="00926282" w:rsidRDefault="00926282">
      <w:pPr>
        <w:pStyle w:val="TOC3"/>
        <w:rPr>
          <w:rFonts w:asciiTheme="minorHAnsi" w:eastAsiaTheme="minorEastAsia" w:hAnsiTheme="minorHAnsi" w:cstheme="minorBidi"/>
          <w:color w:val="auto"/>
          <w:sz w:val="22"/>
          <w:szCs w:val="22"/>
        </w:rPr>
      </w:pPr>
      <w:hyperlink w:anchor="_Toc93659387" w:history="1">
        <w:r w:rsidRPr="006D3A22">
          <w:rPr>
            <w:rStyle w:val="Hyperlink"/>
          </w:rPr>
          <w:t>Climate planning and response</w:t>
        </w:r>
        <w:r>
          <w:rPr>
            <w:webHidden/>
          </w:rPr>
          <w:tab/>
        </w:r>
        <w:r>
          <w:rPr>
            <w:webHidden/>
          </w:rPr>
          <w:fldChar w:fldCharType="begin"/>
        </w:r>
        <w:r>
          <w:rPr>
            <w:webHidden/>
          </w:rPr>
          <w:instrText xml:space="preserve"> PAGEREF _Toc93659387 \h </w:instrText>
        </w:r>
        <w:r>
          <w:rPr>
            <w:webHidden/>
          </w:rPr>
        </w:r>
        <w:r>
          <w:rPr>
            <w:webHidden/>
          </w:rPr>
          <w:fldChar w:fldCharType="separate"/>
        </w:r>
        <w:r>
          <w:rPr>
            <w:webHidden/>
          </w:rPr>
          <w:t>54</w:t>
        </w:r>
        <w:r>
          <w:rPr>
            <w:webHidden/>
          </w:rPr>
          <w:fldChar w:fldCharType="end"/>
        </w:r>
      </w:hyperlink>
    </w:p>
    <w:p w14:paraId="4C5110CA" w14:textId="261D21B5" w:rsidR="00926282" w:rsidRDefault="00926282">
      <w:pPr>
        <w:pStyle w:val="TOC2"/>
        <w:rPr>
          <w:rFonts w:asciiTheme="minorHAnsi" w:eastAsiaTheme="minorEastAsia" w:hAnsiTheme="minorHAnsi" w:cstheme="minorBidi"/>
          <w:noProof/>
          <w:color w:val="auto"/>
          <w:sz w:val="22"/>
          <w:szCs w:val="22"/>
        </w:rPr>
      </w:pPr>
      <w:hyperlink w:anchor="_Toc93659388" w:history="1">
        <w:r w:rsidRPr="006D3A22">
          <w:rPr>
            <w:rStyle w:val="Hyperlink"/>
            <w:noProof/>
          </w:rPr>
          <w:t>Our Path to Net Zero</w:t>
        </w:r>
        <w:r>
          <w:rPr>
            <w:noProof/>
            <w:webHidden/>
          </w:rPr>
          <w:tab/>
        </w:r>
        <w:r>
          <w:rPr>
            <w:noProof/>
            <w:webHidden/>
          </w:rPr>
          <w:fldChar w:fldCharType="begin"/>
        </w:r>
        <w:r>
          <w:rPr>
            <w:noProof/>
            <w:webHidden/>
          </w:rPr>
          <w:instrText xml:space="preserve"> PAGEREF _Toc93659388 \h </w:instrText>
        </w:r>
        <w:r>
          <w:rPr>
            <w:noProof/>
            <w:webHidden/>
          </w:rPr>
        </w:r>
        <w:r>
          <w:rPr>
            <w:noProof/>
            <w:webHidden/>
          </w:rPr>
          <w:fldChar w:fldCharType="separate"/>
        </w:r>
        <w:r>
          <w:rPr>
            <w:noProof/>
            <w:webHidden/>
          </w:rPr>
          <w:t>59</w:t>
        </w:r>
        <w:r>
          <w:rPr>
            <w:noProof/>
            <w:webHidden/>
          </w:rPr>
          <w:fldChar w:fldCharType="end"/>
        </w:r>
      </w:hyperlink>
    </w:p>
    <w:p w14:paraId="5CFDFBBC" w14:textId="22B2A3E8" w:rsidR="00926282" w:rsidRDefault="00926282">
      <w:pPr>
        <w:pStyle w:val="TOC3"/>
        <w:rPr>
          <w:rFonts w:asciiTheme="minorHAnsi" w:eastAsiaTheme="minorEastAsia" w:hAnsiTheme="minorHAnsi" w:cstheme="minorBidi"/>
          <w:color w:val="auto"/>
          <w:sz w:val="22"/>
          <w:szCs w:val="22"/>
        </w:rPr>
      </w:pPr>
      <w:hyperlink w:anchor="_Toc93659389" w:history="1">
        <w:r w:rsidRPr="006D3A22">
          <w:rPr>
            <w:rStyle w:val="Hyperlink"/>
          </w:rPr>
          <w:t>Our Approach</w:t>
        </w:r>
        <w:r>
          <w:rPr>
            <w:webHidden/>
          </w:rPr>
          <w:tab/>
        </w:r>
        <w:r>
          <w:rPr>
            <w:webHidden/>
          </w:rPr>
          <w:fldChar w:fldCharType="begin"/>
        </w:r>
        <w:r>
          <w:rPr>
            <w:webHidden/>
          </w:rPr>
          <w:instrText xml:space="preserve"> PAGEREF _Toc93659389 \h </w:instrText>
        </w:r>
        <w:r>
          <w:rPr>
            <w:webHidden/>
          </w:rPr>
        </w:r>
        <w:r>
          <w:rPr>
            <w:webHidden/>
          </w:rPr>
          <w:fldChar w:fldCharType="separate"/>
        </w:r>
        <w:r>
          <w:rPr>
            <w:webHidden/>
          </w:rPr>
          <w:t>59</w:t>
        </w:r>
        <w:r>
          <w:rPr>
            <w:webHidden/>
          </w:rPr>
          <w:fldChar w:fldCharType="end"/>
        </w:r>
      </w:hyperlink>
    </w:p>
    <w:p w14:paraId="16AF39C9" w14:textId="78174A62" w:rsidR="00926282" w:rsidRDefault="00926282">
      <w:pPr>
        <w:pStyle w:val="TOC3"/>
        <w:rPr>
          <w:rFonts w:asciiTheme="minorHAnsi" w:eastAsiaTheme="minorEastAsia" w:hAnsiTheme="minorHAnsi" w:cstheme="minorBidi"/>
          <w:color w:val="auto"/>
          <w:sz w:val="22"/>
          <w:szCs w:val="22"/>
        </w:rPr>
      </w:pPr>
      <w:hyperlink w:anchor="_Toc93659390" w:history="1">
        <w:r w:rsidRPr="006D3A22">
          <w:rPr>
            <w:rStyle w:val="Hyperlink"/>
          </w:rPr>
          <w:t>Measuring greenhouse gas emissions</w:t>
        </w:r>
        <w:r>
          <w:rPr>
            <w:webHidden/>
          </w:rPr>
          <w:tab/>
        </w:r>
        <w:r>
          <w:rPr>
            <w:webHidden/>
          </w:rPr>
          <w:fldChar w:fldCharType="begin"/>
        </w:r>
        <w:r>
          <w:rPr>
            <w:webHidden/>
          </w:rPr>
          <w:instrText xml:space="preserve"> PAGEREF _Toc93659390 \h </w:instrText>
        </w:r>
        <w:r>
          <w:rPr>
            <w:webHidden/>
          </w:rPr>
        </w:r>
        <w:r>
          <w:rPr>
            <w:webHidden/>
          </w:rPr>
          <w:fldChar w:fldCharType="separate"/>
        </w:r>
        <w:r>
          <w:rPr>
            <w:webHidden/>
          </w:rPr>
          <w:t>59</w:t>
        </w:r>
        <w:r>
          <w:rPr>
            <w:webHidden/>
          </w:rPr>
          <w:fldChar w:fldCharType="end"/>
        </w:r>
      </w:hyperlink>
    </w:p>
    <w:p w14:paraId="5B48895E" w14:textId="3DC3F495" w:rsidR="00926282" w:rsidRDefault="00926282">
      <w:pPr>
        <w:pStyle w:val="TOC3"/>
        <w:rPr>
          <w:rFonts w:asciiTheme="minorHAnsi" w:eastAsiaTheme="minorEastAsia" w:hAnsiTheme="minorHAnsi" w:cstheme="minorBidi"/>
          <w:color w:val="auto"/>
          <w:sz w:val="22"/>
          <w:szCs w:val="22"/>
        </w:rPr>
      </w:pPr>
      <w:hyperlink w:anchor="_Toc93659391" w:history="1">
        <w:r w:rsidRPr="006D3A22">
          <w:rPr>
            <w:rStyle w:val="Hyperlink"/>
          </w:rPr>
          <w:t>Our emission reduction performance</w:t>
        </w:r>
        <w:r>
          <w:rPr>
            <w:webHidden/>
          </w:rPr>
          <w:tab/>
        </w:r>
        <w:r>
          <w:rPr>
            <w:webHidden/>
          </w:rPr>
          <w:fldChar w:fldCharType="begin"/>
        </w:r>
        <w:r>
          <w:rPr>
            <w:webHidden/>
          </w:rPr>
          <w:instrText xml:space="preserve"> PAGEREF _Toc93659391 \h </w:instrText>
        </w:r>
        <w:r>
          <w:rPr>
            <w:webHidden/>
          </w:rPr>
        </w:r>
        <w:r>
          <w:rPr>
            <w:webHidden/>
          </w:rPr>
          <w:fldChar w:fldCharType="separate"/>
        </w:r>
        <w:r>
          <w:rPr>
            <w:webHidden/>
          </w:rPr>
          <w:t>59</w:t>
        </w:r>
        <w:r>
          <w:rPr>
            <w:webHidden/>
          </w:rPr>
          <w:fldChar w:fldCharType="end"/>
        </w:r>
      </w:hyperlink>
    </w:p>
    <w:p w14:paraId="08CAC194" w14:textId="2E76165D" w:rsidR="00926282" w:rsidRDefault="00926282">
      <w:pPr>
        <w:pStyle w:val="TOC3"/>
        <w:rPr>
          <w:rFonts w:asciiTheme="minorHAnsi" w:eastAsiaTheme="minorEastAsia" w:hAnsiTheme="minorHAnsi" w:cstheme="minorBidi"/>
          <w:color w:val="auto"/>
          <w:sz w:val="22"/>
          <w:szCs w:val="22"/>
        </w:rPr>
      </w:pPr>
      <w:hyperlink w:anchor="_Toc93659392" w:history="1">
        <w:r w:rsidRPr="006D3A22">
          <w:rPr>
            <w:rStyle w:val="Hyperlink"/>
          </w:rPr>
          <w:t>Renewable energy</w:t>
        </w:r>
        <w:r>
          <w:rPr>
            <w:webHidden/>
          </w:rPr>
          <w:tab/>
        </w:r>
        <w:r>
          <w:rPr>
            <w:webHidden/>
          </w:rPr>
          <w:fldChar w:fldCharType="begin"/>
        </w:r>
        <w:r>
          <w:rPr>
            <w:webHidden/>
          </w:rPr>
          <w:instrText xml:space="preserve"> PAGEREF _Toc93659392 \h </w:instrText>
        </w:r>
        <w:r>
          <w:rPr>
            <w:webHidden/>
          </w:rPr>
        </w:r>
        <w:r>
          <w:rPr>
            <w:webHidden/>
          </w:rPr>
          <w:fldChar w:fldCharType="separate"/>
        </w:r>
        <w:r>
          <w:rPr>
            <w:webHidden/>
          </w:rPr>
          <w:t>61</w:t>
        </w:r>
        <w:r>
          <w:rPr>
            <w:webHidden/>
          </w:rPr>
          <w:fldChar w:fldCharType="end"/>
        </w:r>
      </w:hyperlink>
    </w:p>
    <w:p w14:paraId="657109DA" w14:textId="51116944" w:rsidR="00926282" w:rsidRDefault="00926282">
      <w:pPr>
        <w:pStyle w:val="TOC3"/>
        <w:rPr>
          <w:rFonts w:asciiTheme="minorHAnsi" w:eastAsiaTheme="minorEastAsia" w:hAnsiTheme="minorHAnsi" w:cstheme="minorBidi"/>
          <w:color w:val="auto"/>
          <w:sz w:val="22"/>
          <w:szCs w:val="22"/>
        </w:rPr>
      </w:pPr>
      <w:hyperlink w:anchor="_Toc93659393" w:history="1">
        <w:r w:rsidRPr="006D3A22">
          <w:rPr>
            <w:rStyle w:val="Hyperlink"/>
          </w:rPr>
          <w:t>Energy consumption</w:t>
        </w:r>
        <w:r>
          <w:rPr>
            <w:webHidden/>
          </w:rPr>
          <w:tab/>
        </w:r>
        <w:r>
          <w:rPr>
            <w:webHidden/>
          </w:rPr>
          <w:fldChar w:fldCharType="begin"/>
        </w:r>
        <w:r>
          <w:rPr>
            <w:webHidden/>
          </w:rPr>
          <w:instrText xml:space="preserve"> PAGEREF _Toc93659393 \h </w:instrText>
        </w:r>
        <w:r>
          <w:rPr>
            <w:webHidden/>
          </w:rPr>
        </w:r>
        <w:r>
          <w:rPr>
            <w:webHidden/>
          </w:rPr>
          <w:fldChar w:fldCharType="separate"/>
        </w:r>
        <w:r>
          <w:rPr>
            <w:webHidden/>
          </w:rPr>
          <w:t>62</w:t>
        </w:r>
        <w:r>
          <w:rPr>
            <w:webHidden/>
          </w:rPr>
          <w:fldChar w:fldCharType="end"/>
        </w:r>
      </w:hyperlink>
    </w:p>
    <w:p w14:paraId="3C93EE26" w14:textId="541F31CE" w:rsidR="00926282" w:rsidRDefault="00926282">
      <w:pPr>
        <w:pStyle w:val="TOC3"/>
        <w:rPr>
          <w:rFonts w:asciiTheme="minorHAnsi" w:eastAsiaTheme="minorEastAsia" w:hAnsiTheme="minorHAnsi" w:cstheme="minorBidi"/>
          <w:color w:val="auto"/>
          <w:sz w:val="22"/>
          <w:szCs w:val="22"/>
        </w:rPr>
      </w:pPr>
      <w:hyperlink w:anchor="_Toc93659394" w:history="1">
        <w:r w:rsidRPr="006D3A22">
          <w:rPr>
            <w:rStyle w:val="Hyperlink"/>
          </w:rPr>
          <w:t>Melbourne Water Corporate Water Consumption</w:t>
        </w:r>
        <w:r>
          <w:rPr>
            <w:webHidden/>
          </w:rPr>
          <w:tab/>
        </w:r>
        <w:r>
          <w:rPr>
            <w:webHidden/>
          </w:rPr>
          <w:fldChar w:fldCharType="begin"/>
        </w:r>
        <w:r>
          <w:rPr>
            <w:webHidden/>
          </w:rPr>
          <w:instrText xml:space="preserve"> PAGEREF _Toc93659394 \h </w:instrText>
        </w:r>
        <w:r>
          <w:rPr>
            <w:webHidden/>
          </w:rPr>
        </w:r>
        <w:r>
          <w:rPr>
            <w:webHidden/>
          </w:rPr>
          <w:fldChar w:fldCharType="separate"/>
        </w:r>
        <w:r>
          <w:rPr>
            <w:webHidden/>
          </w:rPr>
          <w:t>63</w:t>
        </w:r>
        <w:r>
          <w:rPr>
            <w:webHidden/>
          </w:rPr>
          <w:fldChar w:fldCharType="end"/>
        </w:r>
      </w:hyperlink>
    </w:p>
    <w:p w14:paraId="12240E9C" w14:textId="567ABBE8" w:rsidR="00926282" w:rsidRDefault="00926282">
      <w:pPr>
        <w:pStyle w:val="TOC2"/>
        <w:rPr>
          <w:rFonts w:asciiTheme="minorHAnsi" w:eastAsiaTheme="minorEastAsia" w:hAnsiTheme="minorHAnsi" w:cstheme="minorBidi"/>
          <w:noProof/>
          <w:color w:val="auto"/>
          <w:sz w:val="22"/>
          <w:szCs w:val="22"/>
        </w:rPr>
      </w:pPr>
      <w:hyperlink w:anchor="_Toc93659395" w:history="1">
        <w:r w:rsidRPr="006D3A22">
          <w:rPr>
            <w:rStyle w:val="Hyperlink"/>
            <w:noProof/>
          </w:rPr>
          <w:t>Statutory obligations</w:t>
        </w:r>
        <w:r>
          <w:rPr>
            <w:noProof/>
            <w:webHidden/>
          </w:rPr>
          <w:tab/>
        </w:r>
        <w:r>
          <w:rPr>
            <w:noProof/>
            <w:webHidden/>
          </w:rPr>
          <w:fldChar w:fldCharType="begin"/>
        </w:r>
        <w:r>
          <w:rPr>
            <w:noProof/>
            <w:webHidden/>
          </w:rPr>
          <w:instrText xml:space="preserve"> PAGEREF _Toc93659395 \h </w:instrText>
        </w:r>
        <w:r>
          <w:rPr>
            <w:noProof/>
            <w:webHidden/>
          </w:rPr>
        </w:r>
        <w:r>
          <w:rPr>
            <w:noProof/>
            <w:webHidden/>
          </w:rPr>
          <w:fldChar w:fldCharType="separate"/>
        </w:r>
        <w:r>
          <w:rPr>
            <w:noProof/>
            <w:webHidden/>
          </w:rPr>
          <w:t>63</w:t>
        </w:r>
        <w:r>
          <w:rPr>
            <w:noProof/>
            <w:webHidden/>
          </w:rPr>
          <w:fldChar w:fldCharType="end"/>
        </w:r>
      </w:hyperlink>
    </w:p>
    <w:p w14:paraId="0C51323E" w14:textId="79C784DA" w:rsidR="00926282" w:rsidRDefault="00926282">
      <w:pPr>
        <w:pStyle w:val="TOC3"/>
        <w:rPr>
          <w:rFonts w:asciiTheme="minorHAnsi" w:eastAsiaTheme="minorEastAsia" w:hAnsiTheme="minorHAnsi" w:cstheme="minorBidi"/>
          <w:color w:val="auto"/>
          <w:sz w:val="22"/>
          <w:szCs w:val="22"/>
        </w:rPr>
      </w:pPr>
      <w:hyperlink w:anchor="_Toc93659396" w:history="1">
        <w:r w:rsidRPr="006D3A22">
          <w:rPr>
            <w:rStyle w:val="Hyperlink"/>
          </w:rPr>
          <w:t>Enhancing biodiversity</w:t>
        </w:r>
        <w:r>
          <w:rPr>
            <w:webHidden/>
          </w:rPr>
          <w:tab/>
        </w:r>
        <w:r>
          <w:rPr>
            <w:webHidden/>
          </w:rPr>
          <w:fldChar w:fldCharType="begin"/>
        </w:r>
        <w:r>
          <w:rPr>
            <w:webHidden/>
          </w:rPr>
          <w:instrText xml:space="preserve"> PAGEREF _Toc93659396 \h </w:instrText>
        </w:r>
        <w:r>
          <w:rPr>
            <w:webHidden/>
          </w:rPr>
        </w:r>
        <w:r>
          <w:rPr>
            <w:webHidden/>
          </w:rPr>
          <w:fldChar w:fldCharType="separate"/>
        </w:r>
        <w:r>
          <w:rPr>
            <w:webHidden/>
          </w:rPr>
          <w:t>63</w:t>
        </w:r>
        <w:r>
          <w:rPr>
            <w:webHidden/>
          </w:rPr>
          <w:fldChar w:fldCharType="end"/>
        </w:r>
      </w:hyperlink>
    </w:p>
    <w:p w14:paraId="22013783" w14:textId="5D660A63" w:rsidR="00926282" w:rsidRDefault="00926282">
      <w:pPr>
        <w:pStyle w:val="TOC3"/>
        <w:rPr>
          <w:rFonts w:asciiTheme="minorHAnsi" w:eastAsiaTheme="minorEastAsia" w:hAnsiTheme="minorHAnsi" w:cstheme="minorBidi"/>
          <w:color w:val="auto"/>
          <w:sz w:val="22"/>
          <w:szCs w:val="22"/>
        </w:rPr>
      </w:pPr>
      <w:hyperlink w:anchor="_Toc93659397" w:history="1">
        <w:r w:rsidRPr="006D3A22">
          <w:rPr>
            <w:rStyle w:val="Hyperlink"/>
          </w:rPr>
          <w:t>Pollution abatement notices</w:t>
        </w:r>
        <w:r>
          <w:rPr>
            <w:webHidden/>
          </w:rPr>
          <w:tab/>
        </w:r>
        <w:r>
          <w:rPr>
            <w:webHidden/>
          </w:rPr>
          <w:fldChar w:fldCharType="begin"/>
        </w:r>
        <w:r>
          <w:rPr>
            <w:webHidden/>
          </w:rPr>
          <w:instrText xml:space="preserve"> PAGEREF _Toc93659397 \h </w:instrText>
        </w:r>
        <w:r>
          <w:rPr>
            <w:webHidden/>
          </w:rPr>
        </w:r>
        <w:r>
          <w:rPr>
            <w:webHidden/>
          </w:rPr>
          <w:fldChar w:fldCharType="separate"/>
        </w:r>
        <w:r>
          <w:rPr>
            <w:webHidden/>
          </w:rPr>
          <w:t>64</w:t>
        </w:r>
        <w:r>
          <w:rPr>
            <w:webHidden/>
          </w:rPr>
          <w:fldChar w:fldCharType="end"/>
        </w:r>
      </w:hyperlink>
    </w:p>
    <w:p w14:paraId="23BB5EE7" w14:textId="07D326FF" w:rsidR="00926282" w:rsidRDefault="00926282">
      <w:pPr>
        <w:pStyle w:val="TOC3"/>
        <w:rPr>
          <w:rFonts w:asciiTheme="minorHAnsi" w:eastAsiaTheme="minorEastAsia" w:hAnsiTheme="minorHAnsi" w:cstheme="minorBidi"/>
          <w:color w:val="auto"/>
          <w:sz w:val="22"/>
          <w:szCs w:val="22"/>
        </w:rPr>
      </w:pPr>
      <w:hyperlink w:anchor="_Toc93659398" w:history="1">
        <w:r w:rsidRPr="006D3A22">
          <w:rPr>
            <w:rStyle w:val="Hyperlink"/>
          </w:rPr>
          <w:t>State Environment Protection Policy (Waters of Victoria)</w:t>
        </w:r>
        <w:r>
          <w:rPr>
            <w:webHidden/>
          </w:rPr>
          <w:tab/>
        </w:r>
        <w:r>
          <w:rPr>
            <w:webHidden/>
          </w:rPr>
          <w:fldChar w:fldCharType="begin"/>
        </w:r>
        <w:r>
          <w:rPr>
            <w:webHidden/>
          </w:rPr>
          <w:instrText xml:space="preserve"> PAGEREF _Toc93659398 \h </w:instrText>
        </w:r>
        <w:r>
          <w:rPr>
            <w:webHidden/>
          </w:rPr>
        </w:r>
        <w:r>
          <w:rPr>
            <w:webHidden/>
          </w:rPr>
          <w:fldChar w:fldCharType="separate"/>
        </w:r>
        <w:r>
          <w:rPr>
            <w:webHidden/>
          </w:rPr>
          <w:t>65</w:t>
        </w:r>
        <w:r>
          <w:rPr>
            <w:webHidden/>
          </w:rPr>
          <w:fldChar w:fldCharType="end"/>
        </w:r>
      </w:hyperlink>
    </w:p>
    <w:p w14:paraId="6634943D" w14:textId="1B5DF7E6" w:rsidR="00926282" w:rsidRDefault="00926282">
      <w:pPr>
        <w:pStyle w:val="TOC3"/>
        <w:rPr>
          <w:rFonts w:asciiTheme="minorHAnsi" w:eastAsiaTheme="minorEastAsia" w:hAnsiTheme="minorHAnsi" w:cstheme="minorBidi"/>
          <w:color w:val="auto"/>
          <w:sz w:val="22"/>
          <w:szCs w:val="22"/>
        </w:rPr>
      </w:pPr>
      <w:hyperlink w:anchor="_Toc93659399" w:history="1">
        <w:r w:rsidRPr="006D3A22">
          <w:rPr>
            <w:rStyle w:val="Hyperlink"/>
          </w:rPr>
          <w:t>Managing streamflow</w:t>
        </w:r>
        <w:r>
          <w:rPr>
            <w:webHidden/>
          </w:rPr>
          <w:tab/>
        </w:r>
        <w:r>
          <w:rPr>
            <w:webHidden/>
          </w:rPr>
          <w:fldChar w:fldCharType="begin"/>
        </w:r>
        <w:r>
          <w:rPr>
            <w:webHidden/>
          </w:rPr>
          <w:instrText xml:space="preserve"> PAGEREF _Toc93659399 \h </w:instrText>
        </w:r>
        <w:r>
          <w:rPr>
            <w:webHidden/>
          </w:rPr>
        </w:r>
        <w:r>
          <w:rPr>
            <w:webHidden/>
          </w:rPr>
          <w:fldChar w:fldCharType="separate"/>
        </w:r>
        <w:r>
          <w:rPr>
            <w:webHidden/>
          </w:rPr>
          <w:t>65</w:t>
        </w:r>
        <w:r>
          <w:rPr>
            <w:webHidden/>
          </w:rPr>
          <w:fldChar w:fldCharType="end"/>
        </w:r>
      </w:hyperlink>
    </w:p>
    <w:p w14:paraId="0A27DD94" w14:textId="75F263AD" w:rsidR="00926282" w:rsidRDefault="00926282">
      <w:pPr>
        <w:pStyle w:val="TOC1"/>
        <w:rPr>
          <w:rFonts w:asciiTheme="minorHAnsi" w:eastAsiaTheme="minorEastAsia" w:hAnsiTheme="minorHAnsi" w:cstheme="minorBidi"/>
          <w:sz w:val="22"/>
          <w:szCs w:val="22"/>
        </w:rPr>
      </w:pPr>
      <w:hyperlink w:anchor="_Toc93659400" w:history="1">
        <w:r w:rsidRPr="006D3A22">
          <w:rPr>
            <w:rStyle w:val="Hyperlink"/>
          </w:rPr>
          <w:t>Our People</w:t>
        </w:r>
        <w:r>
          <w:rPr>
            <w:webHidden/>
          </w:rPr>
          <w:tab/>
        </w:r>
        <w:r>
          <w:rPr>
            <w:webHidden/>
          </w:rPr>
          <w:fldChar w:fldCharType="begin"/>
        </w:r>
        <w:r>
          <w:rPr>
            <w:webHidden/>
          </w:rPr>
          <w:instrText xml:space="preserve"> PAGEREF _Toc93659400 \h </w:instrText>
        </w:r>
        <w:r>
          <w:rPr>
            <w:webHidden/>
          </w:rPr>
        </w:r>
        <w:r>
          <w:rPr>
            <w:webHidden/>
          </w:rPr>
          <w:fldChar w:fldCharType="separate"/>
        </w:r>
        <w:r>
          <w:rPr>
            <w:webHidden/>
          </w:rPr>
          <w:t>66</w:t>
        </w:r>
        <w:r>
          <w:rPr>
            <w:webHidden/>
          </w:rPr>
          <w:fldChar w:fldCharType="end"/>
        </w:r>
      </w:hyperlink>
    </w:p>
    <w:p w14:paraId="366C1C15" w14:textId="5F3EC064" w:rsidR="00926282" w:rsidRDefault="00926282">
      <w:pPr>
        <w:pStyle w:val="TOC2"/>
        <w:rPr>
          <w:rFonts w:asciiTheme="minorHAnsi" w:eastAsiaTheme="minorEastAsia" w:hAnsiTheme="minorHAnsi" w:cstheme="minorBidi"/>
          <w:noProof/>
          <w:color w:val="auto"/>
          <w:sz w:val="22"/>
          <w:szCs w:val="22"/>
        </w:rPr>
      </w:pPr>
      <w:hyperlink w:anchor="_Toc93659401" w:history="1">
        <w:r w:rsidRPr="006D3A22">
          <w:rPr>
            <w:rStyle w:val="Hyperlink"/>
            <w:noProof/>
          </w:rPr>
          <w:t>Inspired People</w:t>
        </w:r>
        <w:r>
          <w:rPr>
            <w:noProof/>
            <w:webHidden/>
          </w:rPr>
          <w:tab/>
        </w:r>
        <w:r>
          <w:rPr>
            <w:noProof/>
            <w:webHidden/>
          </w:rPr>
          <w:fldChar w:fldCharType="begin"/>
        </w:r>
        <w:r>
          <w:rPr>
            <w:noProof/>
            <w:webHidden/>
          </w:rPr>
          <w:instrText xml:space="preserve"> PAGEREF _Toc93659401 \h </w:instrText>
        </w:r>
        <w:r>
          <w:rPr>
            <w:noProof/>
            <w:webHidden/>
          </w:rPr>
        </w:r>
        <w:r>
          <w:rPr>
            <w:noProof/>
            <w:webHidden/>
          </w:rPr>
          <w:fldChar w:fldCharType="separate"/>
        </w:r>
        <w:r>
          <w:rPr>
            <w:noProof/>
            <w:webHidden/>
          </w:rPr>
          <w:t>66</w:t>
        </w:r>
        <w:r>
          <w:rPr>
            <w:noProof/>
            <w:webHidden/>
          </w:rPr>
          <w:fldChar w:fldCharType="end"/>
        </w:r>
      </w:hyperlink>
    </w:p>
    <w:p w14:paraId="6C7E16A3" w14:textId="7720F0FC" w:rsidR="00926282" w:rsidRDefault="00926282">
      <w:pPr>
        <w:pStyle w:val="TOC3"/>
        <w:rPr>
          <w:rFonts w:asciiTheme="minorHAnsi" w:eastAsiaTheme="minorEastAsia" w:hAnsiTheme="minorHAnsi" w:cstheme="minorBidi"/>
          <w:color w:val="auto"/>
          <w:sz w:val="22"/>
          <w:szCs w:val="22"/>
        </w:rPr>
      </w:pPr>
      <w:hyperlink w:anchor="_Toc93659402" w:history="1">
        <w:r w:rsidRPr="006D3A22">
          <w:rPr>
            <w:rStyle w:val="Hyperlink"/>
          </w:rPr>
          <w:t>Our Approach</w:t>
        </w:r>
        <w:r>
          <w:rPr>
            <w:webHidden/>
          </w:rPr>
          <w:tab/>
        </w:r>
        <w:r>
          <w:rPr>
            <w:webHidden/>
          </w:rPr>
          <w:fldChar w:fldCharType="begin"/>
        </w:r>
        <w:r>
          <w:rPr>
            <w:webHidden/>
          </w:rPr>
          <w:instrText xml:space="preserve"> PAGEREF _Toc93659402 \h </w:instrText>
        </w:r>
        <w:r>
          <w:rPr>
            <w:webHidden/>
          </w:rPr>
        </w:r>
        <w:r>
          <w:rPr>
            <w:webHidden/>
          </w:rPr>
          <w:fldChar w:fldCharType="separate"/>
        </w:r>
        <w:r>
          <w:rPr>
            <w:webHidden/>
          </w:rPr>
          <w:t>66</w:t>
        </w:r>
        <w:r>
          <w:rPr>
            <w:webHidden/>
          </w:rPr>
          <w:fldChar w:fldCharType="end"/>
        </w:r>
      </w:hyperlink>
    </w:p>
    <w:p w14:paraId="3C375038" w14:textId="3B947D82" w:rsidR="00926282" w:rsidRDefault="00926282">
      <w:pPr>
        <w:pStyle w:val="TOC3"/>
        <w:rPr>
          <w:rFonts w:asciiTheme="minorHAnsi" w:eastAsiaTheme="minorEastAsia" w:hAnsiTheme="minorHAnsi" w:cstheme="minorBidi"/>
          <w:color w:val="auto"/>
          <w:sz w:val="22"/>
          <w:szCs w:val="22"/>
        </w:rPr>
      </w:pPr>
      <w:hyperlink w:anchor="_Toc93659403" w:history="1">
        <w:r w:rsidRPr="006D3A22">
          <w:rPr>
            <w:rStyle w:val="Hyperlink"/>
          </w:rPr>
          <w:t>Culture and engagement</w:t>
        </w:r>
        <w:r>
          <w:rPr>
            <w:webHidden/>
          </w:rPr>
          <w:tab/>
        </w:r>
        <w:r>
          <w:rPr>
            <w:webHidden/>
          </w:rPr>
          <w:fldChar w:fldCharType="begin"/>
        </w:r>
        <w:r>
          <w:rPr>
            <w:webHidden/>
          </w:rPr>
          <w:instrText xml:space="preserve"> PAGEREF _Toc93659403 \h </w:instrText>
        </w:r>
        <w:r>
          <w:rPr>
            <w:webHidden/>
          </w:rPr>
        </w:r>
        <w:r>
          <w:rPr>
            <w:webHidden/>
          </w:rPr>
          <w:fldChar w:fldCharType="separate"/>
        </w:r>
        <w:r>
          <w:rPr>
            <w:webHidden/>
          </w:rPr>
          <w:t>66</w:t>
        </w:r>
        <w:r>
          <w:rPr>
            <w:webHidden/>
          </w:rPr>
          <w:fldChar w:fldCharType="end"/>
        </w:r>
      </w:hyperlink>
    </w:p>
    <w:p w14:paraId="310D487D" w14:textId="016FCF37" w:rsidR="00926282" w:rsidRDefault="00926282">
      <w:pPr>
        <w:pStyle w:val="TOC3"/>
        <w:rPr>
          <w:rFonts w:asciiTheme="minorHAnsi" w:eastAsiaTheme="minorEastAsia" w:hAnsiTheme="minorHAnsi" w:cstheme="minorBidi"/>
          <w:color w:val="auto"/>
          <w:sz w:val="22"/>
          <w:szCs w:val="22"/>
        </w:rPr>
      </w:pPr>
      <w:hyperlink w:anchor="_Toc93659404" w:history="1">
        <w:r w:rsidRPr="006D3A22">
          <w:rPr>
            <w:rStyle w:val="Hyperlink"/>
          </w:rPr>
          <w:t>Learning organisation</w:t>
        </w:r>
        <w:r>
          <w:rPr>
            <w:webHidden/>
          </w:rPr>
          <w:tab/>
        </w:r>
        <w:r>
          <w:rPr>
            <w:webHidden/>
          </w:rPr>
          <w:fldChar w:fldCharType="begin"/>
        </w:r>
        <w:r>
          <w:rPr>
            <w:webHidden/>
          </w:rPr>
          <w:instrText xml:space="preserve"> PAGEREF _Toc93659404 \h </w:instrText>
        </w:r>
        <w:r>
          <w:rPr>
            <w:webHidden/>
          </w:rPr>
        </w:r>
        <w:r>
          <w:rPr>
            <w:webHidden/>
          </w:rPr>
          <w:fldChar w:fldCharType="separate"/>
        </w:r>
        <w:r>
          <w:rPr>
            <w:webHidden/>
          </w:rPr>
          <w:t>66</w:t>
        </w:r>
        <w:r>
          <w:rPr>
            <w:webHidden/>
          </w:rPr>
          <w:fldChar w:fldCharType="end"/>
        </w:r>
      </w:hyperlink>
    </w:p>
    <w:p w14:paraId="65A2BC93" w14:textId="04CF4EA8" w:rsidR="00926282" w:rsidRDefault="00926282">
      <w:pPr>
        <w:pStyle w:val="TOC3"/>
        <w:rPr>
          <w:rFonts w:asciiTheme="minorHAnsi" w:eastAsiaTheme="minorEastAsia" w:hAnsiTheme="minorHAnsi" w:cstheme="minorBidi"/>
          <w:color w:val="auto"/>
          <w:sz w:val="22"/>
          <w:szCs w:val="22"/>
        </w:rPr>
      </w:pPr>
      <w:hyperlink w:anchor="_Toc93659405" w:history="1">
        <w:r w:rsidRPr="006D3A22">
          <w:rPr>
            <w:rStyle w:val="Hyperlink"/>
          </w:rPr>
          <w:t>New ways of working</w:t>
        </w:r>
        <w:r>
          <w:rPr>
            <w:webHidden/>
          </w:rPr>
          <w:tab/>
        </w:r>
        <w:r>
          <w:rPr>
            <w:webHidden/>
          </w:rPr>
          <w:fldChar w:fldCharType="begin"/>
        </w:r>
        <w:r>
          <w:rPr>
            <w:webHidden/>
          </w:rPr>
          <w:instrText xml:space="preserve"> PAGEREF _Toc93659405 \h </w:instrText>
        </w:r>
        <w:r>
          <w:rPr>
            <w:webHidden/>
          </w:rPr>
        </w:r>
        <w:r>
          <w:rPr>
            <w:webHidden/>
          </w:rPr>
          <w:fldChar w:fldCharType="separate"/>
        </w:r>
        <w:r>
          <w:rPr>
            <w:webHidden/>
          </w:rPr>
          <w:t>67</w:t>
        </w:r>
        <w:r>
          <w:rPr>
            <w:webHidden/>
          </w:rPr>
          <w:fldChar w:fldCharType="end"/>
        </w:r>
      </w:hyperlink>
    </w:p>
    <w:p w14:paraId="2F293316" w14:textId="6B1B9E35" w:rsidR="00926282" w:rsidRDefault="00926282">
      <w:pPr>
        <w:pStyle w:val="TOC3"/>
        <w:rPr>
          <w:rFonts w:asciiTheme="minorHAnsi" w:eastAsiaTheme="minorEastAsia" w:hAnsiTheme="minorHAnsi" w:cstheme="minorBidi"/>
          <w:color w:val="auto"/>
          <w:sz w:val="22"/>
          <w:szCs w:val="22"/>
        </w:rPr>
      </w:pPr>
      <w:hyperlink w:anchor="_Toc93659406" w:history="1">
        <w:r w:rsidRPr="006D3A22">
          <w:rPr>
            <w:rStyle w:val="Hyperlink"/>
          </w:rPr>
          <w:t>Building workforce capability</w:t>
        </w:r>
        <w:r>
          <w:rPr>
            <w:webHidden/>
          </w:rPr>
          <w:tab/>
        </w:r>
        <w:r>
          <w:rPr>
            <w:webHidden/>
          </w:rPr>
          <w:fldChar w:fldCharType="begin"/>
        </w:r>
        <w:r>
          <w:rPr>
            <w:webHidden/>
          </w:rPr>
          <w:instrText xml:space="preserve"> PAGEREF _Toc93659406 \h </w:instrText>
        </w:r>
        <w:r>
          <w:rPr>
            <w:webHidden/>
          </w:rPr>
        </w:r>
        <w:r>
          <w:rPr>
            <w:webHidden/>
          </w:rPr>
          <w:fldChar w:fldCharType="separate"/>
        </w:r>
        <w:r>
          <w:rPr>
            <w:webHidden/>
          </w:rPr>
          <w:t>67</w:t>
        </w:r>
        <w:r>
          <w:rPr>
            <w:webHidden/>
          </w:rPr>
          <w:fldChar w:fldCharType="end"/>
        </w:r>
      </w:hyperlink>
    </w:p>
    <w:p w14:paraId="5A99AB1B" w14:textId="14FB0F0A" w:rsidR="00926282" w:rsidRDefault="00926282">
      <w:pPr>
        <w:pStyle w:val="TOC3"/>
        <w:rPr>
          <w:rFonts w:asciiTheme="minorHAnsi" w:eastAsiaTheme="minorEastAsia" w:hAnsiTheme="minorHAnsi" w:cstheme="minorBidi"/>
          <w:color w:val="auto"/>
          <w:sz w:val="22"/>
          <w:szCs w:val="22"/>
        </w:rPr>
      </w:pPr>
      <w:hyperlink w:anchor="_Toc93659407" w:history="1">
        <w:r w:rsidRPr="006D3A22">
          <w:rPr>
            <w:rStyle w:val="Hyperlink"/>
          </w:rPr>
          <w:t>Diversity and inclusion</w:t>
        </w:r>
        <w:r>
          <w:rPr>
            <w:webHidden/>
          </w:rPr>
          <w:tab/>
        </w:r>
        <w:r>
          <w:rPr>
            <w:webHidden/>
          </w:rPr>
          <w:fldChar w:fldCharType="begin"/>
        </w:r>
        <w:r>
          <w:rPr>
            <w:webHidden/>
          </w:rPr>
          <w:instrText xml:space="preserve"> PAGEREF _Toc93659407 \h </w:instrText>
        </w:r>
        <w:r>
          <w:rPr>
            <w:webHidden/>
          </w:rPr>
        </w:r>
        <w:r>
          <w:rPr>
            <w:webHidden/>
          </w:rPr>
          <w:fldChar w:fldCharType="separate"/>
        </w:r>
        <w:r>
          <w:rPr>
            <w:webHidden/>
          </w:rPr>
          <w:t>67</w:t>
        </w:r>
        <w:r>
          <w:rPr>
            <w:webHidden/>
          </w:rPr>
          <w:fldChar w:fldCharType="end"/>
        </w:r>
      </w:hyperlink>
    </w:p>
    <w:p w14:paraId="54461C06" w14:textId="7FE881C2" w:rsidR="00926282" w:rsidRDefault="00926282">
      <w:pPr>
        <w:pStyle w:val="TOC3"/>
        <w:rPr>
          <w:rFonts w:asciiTheme="minorHAnsi" w:eastAsiaTheme="minorEastAsia" w:hAnsiTheme="minorHAnsi" w:cstheme="minorBidi"/>
          <w:color w:val="auto"/>
          <w:sz w:val="22"/>
          <w:szCs w:val="22"/>
        </w:rPr>
      </w:pPr>
      <w:hyperlink w:anchor="_Toc93659408" w:history="1">
        <w:r w:rsidRPr="006D3A22">
          <w:rPr>
            <w:rStyle w:val="Hyperlink"/>
          </w:rPr>
          <w:t>Accessibility Inclusion Plan</w:t>
        </w:r>
        <w:r>
          <w:rPr>
            <w:webHidden/>
          </w:rPr>
          <w:tab/>
        </w:r>
        <w:r>
          <w:rPr>
            <w:webHidden/>
          </w:rPr>
          <w:fldChar w:fldCharType="begin"/>
        </w:r>
        <w:r>
          <w:rPr>
            <w:webHidden/>
          </w:rPr>
          <w:instrText xml:space="preserve"> PAGEREF _Toc93659408 \h </w:instrText>
        </w:r>
        <w:r>
          <w:rPr>
            <w:webHidden/>
          </w:rPr>
        </w:r>
        <w:r>
          <w:rPr>
            <w:webHidden/>
          </w:rPr>
          <w:fldChar w:fldCharType="separate"/>
        </w:r>
        <w:r>
          <w:rPr>
            <w:webHidden/>
          </w:rPr>
          <w:t>68</w:t>
        </w:r>
        <w:r>
          <w:rPr>
            <w:webHidden/>
          </w:rPr>
          <w:fldChar w:fldCharType="end"/>
        </w:r>
      </w:hyperlink>
    </w:p>
    <w:p w14:paraId="20ADFDA1" w14:textId="7DD81D6A" w:rsidR="00926282" w:rsidRDefault="00926282">
      <w:pPr>
        <w:pStyle w:val="TOC3"/>
        <w:rPr>
          <w:rFonts w:asciiTheme="minorHAnsi" w:eastAsiaTheme="minorEastAsia" w:hAnsiTheme="minorHAnsi" w:cstheme="minorBidi"/>
          <w:color w:val="auto"/>
          <w:sz w:val="22"/>
          <w:szCs w:val="22"/>
        </w:rPr>
      </w:pPr>
      <w:hyperlink w:anchor="_Toc93659409" w:history="1">
        <w:r w:rsidRPr="006D3A22">
          <w:rPr>
            <w:rStyle w:val="Hyperlink"/>
          </w:rPr>
          <w:t>Employment Data</w:t>
        </w:r>
        <w:r>
          <w:rPr>
            <w:webHidden/>
          </w:rPr>
          <w:tab/>
        </w:r>
        <w:r>
          <w:rPr>
            <w:webHidden/>
          </w:rPr>
          <w:fldChar w:fldCharType="begin"/>
        </w:r>
        <w:r>
          <w:rPr>
            <w:webHidden/>
          </w:rPr>
          <w:instrText xml:space="preserve"> PAGEREF _Toc93659409 \h </w:instrText>
        </w:r>
        <w:r>
          <w:rPr>
            <w:webHidden/>
          </w:rPr>
        </w:r>
        <w:r>
          <w:rPr>
            <w:webHidden/>
          </w:rPr>
          <w:fldChar w:fldCharType="separate"/>
        </w:r>
        <w:r>
          <w:rPr>
            <w:webHidden/>
          </w:rPr>
          <w:t>69</w:t>
        </w:r>
        <w:r>
          <w:rPr>
            <w:webHidden/>
          </w:rPr>
          <w:fldChar w:fldCharType="end"/>
        </w:r>
      </w:hyperlink>
    </w:p>
    <w:p w14:paraId="4DE7CF19" w14:textId="213E42A1" w:rsidR="00926282" w:rsidRDefault="00926282">
      <w:pPr>
        <w:pStyle w:val="TOC3"/>
        <w:rPr>
          <w:rFonts w:asciiTheme="minorHAnsi" w:eastAsiaTheme="minorEastAsia" w:hAnsiTheme="minorHAnsi" w:cstheme="minorBidi"/>
          <w:color w:val="auto"/>
          <w:sz w:val="22"/>
          <w:szCs w:val="22"/>
        </w:rPr>
      </w:pPr>
      <w:hyperlink w:anchor="_Toc93659410" w:history="1">
        <w:r w:rsidRPr="006D3A22">
          <w:rPr>
            <w:rStyle w:val="Hyperlink"/>
          </w:rPr>
          <w:t>Local Jobs First</w:t>
        </w:r>
        <w:r>
          <w:rPr>
            <w:webHidden/>
          </w:rPr>
          <w:tab/>
        </w:r>
        <w:r>
          <w:rPr>
            <w:webHidden/>
          </w:rPr>
          <w:fldChar w:fldCharType="begin"/>
        </w:r>
        <w:r>
          <w:rPr>
            <w:webHidden/>
          </w:rPr>
          <w:instrText xml:space="preserve"> PAGEREF _Toc93659410 \h </w:instrText>
        </w:r>
        <w:r>
          <w:rPr>
            <w:webHidden/>
          </w:rPr>
        </w:r>
        <w:r>
          <w:rPr>
            <w:webHidden/>
          </w:rPr>
          <w:fldChar w:fldCharType="separate"/>
        </w:r>
        <w:r>
          <w:rPr>
            <w:webHidden/>
          </w:rPr>
          <w:t>71</w:t>
        </w:r>
        <w:r>
          <w:rPr>
            <w:webHidden/>
          </w:rPr>
          <w:fldChar w:fldCharType="end"/>
        </w:r>
      </w:hyperlink>
    </w:p>
    <w:p w14:paraId="5100C21B" w14:textId="33BFA2A6" w:rsidR="00926282" w:rsidRDefault="00926282">
      <w:pPr>
        <w:pStyle w:val="TOC2"/>
        <w:rPr>
          <w:rFonts w:asciiTheme="minorHAnsi" w:eastAsiaTheme="minorEastAsia" w:hAnsiTheme="minorHAnsi" w:cstheme="minorBidi"/>
          <w:noProof/>
          <w:color w:val="auto"/>
          <w:sz w:val="22"/>
          <w:szCs w:val="22"/>
        </w:rPr>
      </w:pPr>
      <w:hyperlink w:anchor="_Toc93659411" w:history="1">
        <w:r w:rsidRPr="006D3A22">
          <w:rPr>
            <w:rStyle w:val="Hyperlink"/>
            <w:noProof/>
          </w:rPr>
          <w:t>Safety, Health and Wellbeing</w:t>
        </w:r>
        <w:r>
          <w:rPr>
            <w:noProof/>
            <w:webHidden/>
          </w:rPr>
          <w:tab/>
        </w:r>
        <w:r>
          <w:rPr>
            <w:noProof/>
            <w:webHidden/>
          </w:rPr>
          <w:fldChar w:fldCharType="begin"/>
        </w:r>
        <w:r>
          <w:rPr>
            <w:noProof/>
            <w:webHidden/>
          </w:rPr>
          <w:instrText xml:space="preserve"> PAGEREF _Toc93659411 \h </w:instrText>
        </w:r>
        <w:r>
          <w:rPr>
            <w:noProof/>
            <w:webHidden/>
          </w:rPr>
        </w:r>
        <w:r>
          <w:rPr>
            <w:noProof/>
            <w:webHidden/>
          </w:rPr>
          <w:fldChar w:fldCharType="separate"/>
        </w:r>
        <w:r>
          <w:rPr>
            <w:noProof/>
            <w:webHidden/>
          </w:rPr>
          <w:t>73</w:t>
        </w:r>
        <w:r>
          <w:rPr>
            <w:noProof/>
            <w:webHidden/>
          </w:rPr>
          <w:fldChar w:fldCharType="end"/>
        </w:r>
      </w:hyperlink>
    </w:p>
    <w:p w14:paraId="25235F5A" w14:textId="618FBD9D" w:rsidR="00926282" w:rsidRDefault="00926282">
      <w:pPr>
        <w:pStyle w:val="TOC3"/>
        <w:rPr>
          <w:rFonts w:asciiTheme="minorHAnsi" w:eastAsiaTheme="minorEastAsia" w:hAnsiTheme="minorHAnsi" w:cstheme="minorBidi"/>
          <w:color w:val="auto"/>
          <w:sz w:val="22"/>
          <w:szCs w:val="22"/>
        </w:rPr>
      </w:pPr>
      <w:hyperlink w:anchor="_Toc93659412" w:history="1">
        <w:r w:rsidRPr="006D3A22">
          <w:rPr>
            <w:rStyle w:val="Hyperlink"/>
          </w:rPr>
          <w:t>Our Approach</w:t>
        </w:r>
        <w:r>
          <w:rPr>
            <w:webHidden/>
          </w:rPr>
          <w:tab/>
        </w:r>
        <w:r>
          <w:rPr>
            <w:webHidden/>
          </w:rPr>
          <w:fldChar w:fldCharType="begin"/>
        </w:r>
        <w:r>
          <w:rPr>
            <w:webHidden/>
          </w:rPr>
          <w:instrText xml:space="preserve"> PAGEREF _Toc93659412 \h </w:instrText>
        </w:r>
        <w:r>
          <w:rPr>
            <w:webHidden/>
          </w:rPr>
        </w:r>
        <w:r>
          <w:rPr>
            <w:webHidden/>
          </w:rPr>
          <w:fldChar w:fldCharType="separate"/>
        </w:r>
        <w:r>
          <w:rPr>
            <w:webHidden/>
          </w:rPr>
          <w:t>73</w:t>
        </w:r>
        <w:r>
          <w:rPr>
            <w:webHidden/>
          </w:rPr>
          <w:fldChar w:fldCharType="end"/>
        </w:r>
      </w:hyperlink>
    </w:p>
    <w:p w14:paraId="590DB57E" w14:textId="066708EB" w:rsidR="00926282" w:rsidRDefault="00926282">
      <w:pPr>
        <w:pStyle w:val="TOC3"/>
        <w:rPr>
          <w:rFonts w:asciiTheme="minorHAnsi" w:eastAsiaTheme="minorEastAsia" w:hAnsiTheme="minorHAnsi" w:cstheme="minorBidi"/>
          <w:color w:val="auto"/>
          <w:sz w:val="22"/>
          <w:szCs w:val="22"/>
        </w:rPr>
      </w:pPr>
      <w:hyperlink w:anchor="_Toc93659413" w:history="1">
        <w:r w:rsidRPr="006D3A22">
          <w:rPr>
            <w:rStyle w:val="Hyperlink"/>
          </w:rPr>
          <w:t>Technology driving innovation</w:t>
        </w:r>
        <w:r>
          <w:rPr>
            <w:webHidden/>
          </w:rPr>
          <w:tab/>
        </w:r>
        <w:r>
          <w:rPr>
            <w:webHidden/>
          </w:rPr>
          <w:fldChar w:fldCharType="begin"/>
        </w:r>
        <w:r>
          <w:rPr>
            <w:webHidden/>
          </w:rPr>
          <w:instrText xml:space="preserve"> PAGEREF _Toc93659413 \h </w:instrText>
        </w:r>
        <w:r>
          <w:rPr>
            <w:webHidden/>
          </w:rPr>
        </w:r>
        <w:r>
          <w:rPr>
            <w:webHidden/>
          </w:rPr>
          <w:fldChar w:fldCharType="separate"/>
        </w:r>
        <w:r>
          <w:rPr>
            <w:webHidden/>
          </w:rPr>
          <w:t>73</w:t>
        </w:r>
        <w:r>
          <w:rPr>
            <w:webHidden/>
          </w:rPr>
          <w:fldChar w:fldCharType="end"/>
        </w:r>
      </w:hyperlink>
    </w:p>
    <w:p w14:paraId="7DF88CA5" w14:textId="7BBCB164" w:rsidR="00926282" w:rsidRDefault="00926282">
      <w:pPr>
        <w:pStyle w:val="TOC3"/>
        <w:rPr>
          <w:rFonts w:asciiTheme="minorHAnsi" w:eastAsiaTheme="minorEastAsia" w:hAnsiTheme="minorHAnsi" w:cstheme="minorBidi"/>
          <w:color w:val="auto"/>
          <w:sz w:val="22"/>
          <w:szCs w:val="22"/>
        </w:rPr>
      </w:pPr>
      <w:hyperlink w:anchor="_Toc93659414" w:history="1">
        <w:r w:rsidRPr="006D3A22">
          <w:rPr>
            <w:rStyle w:val="Hyperlink"/>
          </w:rPr>
          <w:t>Whole of life safety: enhanced wellbeing</w:t>
        </w:r>
        <w:r>
          <w:rPr>
            <w:webHidden/>
          </w:rPr>
          <w:tab/>
        </w:r>
        <w:r>
          <w:rPr>
            <w:webHidden/>
          </w:rPr>
          <w:fldChar w:fldCharType="begin"/>
        </w:r>
        <w:r>
          <w:rPr>
            <w:webHidden/>
          </w:rPr>
          <w:instrText xml:space="preserve"> PAGEREF _Toc93659414 \h </w:instrText>
        </w:r>
        <w:r>
          <w:rPr>
            <w:webHidden/>
          </w:rPr>
        </w:r>
        <w:r>
          <w:rPr>
            <w:webHidden/>
          </w:rPr>
          <w:fldChar w:fldCharType="separate"/>
        </w:r>
        <w:r>
          <w:rPr>
            <w:webHidden/>
          </w:rPr>
          <w:t>73</w:t>
        </w:r>
        <w:r>
          <w:rPr>
            <w:webHidden/>
          </w:rPr>
          <w:fldChar w:fldCharType="end"/>
        </w:r>
      </w:hyperlink>
    </w:p>
    <w:p w14:paraId="43388908" w14:textId="6B5178AA" w:rsidR="00926282" w:rsidRDefault="00926282">
      <w:pPr>
        <w:pStyle w:val="TOC3"/>
        <w:rPr>
          <w:rFonts w:asciiTheme="minorHAnsi" w:eastAsiaTheme="minorEastAsia" w:hAnsiTheme="minorHAnsi" w:cstheme="minorBidi"/>
          <w:color w:val="auto"/>
          <w:sz w:val="22"/>
          <w:szCs w:val="22"/>
        </w:rPr>
      </w:pPr>
      <w:hyperlink w:anchor="_Toc93659415" w:history="1">
        <w:r w:rsidRPr="006D3A22">
          <w:rPr>
            <w:rStyle w:val="Hyperlink"/>
          </w:rPr>
          <w:t>Safer working environments</w:t>
        </w:r>
        <w:r>
          <w:rPr>
            <w:webHidden/>
          </w:rPr>
          <w:tab/>
        </w:r>
        <w:r>
          <w:rPr>
            <w:webHidden/>
          </w:rPr>
          <w:fldChar w:fldCharType="begin"/>
        </w:r>
        <w:r>
          <w:rPr>
            <w:webHidden/>
          </w:rPr>
          <w:instrText xml:space="preserve"> PAGEREF _Toc93659415 \h </w:instrText>
        </w:r>
        <w:r>
          <w:rPr>
            <w:webHidden/>
          </w:rPr>
        </w:r>
        <w:r>
          <w:rPr>
            <w:webHidden/>
          </w:rPr>
          <w:fldChar w:fldCharType="separate"/>
        </w:r>
        <w:r>
          <w:rPr>
            <w:webHidden/>
          </w:rPr>
          <w:t>74</w:t>
        </w:r>
        <w:r>
          <w:rPr>
            <w:webHidden/>
          </w:rPr>
          <w:fldChar w:fldCharType="end"/>
        </w:r>
      </w:hyperlink>
    </w:p>
    <w:p w14:paraId="6AEDD1BE" w14:textId="41F29AFD" w:rsidR="00926282" w:rsidRDefault="00926282">
      <w:pPr>
        <w:pStyle w:val="TOC3"/>
        <w:rPr>
          <w:rFonts w:asciiTheme="minorHAnsi" w:eastAsiaTheme="minorEastAsia" w:hAnsiTheme="minorHAnsi" w:cstheme="minorBidi"/>
          <w:color w:val="auto"/>
          <w:sz w:val="22"/>
          <w:szCs w:val="22"/>
        </w:rPr>
      </w:pPr>
      <w:hyperlink w:anchor="_Toc93659416" w:history="1">
        <w:r w:rsidRPr="006D3A22">
          <w:rPr>
            <w:rStyle w:val="Hyperlink"/>
          </w:rPr>
          <w:t>Our performance</w:t>
        </w:r>
        <w:r>
          <w:rPr>
            <w:webHidden/>
          </w:rPr>
          <w:tab/>
        </w:r>
        <w:r>
          <w:rPr>
            <w:webHidden/>
          </w:rPr>
          <w:fldChar w:fldCharType="begin"/>
        </w:r>
        <w:r>
          <w:rPr>
            <w:webHidden/>
          </w:rPr>
          <w:instrText xml:space="preserve"> PAGEREF _Toc93659416 \h </w:instrText>
        </w:r>
        <w:r>
          <w:rPr>
            <w:webHidden/>
          </w:rPr>
        </w:r>
        <w:r>
          <w:rPr>
            <w:webHidden/>
          </w:rPr>
          <w:fldChar w:fldCharType="separate"/>
        </w:r>
        <w:r>
          <w:rPr>
            <w:webHidden/>
          </w:rPr>
          <w:t>74</w:t>
        </w:r>
        <w:r>
          <w:rPr>
            <w:webHidden/>
          </w:rPr>
          <w:fldChar w:fldCharType="end"/>
        </w:r>
      </w:hyperlink>
    </w:p>
    <w:p w14:paraId="40945E0F" w14:textId="0F5DD4C6" w:rsidR="00926282" w:rsidRDefault="00926282">
      <w:pPr>
        <w:pStyle w:val="TOC1"/>
        <w:rPr>
          <w:rFonts w:asciiTheme="minorHAnsi" w:eastAsiaTheme="minorEastAsia" w:hAnsiTheme="minorHAnsi" w:cstheme="minorBidi"/>
          <w:sz w:val="22"/>
          <w:szCs w:val="22"/>
        </w:rPr>
      </w:pPr>
      <w:hyperlink w:anchor="_Toc93659417" w:history="1">
        <w:r w:rsidRPr="006D3A22">
          <w:rPr>
            <w:rStyle w:val="Hyperlink"/>
          </w:rPr>
          <w:t>Our Business</w:t>
        </w:r>
        <w:r>
          <w:rPr>
            <w:webHidden/>
          </w:rPr>
          <w:tab/>
        </w:r>
        <w:r>
          <w:rPr>
            <w:webHidden/>
          </w:rPr>
          <w:fldChar w:fldCharType="begin"/>
        </w:r>
        <w:r>
          <w:rPr>
            <w:webHidden/>
          </w:rPr>
          <w:instrText xml:space="preserve"> PAGEREF _Toc93659417 \h </w:instrText>
        </w:r>
        <w:r>
          <w:rPr>
            <w:webHidden/>
          </w:rPr>
        </w:r>
        <w:r>
          <w:rPr>
            <w:webHidden/>
          </w:rPr>
          <w:fldChar w:fldCharType="separate"/>
        </w:r>
        <w:r>
          <w:rPr>
            <w:webHidden/>
          </w:rPr>
          <w:t>76</w:t>
        </w:r>
        <w:r>
          <w:rPr>
            <w:webHidden/>
          </w:rPr>
          <w:fldChar w:fldCharType="end"/>
        </w:r>
      </w:hyperlink>
    </w:p>
    <w:p w14:paraId="16E93EFE" w14:textId="4C59A09B" w:rsidR="00926282" w:rsidRDefault="00926282">
      <w:pPr>
        <w:pStyle w:val="TOC2"/>
        <w:rPr>
          <w:rFonts w:asciiTheme="minorHAnsi" w:eastAsiaTheme="minorEastAsia" w:hAnsiTheme="minorHAnsi" w:cstheme="minorBidi"/>
          <w:noProof/>
          <w:color w:val="auto"/>
          <w:sz w:val="22"/>
          <w:szCs w:val="22"/>
        </w:rPr>
      </w:pPr>
      <w:hyperlink w:anchor="_Toc93659418" w:history="1">
        <w:r w:rsidRPr="006D3A22">
          <w:rPr>
            <w:rStyle w:val="Hyperlink"/>
            <w:noProof/>
          </w:rPr>
          <w:t>Organisational Structure</w:t>
        </w:r>
        <w:r>
          <w:rPr>
            <w:noProof/>
            <w:webHidden/>
          </w:rPr>
          <w:tab/>
        </w:r>
        <w:r>
          <w:rPr>
            <w:noProof/>
            <w:webHidden/>
          </w:rPr>
          <w:fldChar w:fldCharType="begin"/>
        </w:r>
        <w:r>
          <w:rPr>
            <w:noProof/>
            <w:webHidden/>
          </w:rPr>
          <w:instrText xml:space="preserve"> PAGEREF _Toc93659418 \h </w:instrText>
        </w:r>
        <w:r>
          <w:rPr>
            <w:noProof/>
            <w:webHidden/>
          </w:rPr>
        </w:r>
        <w:r>
          <w:rPr>
            <w:noProof/>
            <w:webHidden/>
          </w:rPr>
          <w:fldChar w:fldCharType="separate"/>
        </w:r>
        <w:r>
          <w:rPr>
            <w:noProof/>
            <w:webHidden/>
          </w:rPr>
          <w:t>76</w:t>
        </w:r>
        <w:r>
          <w:rPr>
            <w:noProof/>
            <w:webHidden/>
          </w:rPr>
          <w:fldChar w:fldCharType="end"/>
        </w:r>
      </w:hyperlink>
    </w:p>
    <w:p w14:paraId="0D224C13" w14:textId="5932FB5C" w:rsidR="00926282" w:rsidRDefault="00926282">
      <w:pPr>
        <w:pStyle w:val="TOC2"/>
        <w:rPr>
          <w:rFonts w:asciiTheme="minorHAnsi" w:eastAsiaTheme="minorEastAsia" w:hAnsiTheme="minorHAnsi" w:cstheme="minorBidi"/>
          <w:noProof/>
          <w:color w:val="auto"/>
          <w:sz w:val="22"/>
          <w:szCs w:val="22"/>
        </w:rPr>
      </w:pPr>
      <w:hyperlink w:anchor="_Toc93659419" w:history="1">
        <w:r w:rsidRPr="006D3A22">
          <w:rPr>
            <w:rStyle w:val="Hyperlink"/>
            <w:noProof/>
          </w:rPr>
          <w:t>Corporate Governance</w:t>
        </w:r>
        <w:r>
          <w:rPr>
            <w:noProof/>
            <w:webHidden/>
          </w:rPr>
          <w:tab/>
        </w:r>
        <w:r>
          <w:rPr>
            <w:noProof/>
            <w:webHidden/>
          </w:rPr>
          <w:fldChar w:fldCharType="begin"/>
        </w:r>
        <w:r>
          <w:rPr>
            <w:noProof/>
            <w:webHidden/>
          </w:rPr>
          <w:instrText xml:space="preserve"> PAGEREF _Toc93659419 \h </w:instrText>
        </w:r>
        <w:r>
          <w:rPr>
            <w:noProof/>
            <w:webHidden/>
          </w:rPr>
        </w:r>
        <w:r>
          <w:rPr>
            <w:noProof/>
            <w:webHidden/>
          </w:rPr>
          <w:fldChar w:fldCharType="separate"/>
        </w:r>
        <w:r>
          <w:rPr>
            <w:noProof/>
            <w:webHidden/>
          </w:rPr>
          <w:t>77</w:t>
        </w:r>
        <w:r>
          <w:rPr>
            <w:noProof/>
            <w:webHidden/>
          </w:rPr>
          <w:fldChar w:fldCharType="end"/>
        </w:r>
      </w:hyperlink>
    </w:p>
    <w:p w14:paraId="77CD3869" w14:textId="780AD3B8" w:rsidR="00926282" w:rsidRDefault="00926282">
      <w:pPr>
        <w:pStyle w:val="TOC3"/>
        <w:rPr>
          <w:rFonts w:asciiTheme="minorHAnsi" w:eastAsiaTheme="minorEastAsia" w:hAnsiTheme="minorHAnsi" w:cstheme="minorBidi"/>
          <w:color w:val="auto"/>
          <w:sz w:val="22"/>
          <w:szCs w:val="22"/>
        </w:rPr>
      </w:pPr>
      <w:hyperlink w:anchor="_Toc93659420" w:history="1">
        <w:r w:rsidRPr="006D3A22">
          <w:rPr>
            <w:rStyle w:val="Hyperlink"/>
          </w:rPr>
          <w:t>Ethics and values</w:t>
        </w:r>
        <w:r>
          <w:rPr>
            <w:webHidden/>
          </w:rPr>
          <w:tab/>
        </w:r>
        <w:r>
          <w:rPr>
            <w:webHidden/>
          </w:rPr>
          <w:fldChar w:fldCharType="begin"/>
        </w:r>
        <w:r>
          <w:rPr>
            <w:webHidden/>
          </w:rPr>
          <w:instrText xml:space="preserve"> PAGEREF _Toc93659420 \h </w:instrText>
        </w:r>
        <w:r>
          <w:rPr>
            <w:webHidden/>
          </w:rPr>
        </w:r>
        <w:r>
          <w:rPr>
            <w:webHidden/>
          </w:rPr>
          <w:fldChar w:fldCharType="separate"/>
        </w:r>
        <w:r>
          <w:rPr>
            <w:webHidden/>
          </w:rPr>
          <w:t>77</w:t>
        </w:r>
        <w:r>
          <w:rPr>
            <w:webHidden/>
          </w:rPr>
          <w:fldChar w:fldCharType="end"/>
        </w:r>
      </w:hyperlink>
    </w:p>
    <w:p w14:paraId="16FA073D" w14:textId="20422FF1" w:rsidR="00926282" w:rsidRDefault="00926282">
      <w:pPr>
        <w:pStyle w:val="TOC3"/>
        <w:rPr>
          <w:rFonts w:asciiTheme="minorHAnsi" w:eastAsiaTheme="minorEastAsia" w:hAnsiTheme="minorHAnsi" w:cstheme="minorBidi"/>
          <w:color w:val="auto"/>
          <w:sz w:val="22"/>
          <w:szCs w:val="22"/>
        </w:rPr>
      </w:pPr>
      <w:hyperlink w:anchor="_Toc93659421" w:history="1">
        <w:r w:rsidRPr="006D3A22">
          <w:rPr>
            <w:rStyle w:val="Hyperlink"/>
          </w:rPr>
          <w:t>Powers and accountability</w:t>
        </w:r>
        <w:r>
          <w:rPr>
            <w:webHidden/>
          </w:rPr>
          <w:tab/>
        </w:r>
        <w:r>
          <w:rPr>
            <w:webHidden/>
          </w:rPr>
          <w:fldChar w:fldCharType="begin"/>
        </w:r>
        <w:r>
          <w:rPr>
            <w:webHidden/>
          </w:rPr>
          <w:instrText xml:space="preserve"> PAGEREF _Toc93659421 \h </w:instrText>
        </w:r>
        <w:r>
          <w:rPr>
            <w:webHidden/>
          </w:rPr>
        </w:r>
        <w:r>
          <w:rPr>
            <w:webHidden/>
          </w:rPr>
          <w:fldChar w:fldCharType="separate"/>
        </w:r>
        <w:r>
          <w:rPr>
            <w:webHidden/>
          </w:rPr>
          <w:t>77</w:t>
        </w:r>
        <w:r>
          <w:rPr>
            <w:webHidden/>
          </w:rPr>
          <w:fldChar w:fldCharType="end"/>
        </w:r>
      </w:hyperlink>
    </w:p>
    <w:p w14:paraId="10F462A4" w14:textId="17829F31" w:rsidR="00926282" w:rsidRDefault="00926282">
      <w:pPr>
        <w:pStyle w:val="TOC3"/>
        <w:rPr>
          <w:rFonts w:asciiTheme="minorHAnsi" w:eastAsiaTheme="minorEastAsia" w:hAnsiTheme="minorHAnsi" w:cstheme="minorBidi"/>
          <w:color w:val="auto"/>
          <w:sz w:val="22"/>
          <w:szCs w:val="22"/>
        </w:rPr>
      </w:pPr>
      <w:hyperlink w:anchor="_Toc93659422" w:history="1">
        <w:r w:rsidRPr="006D3A22">
          <w:rPr>
            <w:rStyle w:val="Hyperlink"/>
          </w:rPr>
          <w:t>Primary responsibilities</w:t>
        </w:r>
        <w:r>
          <w:rPr>
            <w:webHidden/>
          </w:rPr>
          <w:tab/>
        </w:r>
        <w:r>
          <w:rPr>
            <w:webHidden/>
          </w:rPr>
          <w:fldChar w:fldCharType="begin"/>
        </w:r>
        <w:r>
          <w:rPr>
            <w:webHidden/>
          </w:rPr>
          <w:instrText xml:space="preserve"> PAGEREF _Toc93659422 \h </w:instrText>
        </w:r>
        <w:r>
          <w:rPr>
            <w:webHidden/>
          </w:rPr>
        </w:r>
        <w:r>
          <w:rPr>
            <w:webHidden/>
          </w:rPr>
          <w:fldChar w:fldCharType="separate"/>
        </w:r>
        <w:r>
          <w:rPr>
            <w:webHidden/>
          </w:rPr>
          <w:t>78</w:t>
        </w:r>
        <w:r>
          <w:rPr>
            <w:webHidden/>
          </w:rPr>
          <w:fldChar w:fldCharType="end"/>
        </w:r>
      </w:hyperlink>
    </w:p>
    <w:p w14:paraId="0A78D8E4" w14:textId="6F343BCC" w:rsidR="00926282" w:rsidRDefault="00926282">
      <w:pPr>
        <w:pStyle w:val="TOC3"/>
        <w:rPr>
          <w:rFonts w:asciiTheme="minorHAnsi" w:eastAsiaTheme="minorEastAsia" w:hAnsiTheme="minorHAnsi" w:cstheme="minorBidi"/>
          <w:color w:val="auto"/>
          <w:sz w:val="22"/>
          <w:szCs w:val="22"/>
        </w:rPr>
      </w:pPr>
      <w:hyperlink w:anchor="_Toc93659423" w:history="1">
        <w:r w:rsidRPr="006D3A22">
          <w:rPr>
            <w:rStyle w:val="Hyperlink"/>
          </w:rPr>
          <w:t>Board of Directors</w:t>
        </w:r>
        <w:r>
          <w:rPr>
            <w:webHidden/>
          </w:rPr>
          <w:tab/>
        </w:r>
        <w:r>
          <w:rPr>
            <w:webHidden/>
          </w:rPr>
          <w:fldChar w:fldCharType="begin"/>
        </w:r>
        <w:r>
          <w:rPr>
            <w:webHidden/>
          </w:rPr>
          <w:instrText xml:space="preserve"> PAGEREF _Toc93659423 \h </w:instrText>
        </w:r>
        <w:r>
          <w:rPr>
            <w:webHidden/>
          </w:rPr>
        </w:r>
        <w:r>
          <w:rPr>
            <w:webHidden/>
          </w:rPr>
          <w:fldChar w:fldCharType="separate"/>
        </w:r>
        <w:r>
          <w:rPr>
            <w:webHidden/>
          </w:rPr>
          <w:t>79</w:t>
        </w:r>
        <w:r>
          <w:rPr>
            <w:webHidden/>
          </w:rPr>
          <w:fldChar w:fldCharType="end"/>
        </w:r>
      </w:hyperlink>
    </w:p>
    <w:p w14:paraId="592555DA" w14:textId="5F68A931" w:rsidR="00926282" w:rsidRDefault="00926282">
      <w:pPr>
        <w:pStyle w:val="TOC2"/>
        <w:rPr>
          <w:rFonts w:asciiTheme="minorHAnsi" w:eastAsiaTheme="minorEastAsia" w:hAnsiTheme="minorHAnsi" w:cstheme="minorBidi"/>
          <w:noProof/>
          <w:color w:val="auto"/>
          <w:sz w:val="22"/>
          <w:szCs w:val="22"/>
        </w:rPr>
      </w:pPr>
      <w:hyperlink w:anchor="_Toc93659424" w:history="1">
        <w:r w:rsidRPr="006D3A22">
          <w:rPr>
            <w:rStyle w:val="Hyperlink"/>
            <w:noProof/>
          </w:rPr>
          <w:t>Risk, Emergency and Asset Management</w:t>
        </w:r>
        <w:r>
          <w:rPr>
            <w:noProof/>
            <w:webHidden/>
          </w:rPr>
          <w:tab/>
        </w:r>
        <w:r>
          <w:rPr>
            <w:noProof/>
            <w:webHidden/>
          </w:rPr>
          <w:fldChar w:fldCharType="begin"/>
        </w:r>
        <w:r>
          <w:rPr>
            <w:noProof/>
            <w:webHidden/>
          </w:rPr>
          <w:instrText xml:space="preserve"> PAGEREF _Toc93659424 \h </w:instrText>
        </w:r>
        <w:r>
          <w:rPr>
            <w:noProof/>
            <w:webHidden/>
          </w:rPr>
        </w:r>
        <w:r>
          <w:rPr>
            <w:noProof/>
            <w:webHidden/>
          </w:rPr>
          <w:fldChar w:fldCharType="separate"/>
        </w:r>
        <w:r>
          <w:rPr>
            <w:noProof/>
            <w:webHidden/>
          </w:rPr>
          <w:t>83</w:t>
        </w:r>
        <w:r>
          <w:rPr>
            <w:noProof/>
            <w:webHidden/>
          </w:rPr>
          <w:fldChar w:fldCharType="end"/>
        </w:r>
      </w:hyperlink>
    </w:p>
    <w:p w14:paraId="085B80CA" w14:textId="3A57BC7E" w:rsidR="00926282" w:rsidRDefault="00926282">
      <w:pPr>
        <w:pStyle w:val="TOC3"/>
        <w:rPr>
          <w:rFonts w:asciiTheme="minorHAnsi" w:eastAsiaTheme="minorEastAsia" w:hAnsiTheme="minorHAnsi" w:cstheme="minorBidi"/>
          <w:color w:val="auto"/>
          <w:sz w:val="22"/>
          <w:szCs w:val="22"/>
        </w:rPr>
      </w:pPr>
      <w:hyperlink w:anchor="_Toc93659425" w:history="1">
        <w:r w:rsidRPr="006D3A22">
          <w:rPr>
            <w:rStyle w:val="Hyperlink"/>
          </w:rPr>
          <w:t>Cyber security</w:t>
        </w:r>
        <w:r>
          <w:rPr>
            <w:webHidden/>
          </w:rPr>
          <w:tab/>
        </w:r>
        <w:r>
          <w:rPr>
            <w:webHidden/>
          </w:rPr>
          <w:fldChar w:fldCharType="begin"/>
        </w:r>
        <w:r>
          <w:rPr>
            <w:webHidden/>
          </w:rPr>
          <w:instrText xml:space="preserve"> PAGEREF _Toc93659425 \h </w:instrText>
        </w:r>
        <w:r>
          <w:rPr>
            <w:webHidden/>
          </w:rPr>
        </w:r>
        <w:r>
          <w:rPr>
            <w:webHidden/>
          </w:rPr>
          <w:fldChar w:fldCharType="separate"/>
        </w:r>
        <w:r>
          <w:rPr>
            <w:webHidden/>
          </w:rPr>
          <w:t>83</w:t>
        </w:r>
        <w:r>
          <w:rPr>
            <w:webHidden/>
          </w:rPr>
          <w:fldChar w:fldCharType="end"/>
        </w:r>
      </w:hyperlink>
    </w:p>
    <w:p w14:paraId="39686AC6" w14:textId="55950A5C" w:rsidR="00926282" w:rsidRDefault="00926282">
      <w:pPr>
        <w:pStyle w:val="TOC3"/>
        <w:rPr>
          <w:rFonts w:asciiTheme="minorHAnsi" w:eastAsiaTheme="minorEastAsia" w:hAnsiTheme="minorHAnsi" w:cstheme="minorBidi"/>
          <w:color w:val="auto"/>
          <w:sz w:val="22"/>
          <w:szCs w:val="22"/>
        </w:rPr>
      </w:pPr>
      <w:hyperlink w:anchor="_Toc93659426" w:history="1">
        <w:r w:rsidRPr="006D3A22">
          <w:rPr>
            <w:rStyle w:val="Hyperlink"/>
          </w:rPr>
          <w:t>Asset Management Accountability Framework</w:t>
        </w:r>
        <w:r>
          <w:rPr>
            <w:webHidden/>
          </w:rPr>
          <w:tab/>
        </w:r>
        <w:r>
          <w:rPr>
            <w:webHidden/>
          </w:rPr>
          <w:fldChar w:fldCharType="begin"/>
        </w:r>
        <w:r>
          <w:rPr>
            <w:webHidden/>
          </w:rPr>
          <w:instrText xml:space="preserve"> PAGEREF _Toc93659426 \h </w:instrText>
        </w:r>
        <w:r>
          <w:rPr>
            <w:webHidden/>
          </w:rPr>
        </w:r>
        <w:r>
          <w:rPr>
            <w:webHidden/>
          </w:rPr>
          <w:fldChar w:fldCharType="separate"/>
        </w:r>
        <w:r>
          <w:rPr>
            <w:webHidden/>
          </w:rPr>
          <w:t>84</w:t>
        </w:r>
        <w:r>
          <w:rPr>
            <w:webHidden/>
          </w:rPr>
          <w:fldChar w:fldCharType="end"/>
        </w:r>
      </w:hyperlink>
    </w:p>
    <w:p w14:paraId="75D4F9E7" w14:textId="0CB0A346" w:rsidR="00926282" w:rsidRDefault="00926282">
      <w:pPr>
        <w:pStyle w:val="TOC2"/>
        <w:rPr>
          <w:rFonts w:asciiTheme="minorHAnsi" w:eastAsiaTheme="minorEastAsia" w:hAnsiTheme="minorHAnsi" w:cstheme="minorBidi"/>
          <w:noProof/>
          <w:color w:val="auto"/>
          <w:sz w:val="22"/>
          <w:szCs w:val="22"/>
        </w:rPr>
      </w:pPr>
      <w:hyperlink w:anchor="_Toc93659427" w:history="1">
        <w:r w:rsidRPr="006D3A22">
          <w:rPr>
            <w:rStyle w:val="Hyperlink"/>
            <w:noProof/>
          </w:rPr>
          <w:t>Social Sustainability</w:t>
        </w:r>
        <w:r>
          <w:rPr>
            <w:noProof/>
            <w:webHidden/>
          </w:rPr>
          <w:tab/>
        </w:r>
        <w:r>
          <w:rPr>
            <w:noProof/>
            <w:webHidden/>
          </w:rPr>
          <w:fldChar w:fldCharType="begin"/>
        </w:r>
        <w:r>
          <w:rPr>
            <w:noProof/>
            <w:webHidden/>
          </w:rPr>
          <w:instrText xml:space="preserve"> PAGEREF _Toc93659427 \h </w:instrText>
        </w:r>
        <w:r>
          <w:rPr>
            <w:noProof/>
            <w:webHidden/>
          </w:rPr>
        </w:r>
        <w:r>
          <w:rPr>
            <w:noProof/>
            <w:webHidden/>
          </w:rPr>
          <w:fldChar w:fldCharType="separate"/>
        </w:r>
        <w:r>
          <w:rPr>
            <w:noProof/>
            <w:webHidden/>
          </w:rPr>
          <w:t>86</w:t>
        </w:r>
        <w:r>
          <w:rPr>
            <w:noProof/>
            <w:webHidden/>
          </w:rPr>
          <w:fldChar w:fldCharType="end"/>
        </w:r>
      </w:hyperlink>
    </w:p>
    <w:p w14:paraId="06841A2B" w14:textId="0070F5B2" w:rsidR="00926282" w:rsidRDefault="00926282">
      <w:pPr>
        <w:pStyle w:val="TOC3"/>
        <w:rPr>
          <w:rFonts w:asciiTheme="minorHAnsi" w:eastAsiaTheme="minorEastAsia" w:hAnsiTheme="minorHAnsi" w:cstheme="minorBidi"/>
          <w:color w:val="auto"/>
          <w:sz w:val="22"/>
          <w:szCs w:val="22"/>
        </w:rPr>
      </w:pPr>
      <w:hyperlink w:anchor="_Toc93659428" w:history="1">
        <w:r w:rsidRPr="006D3A22">
          <w:rPr>
            <w:rStyle w:val="Hyperlink"/>
          </w:rPr>
          <w:t>Ethical Sourcing and Modern Slavery Statement</w:t>
        </w:r>
        <w:r>
          <w:rPr>
            <w:webHidden/>
          </w:rPr>
          <w:tab/>
        </w:r>
        <w:r>
          <w:rPr>
            <w:webHidden/>
          </w:rPr>
          <w:fldChar w:fldCharType="begin"/>
        </w:r>
        <w:r>
          <w:rPr>
            <w:webHidden/>
          </w:rPr>
          <w:instrText xml:space="preserve"> PAGEREF _Toc93659428 \h </w:instrText>
        </w:r>
        <w:r>
          <w:rPr>
            <w:webHidden/>
          </w:rPr>
        </w:r>
        <w:r>
          <w:rPr>
            <w:webHidden/>
          </w:rPr>
          <w:fldChar w:fldCharType="separate"/>
        </w:r>
        <w:r>
          <w:rPr>
            <w:webHidden/>
          </w:rPr>
          <w:t>86</w:t>
        </w:r>
        <w:r>
          <w:rPr>
            <w:webHidden/>
          </w:rPr>
          <w:fldChar w:fldCharType="end"/>
        </w:r>
      </w:hyperlink>
    </w:p>
    <w:p w14:paraId="14EC91DB" w14:textId="098E8520" w:rsidR="00926282" w:rsidRDefault="00926282">
      <w:pPr>
        <w:pStyle w:val="TOC3"/>
        <w:rPr>
          <w:rFonts w:asciiTheme="minorHAnsi" w:eastAsiaTheme="minorEastAsia" w:hAnsiTheme="minorHAnsi" w:cstheme="minorBidi"/>
          <w:color w:val="auto"/>
          <w:sz w:val="22"/>
          <w:szCs w:val="22"/>
        </w:rPr>
      </w:pPr>
      <w:hyperlink w:anchor="_Toc93659429" w:history="1">
        <w:r w:rsidRPr="006D3A22">
          <w:rPr>
            <w:rStyle w:val="Hyperlink"/>
          </w:rPr>
          <w:t>Social procurement</w:t>
        </w:r>
        <w:r>
          <w:rPr>
            <w:webHidden/>
          </w:rPr>
          <w:tab/>
        </w:r>
        <w:r>
          <w:rPr>
            <w:webHidden/>
          </w:rPr>
          <w:fldChar w:fldCharType="begin"/>
        </w:r>
        <w:r>
          <w:rPr>
            <w:webHidden/>
          </w:rPr>
          <w:instrText xml:space="preserve"> PAGEREF _Toc93659429 \h </w:instrText>
        </w:r>
        <w:r>
          <w:rPr>
            <w:webHidden/>
          </w:rPr>
        </w:r>
        <w:r>
          <w:rPr>
            <w:webHidden/>
          </w:rPr>
          <w:fldChar w:fldCharType="separate"/>
        </w:r>
        <w:r>
          <w:rPr>
            <w:webHidden/>
          </w:rPr>
          <w:t>86</w:t>
        </w:r>
        <w:r>
          <w:rPr>
            <w:webHidden/>
          </w:rPr>
          <w:fldChar w:fldCharType="end"/>
        </w:r>
      </w:hyperlink>
    </w:p>
    <w:p w14:paraId="52A434CE" w14:textId="5B6FE04F" w:rsidR="00926282" w:rsidRDefault="00926282">
      <w:pPr>
        <w:pStyle w:val="TOC2"/>
        <w:rPr>
          <w:rFonts w:asciiTheme="minorHAnsi" w:eastAsiaTheme="minorEastAsia" w:hAnsiTheme="minorHAnsi" w:cstheme="minorBidi"/>
          <w:noProof/>
          <w:color w:val="auto"/>
          <w:sz w:val="22"/>
          <w:szCs w:val="22"/>
        </w:rPr>
      </w:pPr>
      <w:hyperlink w:anchor="_Toc93659430" w:history="1">
        <w:r w:rsidRPr="006D3A22">
          <w:rPr>
            <w:rStyle w:val="Hyperlink"/>
            <w:noProof/>
          </w:rPr>
          <w:t>Financial Sustainability</w:t>
        </w:r>
        <w:r>
          <w:rPr>
            <w:noProof/>
            <w:webHidden/>
          </w:rPr>
          <w:tab/>
        </w:r>
        <w:r>
          <w:rPr>
            <w:noProof/>
            <w:webHidden/>
          </w:rPr>
          <w:fldChar w:fldCharType="begin"/>
        </w:r>
        <w:r>
          <w:rPr>
            <w:noProof/>
            <w:webHidden/>
          </w:rPr>
          <w:instrText xml:space="preserve"> PAGEREF _Toc93659430 \h </w:instrText>
        </w:r>
        <w:r>
          <w:rPr>
            <w:noProof/>
            <w:webHidden/>
          </w:rPr>
        </w:r>
        <w:r>
          <w:rPr>
            <w:noProof/>
            <w:webHidden/>
          </w:rPr>
          <w:fldChar w:fldCharType="separate"/>
        </w:r>
        <w:r>
          <w:rPr>
            <w:noProof/>
            <w:webHidden/>
          </w:rPr>
          <w:t>87</w:t>
        </w:r>
        <w:r>
          <w:rPr>
            <w:noProof/>
            <w:webHidden/>
          </w:rPr>
          <w:fldChar w:fldCharType="end"/>
        </w:r>
      </w:hyperlink>
    </w:p>
    <w:p w14:paraId="008AB029" w14:textId="1F6D21A9" w:rsidR="00926282" w:rsidRDefault="00926282">
      <w:pPr>
        <w:pStyle w:val="TOC3"/>
        <w:rPr>
          <w:rFonts w:asciiTheme="minorHAnsi" w:eastAsiaTheme="minorEastAsia" w:hAnsiTheme="minorHAnsi" w:cstheme="minorBidi"/>
          <w:color w:val="auto"/>
          <w:sz w:val="22"/>
          <w:szCs w:val="22"/>
        </w:rPr>
      </w:pPr>
      <w:hyperlink w:anchor="_Toc93659431" w:history="1">
        <w:r w:rsidRPr="006D3A22">
          <w:rPr>
            <w:rStyle w:val="Hyperlink"/>
          </w:rPr>
          <w:t>Price Submission</w:t>
        </w:r>
        <w:r>
          <w:rPr>
            <w:webHidden/>
          </w:rPr>
          <w:tab/>
        </w:r>
        <w:r>
          <w:rPr>
            <w:webHidden/>
          </w:rPr>
          <w:fldChar w:fldCharType="begin"/>
        </w:r>
        <w:r>
          <w:rPr>
            <w:webHidden/>
          </w:rPr>
          <w:instrText xml:space="preserve"> PAGEREF _Toc93659431 \h </w:instrText>
        </w:r>
        <w:r>
          <w:rPr>
            <w:webHidden/>
          </w:rPr>
        </w:r>
        <w:r>
          <w:rPr>
            <w:webHidden/>
          </w:rPr>
          <w:fldChar w:fldCharType="separate"/>
        </w:r>
        <w:r>
          <w:rPr>
            <w:webHidden/>
          </w:rPr>
          <w:t>87</w:t>
        </w:r>
        <w:r>
          <w:rPr>
            <w:webHidden/>
          </w:rPr>
          <w:fldChar w:fldCharType="end"/>
        </w:r>
      </w:hyperlink>
    </w:p>
    <w:p w14:paraId="6394C8E5" w14:textId="0AE36FB1" w:rsidR="00926282" w:rsidRDefault="00926282">
      <w:pPr>
        <w:pStyle w:val="TOC2"/>
        <w:rPr>
          <w:rFonts w:asciiTheme="minorHAnsi" w:eastAsiaTheme="minorEastAsia" w:hAnsiTheme="minorHAnsi" w:cstheme="minorBidi"/>
          <w:noProof/>
          <w:color w:val="auto"/>
          <w:sz w:val="22"/>
          <w:szCs w:val="22"/>
        </w:rPr>
      </w:pPr>
      <w:hyperlink w:anchor="_Toc93659432" w:history="1">
        <w:r w:rsidRPr="006D3A22">
          <w:rPr>
            <w:rStyle w:val="Hyperlink"/>
            <w:noProof/>
          </w:rPr>
          <w:t>Five-Year Financial Summary</w:t>
        </w:r>
        <w:r>
          <w:rPr>
            <w:noProof/>
            <w:webHidden/>
          </w:rPr>
          <w:tab/>
        </w:r>
        <w:r>
          <w:rPr>
            <w:noProof/>
            <w:webHidden/>
          </w:rPr>
          <w:fldChar w:fldCharType="begin"/>
        </w:r>
        <w:r>
          <w:rPr>
            <w:noProof/>
            <w:webHidden/>
          </w:rPr>
          <w:instrText xml:space="preserve"> PAGEREF _Toc93659432 \h </w:instrText>
        </w:r>
        <w:r>
          <w:rPr>
            <w:noProof/>
            <w:webHidden/>
          </w:rPr>
        </w:r>
        <w:r>
          <w:rPr>
            <w:noProof/>
            <w:webHidden/>
          </w:rPr>
          <w:fldChar w:fldCharType="separate"/>
        </w:r>
        <w:r>
          <w:rPr>
            <w:noProof/>
            <w:webHidden/>
          </w:rPr>
          <w:t>88</w:t>
        </w:r>
        <w:r>
          <w:rPr>
            <w:noProof/>
            <w:webHidden/>
          </w:rPr>
          <w:fldChar w:fldCharType="end"/>
        </w:r>
      </w:hyperlink>
    </w:p>
    <w:p w14:paraId="5DEBD547" w14:textId="78CF6B12" w:rsidR="00926282" w:rsidRDefault="00926282">
      <w:pPr>
        <w:pStyle w:val="TOC3"/>
        <w:rPr>
          <w:rFonts w:asciiTheme="minorHAnsi" w:eastAsiaTheme="minorEastAsia" w:hAnsiTheme="minorHAnsi" w:cstheme="minorBidi"/>
          <w:color w:val="auto"/>
          <w:sz w:val="22"/>
          <w:szCs w:val="22"/>
        </w:rPr>
      </w:pPr>
      <w:hyperlink w:anchor="_Toc93659433" w:history="1">
        <w:r w:rsidRPr="006D3A22">
          <w:rPr>
            <w:rStyle w:val="Hyperlink"/>
          </w:rPr>
          <w:t>Summary of Financial Results</w:t>
        </w:r>
        <w:r>
          <w:rPr>
            <w:webHidden/>
          </w:rPr>
          <w:tab/>
        </w:r>
        <w:r>
          <w:rPr>
            <w:webHidden/>
          </w:rPr>
          <w:fldChar w:fldCharType="begin"/>
        </w:r>
        <w:r>
          <w:rPr>
            <w:webHidden/>
          </w:rPr>
          <w:instrText xml:space="preserve"> PAGEREF _Toc93659433 \h </w:instrText>
        </w:r>
        <w:r>
          <w:rPr>
            <w:webHidden/>
          </w:rPr>
        </w:r>
        <w:r>
          <w:rPr>
            <w:webHidden/>
          </w:rPr>
          <w:fldChar w:fldCharType="separate"/>
        </w:r>
        <w:r>
          <w:rPr>
            <w:webHidden/>
          </w:rPr>
          <w:t>88</w:t>
        </w:r>
        <w:r>
          <w:rPr>
            <w:webHidden/>
          </w:rPr>
          <w:fldChar w:fldCharType="end"/>
        </w:r>
      </w:hyperlink>
    </w:p>
    <w:p w14:paraId="3B61F32A" w14:textId="4A7E969F" w:rsidR="00926282" w:rsidRDefault="00926282">
      <w:pPr>
        <w:pStyle w:val="TOC3"/>
        <w:rPr>
          <w:rFonts w:asciiTheme="minorHAnsi" w:eastAsiaTheme="minorEastAsia" w:hAnsiTheme="minorHAnsi" w:cstheme="minorBidi"/>
          <w:color w:val="auto"/>
          <w:sz w:val="22"/>
          <w:szCs w:val="22"/>
        </w:rPr>
      </w:pPr>
      <w:hyperlink w:anchor="_Toc93659434" w:history="1">
        <w:r w:rsidRPr="006D3A22">
          <w:rPr>
            <w:rStyle w:val="Hyperlink"/>
          </w:rPr>
          <w:t>Summary of Financial Performance</w:t>
        </w:r>
        <w:r>
          <w:rPr>
            <w:webHidden/>
          </w:rPr>
          <w:tab/>
        </w:r>
        <w:r>
          <w:rPr>
            <w:webHidden/>
          </w:rPr>
          <w:fldChar w:fldCharType="begin"/>
        </w:r>
        <w:r>
          <w:rPr>
            <w:webHidden/>
          </w:rPr>
          <w:instrText xml:space="preserve"> PAGEREF _Toc93659434 \h </w:instrText>
        </w:r>
        <w:r>
          <w:rPr>
            <w:webHidden/>
          </w:rPr>
        </w:r>
        <w:r>
          <w:rPr>
            <w:webHidden/>
          </w:rPr>
          <w:fldChar w:fldCharType="separate"/>
        </w:r>
        <w:r>
          <w:rPr>
            <w:webHidden/>
          </w:rPr>
          <w:t>89</w:t>
        </w:r>
        <w:r>
          <w:rPr>
            <w:webHidden/>
          </w:rPr>
          <w:fldChar w:fldCharType="end"/>
        </w:r>
      </w:hyperlink>
    </w:p>
    <w:p w14:paraId="37BA5B17" w14:textId="57774B42" w:rsidR="00926282" w:rsidRDefault="00926282">
      <w:pPr>
        <w:pStyle w:val="TOC3"/>
        <w:rPr>
          <w:rFonts w:asciiTheme="minorHAnsi" w:eastAsiaTheme="minorEastAsia" w:hAnsiTheme="minorHAnsi" w:cstheme="minorBidi"/>
          <w:color w:val="auto"/>
          <w:sz w:val="22"/>
          <w:szCs w:val="22"/>
        </w:rPr>
      </w:pPr>
      <w:hyperlink w:anchor="_Toc93659435" w:history="1">
        <w:r w:rsidRPr="006D3A22">
          <w:rPr>
            <w:rStyle w:val="Hyperlink"/>
          </w:rPr>
          <w:t>Explanatory notes:</w:t>
        </w:r>
        <w:r>
          <w:rPr>
            <w:webHidden/>
          </w:rPr>
          <w:tab/>
        </w:r>
        <w:r>
          <w:rPr>
            <w:webHidden/>
          </w:rPr>
          <w:fldChar w:fldCharType="begin"/>
        </w:r>
        <w:r>
          <w:rPr>
            <w:webHidden/>
          </w:rPr>
          <w:instrText xml:space="preserve"> PAGEREF _Toc93659435 \h </w:instrText>
        </w:r>
        <w:r>
          <w:rPr>
            <w:webHidden/>
          </w:rPr>
        </w:r>
        <w:r>
          <w:rPr>
            <w:webHidden/>
          </w:rPr>
          <w:fldChar w:fldCharType="separate"/>
        </w:r>
        <w:r>
          <w:rPr>
            <w:webHidden/>
          </w:rPr>
          <w:t>89</w:t>
        </w:r>
        <w:r>
          <w:rPr>
            <w:webHidden/>
          </w:rPr>
          <w:fldChar w:fldCharType="end"/>
        </w:r>
      </w:hyperlink>
    </w:p>
    <w:p w14:paraId="03454A1D" w14:textId="22A7ECFB" w:rsidR="00926282" w:rsidRDefault="00926282">
      <w:pPr>
        <w:pStyle w:val="TOC2"/>
        <w:rPr>
          <w:rFonts w:asciiTheme="minorHAnsi" w:eastAsiaTheme="minorEastAsia" w:hAnsiTheme="minorHAnsi" w:cstheme="minorBidi"/>
          <w:noProof/>
          <w:color w:val="auto"/>
          <w:sz w:val="22"/>
          <w:szCs w:val="22"/>
        </w:rPr>
      </w:pPr>
      <w:hyperlink w:anchor="_Toc93659436" w:history="1">
        <w:r w:rsidRPr="006D3A22">
          <w:rPr>
            <w:rStyle w:val="Hyperlink"/>
            <w:noProof/>
          </w:rPr>
          <w:t>Directors’ Report</w:t>
        </w:r>
        <w:r>
          <w:rPr>
            <w:noProof/>
            <w:webHidden/>
          </w:rPr>
          <w:tab/>
        </w:r>
        <w:r>
          <w:rPr>
            <w:noProof/>
            <w:webHidden/>
          </w:rPr>
          <w:fldChar w:fldCharType="begin"/>
        </w:r>
        <w:r>
          <w:rPr>
            <w:noProof/>
            <w:webHidden/>
          </w:rPr>
          <w:instrText xml:space="preserve"> PAGEREF _Toc93659436 \h </w:instrText>
        </w:r>
        <w:r>
          <w:rPr>
            <w:noProof/>
            <w:webHidden/>
          </w:rPr>
        </w:r>
        <w:r>
          <w:rPr>
            <w:noProof/>
            <w:webHidden/>
          </w:rPr>
          <w:fldChar w:fldCharType="separate"/>
        </w:r>
        <w:r>
          <w:rPr>
            <w:noProof/>
            <w:webHidden/>
          </w:rPr>
          <w:t>89</w:t>
        </w:r>
        <w:r>
          <w:rPr>
            <w:noProof/>
            <w:webHidden/>
          </w:rPr>
          <w:fldChar w:fldCharType="end"/>
        </w:r>
      </w:hyperlink>
    </w:p>
    <w:p w14:paraId="1438FC53" w14:textId="498B6C51" w:rsidR="00926282" w:rsidRDefault="00926282">
      <w:pPr>
        <w:pStyle w:val="TOC3"/>
        <w:rPr>
          <w:rFonts w:asciiTheme="minorHAnsi" w:eastAsiaTheme="minorEastAsia" w:hAnsiTheme="minorHAnsi" w:cstheme="minorBidi"/>
          <w:color w:val="auto"/>
          <w:sz w:val="22"/>
          <w:szCs w:val="22"/>
        </w:rPr>
      </w:pPr>
      <w:hyperlink w:anchor="_Toc93659437" w:history="1">
        <w:r w:rsidRPr="006D3A22">
          <w:rPr>
            <w:rStyle w:val="Hyperlink"/>
          </w:rPr>
          <w:t>Directors</w:t>
        </w:r>
        <w:r>
          <w:rPr>
            <w:webHidden/>
          </w:rPr>
          <w:tab/>
        </w:r>
        <w:r>
          <w:rPr>
            <w:webHidden/>
          </w:rPr>
          <w:fldChar w:fldCharType="begin"/>
        </w:r>
        <w:r>
          <w:rPr>
            <w:webHidden/>
          </w:rPr>
          <w:instrText xml:space="preserve"> PAGEREF _Toc93659437 \h </w:instrText>
        </w:r>
        <w:r>
          <w:rPr>
            <w:webHidden/>
          </w:rPr>
        </w:r>
        <w:r>
          <w:rPr>
            <w:webHidden/>
          </w:rPr>
          <w:fldChar w:fldCharType="separate"/>
        </w:r>
        <w:r>
          <w:rPr>
            <w:webHidden/>
          </w:rPr>
          <w:t>89</w:t>
        </w:r>
        <w:r>
          <w:rPr>
            <w:webHidden/>
          </w:rPr>
          <w:fldChar w:fldCharType="end"/>
        </w:r>
      </w:hyperlink>
    </w:p>
    <w:p w14:paraId="6934C210" w14:textId="17ACCCEE" w:rsidR="00926282" w:rsidRDefault="00926282">
      <w:pPr>
        <w:pStyle w:val="TOC3"/>
        <w:rPr>
          <w:rFonts w:asciiTheme="minorHAnsi" w:eastAsiaTheme="minorEastAsia" w:hAnsiTheme="minorHAnsi" w:cstheme="minorBidi"/>
          <w:color w:val="auto"/>
          <w:sz w:val="22"/>
          <w:szCs w:val="22"/>
        </w:rPr>
      </w:pPr>
      <w:hyperlink w:anchor="_Toc93659438" w:history="1">
        <w:r w:rsidRPr="006D3A22">
          <w:rPr>
            <w:rStyle w:val="Hyperlink"/>
          </w:rPr>
          <w:t>Directors’ Meetings</w:t>
        </w:r>
        <w:r>
          <w:rPr>
            <w:webHidden/>
          </w:rPr>
          <w:tab/>
        </w:r>
        <w:r>
          <w:rPr>
            <w:webHidden/>
          </w:rPr>
          <w:fldChar w:fldCharType="begin"/>
        </w:r>
        <w:r>
          <w:rPr>
            <w:webHidden/>
          </w:rPr>
          <w:instrText xml:space="preserve"> PAGEREF _Toc93659438 \h </w:instrText>
        </w:r>
        <w:r>
          <w:rPr>
            <w:webHidden/>
          </w:rPr>
        </w:r>
        <w:r>
          <w:rPr>
            <w:webHidden/>
          </w:rPr>
          <w:fldChar w:fldCharType="separate"/>
        </w:r>
        <w:r>
          <w:rPr>
            <w:webHidden/>
          </w:rPr>
          <w:t>90</w:t>
        </w:r>
        <w:r>
          <w:rPr>
            <w:webHidden/>
          </w:rPr>
          <w:fldChar w:fldCharType="end"/>
        </w:r>
      </w:hyperlink>
    </w:p>
    <w:p w14:paraId="2805BC5A" w14:textId="138801B4" w:rsidR="00926282" w:rsidRDefault="00926282">
      <w:pPr>
        <w:pStyle w:val="TOC3"/>
        <w:rPr>
          <w:rFonts w:asciiTheme="minorHAnsi" w:eastAsiaTheme="minorEastAsia" w:hAnsiTheme="minorHAnsi" w:cstheme="minorBidi"/>
          <w:color w:val="auto"/>
          <w:sz w:val="22"/>
          <w:szCs w:val="22"/>
        </w:rPr>
      </w:pPr>
      <w:hyperlink w:anchor="_Toc93659439" w:history="1">
        <w:r w:rsidRPr="006D3A22">
          <w:rPr>
            <w:rStyle w:val="Hyperlink"/>
          </w:rPr>
          <w:t>Director benefits</w:t>
        </w:r>
        <w:r>
          <w:rPr>
            <w:webHidden/>
          </w:rPr>
          <w:tab/>
        </w:r>
        <w:r>
          <w:rPr>
            <w:webHidden/>
          </w:rPr>
          <w:fldChar w:fldCharType="begin"/>
        </w:r>
        <w:r>
          <w:rPr>
            <w:webHidden/>
          </w:rPr>
          <w:instrText xml:space="preserve"> PAGEREF _Toc93659439 \h </w:instrText>
        </w:r>
        <w:r>
          <w:rPr>
            <w:webHidden/>
          </w:rPr>
        </w:r>
        <w:r>
          <w:rPr>
            <w:webHidden/>
          </w:rPr>
          <w:fldChar w:fldCharType="separate"/>
        </w:r>
        <w:r>
          <w:rPr>
            <w:webHidden/>
          </w:rPr>
          <w:t>91</w:t>
        </w:r>
        <w:r>
          <w:rPr>
            <w:webHidden/>
          </w:rPr>
          <w:fldChar w:fldCharType="end"/>
        </w:r>
      </w:hyperlink>
    </w:p>
    <w:p w14:paraId="7F1788AE" w14:textId="3BA91029" w:rsidR="00926282" w:rsidRDefault="00926282">
      <w:pPr>
        <w:pStyle w:val="TOC3"/>
        <w:rPr>
          <w:rFonts w:asciiTheme="minorHAnsi" w:eastAsiaTheme="minorEastAsia" w:hAnsiTheme="minorHAnsi" w:cstheme="minorBidi"/>
          <w:color w:val="auto"/>
          <w:sz w:val="22"/>
          <w:szCs w:val="22"/>
        </w:rPr>
      </w:pPr>
      <w:hyperlink w:anchor="_Toc93659440" w:history="1">
        <w:r w:rsidRPr="006D3A22">
          <w:rPr>
            <w:rStyle w:val="Hyperlink"/>
          </w:rPr>
          <w:t>Directors’ and officers’ liability insurance</w:t>
        </w:r>
        <w:r>
          <w:rPr>
            <w:webHidden/>
          </w:rPr>
          <w:tab/>
        </w:r>
        <w:r>
          <w:rPr>
            <w:webHidden/>
          </w:rPr>
          <w:fldChar w:fldCharType="begin"/>
        </w:r>
        <w:r>
          <w:rPr>
            <w:webHidden/>
          </w:rPr>
          <w:instrText xml:space="preserve"> PAGEREF _Toc93659440 \h </w:instrText>
        </w:r>
        <w:r>
          <w:rPr>
            <w:webHidden/>
          </w:rPr>
        </w:r>
        <w:r>
          <w:rPr>
            <w:webHidden/>
          </w:rPr>
          <w:fldChar w:fldCharType="separate"/>
        </w:r>
        <w:r>
          <w:rPr>
            <w:webHidden/>
          </w:rPr>
          <w:t>91</w:t>
        </w:r>
        <w:r>
          <w:rPr>
            <w:webHidden/>
          </w:rPr>
          <w:fldChar w:fldCharType="end"/>
        </w:r>
      </w:hyperlink>
    </w:p>
    <w:p w14:paraId="44E3800F" w14:textId="47EEA8FE" w:rsidR="00926282" w:rsidRDefault="00926282">
      <w:pPr>
        <w:pStyle w:val="TOC3"/>
        <w:rPr>
          <w:rFonts w:asciiTheme="minorHAnsi" w:eastAsiaTheme="minorEastAsia" w:hAnsiTheme="minorHAnsi" w:cstheme="minorBidi"/>
          <w:color w:val="auto"/>
          <w:sz w:val="22"/>
          <w:szCs w:val="22"/>
        </w:rPr>
      </w:pPr>
      <w:hyperlink w:anchor="_Toc93659441" w:history="1">
        <w:r w:rsidRPr="006D3A22">
          <w:rPr>
            <w:rStyle w:val="Hyperlink"/>
          </w:rPr>
          <w:t>Interest in contracts</w:t>
        </w:r>
        <w:r>
          <w:rPr>
            <w:webHidden/>
          </w:rPr>
          <w:tab/>
        </w:r>
        <w:r>
          <w:rPr>
            <w:webHidden/>
          </w:rPr>
          <w:fldChar w:fldCharType="begin"/>
        </w:r>
        <w:r>
          <w:rPr>
            <w:webHidden/>
          </w:rPr>
          <w:instrText xml:space="preserve"> PAGEREF _Toc93659441 \h </w:instrText>
        </w:r>
        <w:r>
          <w:rPr>
            <w:webHidden/>
          </w:rPr>
        </w:r>
        <w:r>
          <w:rPr>
            <w:webHidden/>
          </w:rPr>
          <w:fldChar w:fldCharType="separate"/>
        </w:r>
        <w:r>
          <w:rPr>
            <w:webHidden/>
          </w:rPr>
          <w:t>92</w:t>
        </w:r>
        <w:r>
          <w:rPr>
            <w:webHidden/>
          </w:rPr>
          <w:fldChar w:fldCharType="end"/>
        </w:r>
      </w:hyperlink>
    </w:p>
    <w:p w14:paraId="66B49B3C" w14:textId="010C00DB" w:rsidR="00926282" w:rsidRDefault="00926282">
      <w:pPr>
        <w:pStyle w:val="TOC3"/>
        <w:rPr>
          <w:rFonts w:asciiTheme="minorHAnsi" w:eastAsiaTheme="minorEastAsia" w:hAnsiTheme="minorHAnsi" w:cstheme="minorBidi"/>
          <w:color w:val="auto"/>
          <w:sz w:val="22"/>
          <w:szCs w:val="22"/>
        </w:rPr>
      </w:pPr>
      <w:hyperlink w:anchor="_Toc93659442" w:history="1">
        <w:r w:rsidRPr="006D3A22">
          <w:rPr>
            <w:rStyle w:val="Hyperlink"/>
          </w:rPr>
          <w:t>Principal activities</w:t>
        </w:r>
        <w:r>
          <w:rPr>
            <w:webHidden/>
          </w:rPr>
          <w:tab/>
        </w:r>
        <w:r>
          <w:rPr>
            <w:webHidden/>
          </w:rPr>
          <w:fldChar w:fldCharType="begin"/>
        </w:r>
        <w:r>
          <w:rPr>
            <w:webHidden/>
          </w:rPr>
          <w:instrText xml:space="preserve"> PAGEREF _Toc93659442 \h </w:instrText>
        </w:r>
        <w:r>
          <w:rPr>
            <w:webHidden/>
          </w:rPr>
        </w:r>
        <w:r>
          <w:rPr>
            <w:webHidden/>
          </w:rPr>
          <w:fldChar w:fldCharType="separate"/>
        </w:r>
        <w:r>
          <w:rPr>
            <w:webHidden/>
          </w:rPr>
          <w:t>92</w:t>
        </w:r>
        <w:r>
          <w:rPr>
            <w:webHidden/>
          </w:rPr>
          <w:fldChar w:fldCharType="end"/>
        </w:r>
      </w:hyperlink>
    </w:p>
    <w:p w14:paraId="39B43A31" w14:textId="0CDA4003" w:rsidR="00926282" w:rsidRDefault="00926282">
      <w:pPr>
        <w:pStyle w:val="TOC3"/>
        <w:rPr>
          <w:rFonts w:asciiTheme="minorHAnsi" w:eastAsiaTheme="minorEastAsia" w:hAnsiTheme="minorHAnsi" w:cstheme="minorBidi"/>
          <w:color w:val="auto"/>
          <w:sz w:val="22"/>
          <w:szCs w:val="22"/>
        </w:rPr>
      </w:pPr>
      <w:hyperlink w:anchor="_Toc93659443" w:history="1">
        <w:r w:rsidRPr="006D3A22">
          <w:rPr>
            <w:rStyle w:val="Hyperlink"/>
          </w:rPr>
          <w:t>Operating results</w:t>
        </w:r>
        <w:r>
          <w:rPr>
            <w:webHidden/>
          </w:rPr>
          <w:tab/>
        </w:r>
        <w:r>
          <w:rPr>
            <w:webHidden/>
          </w:rPr>
          <w:fldChar w:fldCharType="begin"/>
        </w:r>
        <w:r>
          <w:rPr>
            <w:webHidden/>
          </w:rPr>
          <w:instrText xml:space="preserve"> PAGEREF _Toc93659443 \h </w:instrText>
        </w:r>
        <w:r>
          <w:rPr>
            <w:webHidden/>
          </w:rPr>
        </w:r>
        <w:r>
          <w:rPr>
            <w:webHidden/>
          </w:rPr>
          <w:fldChar w:fldCharType="separate"/>
        </w:r>
        <w:r>
          <w:rPr>
            <w:webHidden/>
          </w:rPr>
          <w:t>92</w:t>
        </w:r>
        <w:r>
          <w:rPr>
            <w:webHidden/>
          </w:rPr>
          <w:fldChar w:fldCharType="end"/>
        </w:r>
      </w:hyperlink>
    </w:p>
    <w:p w14:paraId="52294B22" w14:textId="18AB833A" w:rsidR="00926282" w:rsidRDefault="00926282">
      <w:pPr>
        <w:pStyle w:val="TOC3"/>
        <w:rPr>
          <w:rFonts w:asciiTheme="minorHAnsi" w:eastAsiaTheme="minorEastAsia" w:hAnsiTheme="minorHAnsi" w:cstheme="minorBidi"/>
          <w:color w:val="auto"/>
          <w:sz w:val="22"/>
          <w:szCs w:val="22"/>
        </w:rPr>
      </w:pPr>
      <w:hyperlink w:anchor="_Toc93659444" w:history="1">
        <w:r w:rsidRPr="006D3A22">
          <w:rPr>
            <w:rStyle w:val="Hyperlink"/>
          </w:rPr>
          <w:t>Review of operations</w:t>
        </w:r>
        <w:r>
          <w:rPr>
            <w:webHidden/>
          </w:rPr>
          <w:tab/>
        </w:r>
        <w:r>
          <w:rPr>
            <w:webHidden/>
          </w:rPr>
          <w:fldChar w:fldCharType="begin"/>
        </w:r>
        <w:r>
          <w:rPr>
            <w:webHidden/>
          </w:rPr>
          <w:instrText xml:space="preserve"> PAGEREF _Toc93659444 \h </w:instrText>
        </w:r>
        <w:r>
          <w:rPr>
            <w:webHidden/>
          </w:rPr>
        </w:r>
        <w:r>
          <w:rPr>
            <w:webHidden/>
          </w:rPr>
          <w:fldChar w:fldCharType="separate"/>
        </w:r>
        <w:r>
          <w:rPr>
            <w:webHidden/>
          </w:rPr>
          <w:t>92</w:t>
        </w:r>
        <w:r>
          <w:rPr>
            <w:webHidden/>
          </w:rPr>
          <w:fldChar w:fldCharType="end"/>
        </w:r>
      </w:hyperlink>
    </w:p>
    <w:p w14:paraId="15342F52" w14:textId="55A2B2F8" w:rsidR="00926282" w:rsidRDefault="00926282">
      <w:pPr>
        <w:pStyle w:val="TOC3"/>
        <w:rPr>
          <w:rFonts w:asciiTheme="minorHAnsi" w:eastAsiaTheme="minorEastAsia" w:hAnsiTheme="minorHAnsi" w:cstheme="minorBidi"/>
          <w:color w:val="auto"/>
          <w:sz w:val="22"/>
          <w:szCs w:val="22"/>
        </w:rPr>
      </w:pPr>
      <w:hyperlink w:anchor="_Toc93659445" w:history="1">
        <w:r w:rsidRPr="006D3A22">
          <w:rPr>
            <w:rStyle w:val="Hyperlink"/>
          </w:rPr>
          <w:t>State of affairs</w:t>
        </w:r>
        <w:r>
          <w:rPr>
            <w:webHidden/>
          </w:rPr>
          <w:tab/>
        </w:r>
        <w:r>
          <w:rPr>
            <w:webHidden/>
          </w:rPr>
          <w:fldChar w:fldCharType="begin"/>
        </w:r>
        <w:r>
          <w:rPr>
            <w:webHidden/>
          </w:rPr>
          <w:instrText xml:space="preserve"> PAGEREF _Toc93659445 \h </w:instrText>
        </w:r>
        <w:r>
          <w:rPr>
            <w:webHidden/>
          </w:rPr>
        </w:r>
        <w:r>
          <w:rPr>
            <w:webHidden/>
          </w:rPr>
          <w:fldChar w:fldCharType="separate"/>
        </w:r>
        <w:r>
          <w:rPr>
            <w:webHidden/>
          </w:rPr>
          <w:t>92</w:t>
        </w:r>
        <w:r>
          <w:rPr>
            <w:webHidden/>
          </w:rPr>
          <w:fldChar w:fldCharType="end"/>
        </w:r>
      </w:hyperlink>
    </w:p>
    <w:p w14:paraId="0E0819B6" w14:textId="277805E8" w:rsidR="00926282" w:rsidRDefault="00926282">
      <w:pPr>
        <w:pStyle w:val="TOC2"/>
        <w:rPr>
          <w:rFonts w:asciiTheme="minorHAnsi" w:eastAsiaTheme="minorEastAsia" w:hAnsiTheme="minorHAnsi" w:cstheme="minorBidi"/>
          <w:noProof/>
          <w:color w:val="auto"/>
          <w:sz w:val="22"/>
          <w:szCs w:val="22"/>
        </w:rPr>
      </w:pPr>
      <w:hyperlink w:anchor="_Toc93659446" w:history="1">
        <w:r w:rsidRPr="006D3A22">
          <w:rPr>
            <w:rStyle w:val="Hyperlink"/>
            <w:noProof/>
          </w:rPr>
          <w:t>Melbourne Water Financial Management Compliance Attestation</w:t>
        </w:r>
        <w:r>
          <w:rPr>
            <w:noProof/>
            <w:webHidden/>
          </w:rPr>
          <w:tab/>
        </w:r>
        <w:r>
          <w:rPr>
            <w:noProof/>
            <w:webHidden/>
          </w:rPr>
          <w:fldChar w:fldCharType="begin"/>
        </w:r>
        <w:r>
          <w:rPr>
            <w:noProof/>
            <w:webHidden/>
          </w:rPr>
          <w:instrText xml:space="preserve"> PAGEREF _Toc93659446 \h </w:instrText>
        </w:r>
        <w:r>
          <w:rPr>
            <w:noProof/>
            <w:webHidden/>
          </w:rPr>
        </w:r>
        <w:r>
          <w:rPr>
            <w:noProof/>
            <w:webHidden/>
          </w:rPr>
          <w:fldChar w:fldCharType="separate"/>
        </w:r>
        <w:r>
          <w:rPr>
            <w:noProof/>
            <w:webHidden/>
          </w:rPr>
          <w:t>92</w:t>
        </w:r>
        <w:r>
          <w:rPr>
            <w:noProof/>
            <w:webHidden/>
          </w:rPr>
          <w:fldChar w:fldCharType="end"/>
        </w:r>
      </w:hyperlink>
    </w:p>
    <w:p w14:paraId="67CF0214" w14:textId="550935BD" w:rsidR="00926282" w:rsidRDefault="00926282">
      <w:pPr>
        <w:pStyle w:val="TOC1"/>
        <w:rPr>
          <w:rFonts w:asciiTheme="minorHAnsi" w:eastAsiaTheme="minorEastAsia" w:hAnsiTheme="minorHAnsi" w:cstheme="minorBidi"/>
          <w:sz w:val="22"/>
          <w:szCs w:val="22"/>
        </w:rPr>
      </w:pPr>
      <w:hyperlink w:anchor="_Toc93659447" w:history="1">
        <w:r w:rsidRPr="006D3A22">
          <w:rPr>
            <w:rStyle w:val="Hyperlink"/>
          </w:rPr>
          <w:t>Financial Report</w:t>
        </w:r>
        <w:r>
          <w:rPr>
            <w:webHidden/>
          </w:rPr>
          <w:tab/>
        </w:r>
        <w:r>
          <w:rPr>
            <w:webHidden/>
          </w:rPr>
          <w:fldChar w:fldCharType="begin"/>
        </w:r>
        <w:r>
          <w:rPr>
            <w:webHidden/>
          </w:rPr>
          <w:instrText xml:space="preserve"> PAGEREF _Toc93659447 \h </w:instrText>
        </w:r>
        <w:r>
          <w:rPr>
            <w:webHidden/>
          </w:rPr>
        </w:r>
        <w:r>
          <w:rPr>
            <w:webHidden/>
          </w:rPr>
          <w:fldChar w:fldCharType="separate"/>
        </w:r>
        <w:r>
          <w:rPr>
            <w:webHidden/>
          </w:rPr>
          <w:t>93</w:t>
        </w:r>
        <w:r>
          <w:rPr>
            <w:webHidden/>
          </w:rPr>
          <w:fldChar w:fldCharType="end"/>
        </w:r>
      </w:hyperlink>
    </w:p>
    <w:p w14:paraId="0B8FA47E" w14:textId="346B3C54" w:rsidR="00926282" w:rsidRDefault="00926282">
      <w:pPr>
        <w:pStyle w:val="TOC2"/>
        <w:rPr>
          <w:rFonts w:asciiTheme="minorHAnsi" w:eastAsiaTheme="minorEastAsia" w:hAnsiTheme="minorHAnsi" w:cstheme="minorBidi"/>
          <w:noProof/>
          <w:color w:val="auto"/>
          <w:sz w:val="22"/>
          <w:szCs w:val="22"/>
        </w:rPr>
      </w:pPr>
      <w:hyperlink w:anchor="_Toc93659448" w:history="1">
        <w:r w:rsidRPr="006D3A22">
          <w:rPr>
            <w:rStyle w:val="Hyperlink"/>
            <w:noProof/>
          </w:rPr>
          <w:t>How this Report is Structured</w:t>
        </w:r>
        <w:r>
          <w:rPr>
            <w:noProof/>
            <w:webHidden/>
          </w:rPr>
          <w:tab/>
        </w:r>
        <w:r>
          <w:rPr>
            <w:noProof/>
            <w:webHidden/>
          </w:rPr>
          <w:fldChar w:fldCharType="begin"/>
        </w:r>
        <w:r>
          <w:rPr>
            <w:noProof/>
            <w:webHidden/>
          </w:rPr>
          <w:instrText xml:space="preserve"> PAGEREF _Toc93659448 \h </w:instrText>
        </w:r>
        <w:r>
          <w:rPr>
            <w:noProof/>
            <w:webHidden/>
          </w:rPr>
        </w:r>
        <w:r>
          <w:rPr>
            <w:noProof/>
            <w:webHidden/>
          </w:rPr>
          <w:fldChar w:fldCharType="separate"/>
        </w:r>
        <w:r>
          <w:rPr>
            <w:noProof/>
            <w:webHidden/>
          </w:rPr>
          <w:t>93</w:t>
        </w:r>
        <w:r>
          <w:rPr>
            <w:noProof/>
            <w:webHidden/>
          </w:rPr>
          <w:fldChar w:fldCharType="end"/>
        </w:r>
      </w:hyperlink>
    </w:p>
    <w:p w14:paraId="20A6267B" w14:textId="0807CF4C" w:rsidR="00926282" w:rsidRDefault="00926282">
      <w:pPr>
        <w:pStyle w:val="TOC2"/>
        <w:rPr>
          <w:rFonts w:asciiTheme="minorHAnsi" w:eastAsiaTheme="minorEastAsia" w:hAnsiTheme="minorHAnsi" w:cstheme="minorBidi"/>
          <w:noProof/>
          <w:color w:val="auto"/>
          <w:sz w:val="22"/>
          <w:szCs w:val="22"/>
        </w:rPr>
      </w:pPr>
      <w:hyperlink w:anchor="_Toc93659449" w:history="1">
        <w:r w:rsidRPr="006D3A22">
          <w:rPr>
            <w:rStyle w:val="Hyperlink"/>
            <w:noProof/>
          </w:rPr>
          <w:t>Financial statements</w:t>
        </w:r>
        <w:r>
          <w:rPr>
            <w:noProof/>
            <w:webHidden/>
          </w:rPr>
          <w:tab/>
        </w:r>
        <w:r>
          <w:rPr>
            <w:noProof/>
            <w:webHidden/>
          </w:rPr>
          <w:fldChar w:fldCharType="begin"/>
        </w:r>
        <w:r>
          <w:rPr>
            <w:noProof/>
            <w:webHidden/>
          </w:rPr>
          <w:instrText xml:space="preserve"> PAGEREF _Toc93659449 \h </w:instrText>
        </w:r>
        <w:r>
          <w:rPr>
            <w:noProof/>
            <w:webHidden/>
          </w:rPr>
        </w:r>
        <w:r>
          <w:rPr>
            <w:noProof/>
            <w:webHidden/>
          </w:rPr>
          <w:fldChar w:fldCharType="separate"/>
        </w:r>
        <w:r>
          <w:rPr>
            <w:noProof/>
            <w:webHidden/>
          </w:rPr>
          <w:t>93</w:t>
        </w:r>
        <w:r>
          <w:rPr>
            <w:noProof/>
            <w:webHidden/>
          </w:rPr>
          <w:fldChar w:fldCharType="end"/>
        </w:r>
      </w:hyperlink>
    </w:p>
    <w:p w14:paraId="211EF2B6" w14:textId="43C5367D" w:rsidR="00926282" w:rsidRDefault="00926282">
      <w:pPr>
        <w:pStyle w:val="TOC2"/>
        <w:rPr>
          <w:rFonts w:asciiTheme="minorHAnsi" w:eastAsiaTheme="minorEastAsia" w:hAnsiTheme="minorHAnsi" w:cstheme="minorBidi"/>
          <w:noProof/>
          <w:color w:val="auto"/>
          <w:sz w:val="22"/>
          <w:szCs w:val="22"/>
        </w:rPr>
      </w:pPr>
      <w:hyperlink w:anchor="_Toc93659450" w:history="1">
        <w:r w:rsidRPr="006D3A22">
          <w:rPr>
            <w:rStyle w:val="Hyperlink"/>
            <w:noProof/>
          </w:rPr>
          <w:t>Notes to the financial statements</w:t>
        </w:r>
        <w:r>
          <w:rPr>
            <w:noProof/>
            <w:webHidden/>
          </w:rPr>
          <w:tab/>
        </w:r>
        <w:r>
          <w:rPr>
            <w:noProof/>
            <w:webHidden/>
          </w:rPr>
          <w:fldChar w:fldCharType="begin"/>
        </w:r>
        <w:r>
          <w:rPr>
            <w:noProof/>
            <w:webHidden/>
          </w:rPr>
          <w:instrText xml:space="preserve"> PAGEREF _Toc93659450 \h </w:instrText>
        </w:r>
        <w:r>
          <w:rPr>
            <w:noProof/>
            <w:webHidden/>
          </w:rPr>
        </w:r>
        <w:r>
          <w:rPr>
            <w:noProof/>
            <w:webHidden/>
          </w:rPr>
          <w:fldChar w:fldCharType="separate"/>
        </w:r>
        <w:r>
          <w:rPr>
            <w:noProof/>
            <w:webHidden/>
          </w:rPr>
          <w:t>93</w:t>
        </w:r>
        <w:r>
          <w:rPr>
            <w:noProof/>
            <w:webHidden/>
          </w:rPr>
          <w:fldChar w:fldCharType="end"/>
        </w:r>
      </w:hyperlink>
    </w:p>
    <w:p w14:paraId="3B51E22B" w14:textId="24451DCC" w:rsidR="00926282" w:rsidRDefault="00926282">
      <w:pPr>
        <w:pStyle w:val="TOC2"/>
        <w:rPr>
          <w:rFonts w:asciiTheme="minorHAnsi" w:eastAsiaTheme="minorEastAsia" w:hAnsiTheme="minorHAnsi" w:cstheme="minorBidi"/>
          <w:noProof/>
          <w:color w:val="auto"/>
          <w:sz w:val="22"/>
          <w:szCs w:val="22"/>
        </w:rPr>
      </w:pPr>
      <w:hyperlink w:anchor="_Toc93659451" w:history="1">
        <w:r w:rsidRPr="006D3A22">
          <w:rPr>
            <w:rStyle w:val="Hyperlink"/>
            <w:noProof/>
          </w:rPr>
          <w:t>Melbourne Water Corporation Statement by Directors and Chief Financial Officer</w:t>
        </w:r>
        <w:r>
          <w:rPr>
            <w:noProof/>
            <w:webHidden/>
          </w:rPr>
          <w:tab/>
        </w:r>
        <w:r>
          <w:rPr>
            <w:noProof/>
            <w:webHidden/>
          </w:rPr>
          <w:fldChar w:fldCharType="begin"/>
        </w:r>
        <w:r>
          <w:rPr>
            <w:noProof/>
            <w:webHidden/>
          </w:rPr>
          <w:instrText xml:space="preserve"> PAGEREF _Toc93659451 \h </w:instrText>
        </w:r>
        <w:r>
          <w:rPr>
            <w:noProof/>
            <w:webHidden/>
          </w:rPr>
        </w:r>
        <w:r>
          <w:rPr>
            <w:noProof/>
            <w:webHidden/>
          </w:rPr>
          <w:fldChar w:fldCharType="separate"/>
        </w:r>
        <w:r>
          <w:rPr>
            <w:noProof/>
            <w:webHidden/>
          </w:rPr>
          <w:t>94</w:t>
        </w:r>
        <w:r>
          <w:rPr>
            <w:noProof/>
            <w:webHidden/>
          </w:rPr>
          <w:fldChar w:fldCharType="end"/>
        </w:r>
      </w:hyperlink>
    </w:p>
    <w:p w14:paraId="4F5E7259" w14:textId="12AAE48B" w:rsidR="00926282" w:rsidRDefault="00926282">
      <w:pPr>
        <w:pStyle w:val="TOC2"/>
        <w:rPr>
          <w:rFonts w:asciiTheme="minorHAnsi" w:eastAsiaTheme="minorEastAsia" w:hAnsiTheme="minorHAnsi" w:cstheme="minorBidi"/>
          <w:noProof/>
          <w:color w:val="auto"/>
          <w:sz w:val="22"/>
          <w:szCs w:val="22"/>
        </w:rPr>
      </w:pPr>
      <w:hyperlink w:anchor="_Toc93659452" w:history="1">
        <w:r w:rsidRPr="006D3A22">
          <w:rPr>
            <w:rStyle w:val="Hyperlink"/>
            <w:noProof/>
          </w:rPr>
          <w:t>Statement of Profit or Loss and Other Comprehensive Income</w:t>
        </w:r>
        <w:r>
          <w:rPr>
            <w:noProof/>
            <w:webHidden/>
          </w:rPr>
          <w:tab/>
        </w:r>
        <w:r>
          <w:rPr>
            <w:noProof/>
            <w:webHidden/>
          </w:rPr>
          <w:fldChar w:fldCharType="begin"/>
        </w:r>
        <w:r>
          <w:rPr>
            <w:noProof/>
            <w:webHidden/>
          </w:rPr>
          <w:instrText xml:space="preserve"> PAGEREF _Toc93659452 \h </w:instrText>
        </w:r>
        <w:r>
          <w:rPr>
            <w:noProof/>
            <w:webHidden/>
          </w:rPr>
        </w:r>
        <w:r>
          <w:rPr>
            <w:noProof/>
            <w:webHidden/>
          </w:rPr>
          <w:fldChar w:fldCharType="separate"/>
        </w:r>
        <w:r>
          <w:rPr>
            <w:noProof/>
            <w:webHidden/>
          </w:rPr>
          <w:t>95</w:t>
        </w:r>
        <w:r>
          <w:rPr>
            <w:noProof/>
            <w:webHidden/>
          </w:rPr>
          <w:fldChar w:fldCharType="end"/>
        </w:r>
      </w:hyperlink>
    </w:p>
    <w:p w14:paraId="75559B4B" w14:textId="4880D66D" w:rsidR="00926282" w:rsidRDefault="00926282">
      <w:pPr>
        <w:pStyle w:val="TOC2"/>
        <w:rPr>
          <w:rFonts w:asciiTheme="minorHAnsi" w:eastAsiaTheme="minorEastAsia" w:hAnsiTheme="minorHAnsi" w:cstheme="minorBidi"/>
          <w:noProof/>
          <w:color w:val="auto"/>
          <w:sz w:val="22"/>
          <w:szCs w:val="22"/>
        </w:rPr>
      </w:pPr>
      <w:hyperlink w:anchor="_Toc93659453" w:history="1">
        <w:r w:rsidRPr="006D3A22">
          <w:rPr>
            <w:rStyle w:val="Hyperlink"/>
            <w:noProof/>
          </w:rPr>
          <w:t>Statement of Financial Position</w:t>
        </w:r>
        <w:r>
          <w:rPr>
            <w:noProof/>
            <w:webHidden/>
          </w:rPr>
          <w:tab/>
        </w:r>
        <w:r>
          <w:rPr>
            <w:noProof/>
            <w:webHidden/>
          </w:rPr>
          <w:fldChar w:fldCharType="begin"/>
        </w:r>
        <w:r>
          <w:rPr>
            <w:noProof/>
            <w:webHidden/>
          </w:rPr>
          <w:instrText xml:space="preserve"> PAGEREF _Toc93659453 \h </w:instrText>
        </w:r>
        <w:r>
          <w:rPr>
            <w:noProof/>
            <w:webHidden/>
          </w:rPr>
        </w:r>
        <w:r>
          <w:rPr>
            <w:noProof/>
            <w:webHidden/>
          </w:rPr>
          <w:fldChar w:fldCharType="separate"/>
        </w:r>
        <w:r>
          <w:rPr>
            <w:noProof/>
            <w:webHidden/>
          </w:rPr>
          <w:t>96</w:t>
        </w:r>
        <w:r>
          <w:rPr>
            <w:noProof/>
            <w:webHidden/>
          </w:rPr>
          <w:fldChar w:fldCharType="end"/>
        </w:r>
      </w:hyperlink>
    </w:p>
    <w:p w14:paraId="703379B7" w14:textId="0B81CCF4" w:rsidR="00926282" w:rsidRDefault="00926282">
      <w:pPr>
        <w:pStyle w:val="TOC2"/>
        <w:rPr>
          <w:rFonts w:asciiTheme="minorHAnsi" w:eastAsiaTheme="minorEastAsia" w:hAnsiTheme="minorHAnsi" w:cstheme="minorBidi"/>
          <w:noProof/>
          <w:color w:val="auto"/>
          <w:sz w:val="22"/>
          <w:szCs w:val="22"/>
        </w:rPr>
      </w:pPr>
      <w:hyperlink w:anchor="_Toc93659454" w:history="1">
        <w:r w:rsidRPr="006D3A22">
          <w:rPr>
            <w:rStyle w:val="Hyperlink"/>
            <w:noProof/>
          </w:rPr>
          <w:t>Statement of Changes in Equity</w:t>
        </w:r>
        <w:r>
          <w:rPr>
            <w:noProof/>
            <w:webHidden/>
          </w:rPr>
          <w:tab/>
        </w:r>
        <w:r>
          <w:rPr>
            <w:noProof/>
            <w:webHidden/>
          </w:rPr>
          <w:fldChar w:fldCharType="begin"/>
        </w:r>
        <w:r>
          <w:rPr>
            <w:noProof/>
            <w:webHidden/>
          </w:rPr>
          <w:instrText xml:space="preserve"> PAGEREF _Toc93659454 \h </w:instrText>
        </w:r>
        <w:r>
          <w:rPr>
            <w:noProof/>
            <w:webHidden/>
          </w:rPr>
        </w:r>
        <w:r>
          <w:rPr>
            <w:noProof/>
            <w:webHidden/>
          </w:rPr>
          <w:fldChar w:fldCharType="separate"/>
        </w:r>
        <w:r>
          <w:rPr>
            <w:noProof/>
            <w:webHidden/>
          </w:rPr>
          <w:t>98</w:t>
        </w:r>
        <w:r>
          <w:rPr>
            <w:noProof/>
            <w:webHidden/>
          </w:rPr>
          <w:fldChar w:fldCharType="end"/>
        </w:r>
      </w:hyperlink>
    </w:p>
    <w:p w14:paraId="01D149DC" w14:textId="12DAB84B" w:rsidR="00926282" w:rsidRDefault="00926282">
      <w:pPr>
        <w:pStyle w:val="TOC2"/>
        <w:rPr>
          <w:rFonts w:asciiTheme="minorHAnsi" w:eastAsiaTheme="minorEastAsia" w:hAnsiTheme="minorHAnsi" w:cstheme="minorBidi"/>
          <w:noProof/>
          <w:color w:val="auto"/>
          <w:sz w:val="22"/>
          <w:szCs w:val="22"/>
        </w:rPr>
      </w:pPr>
      <w:hyperlink w:anchor="_Toc93659455" w:history="1">
        <w:r w:rsidRPr="006D3A22">
          <w:rPr>
            <w:rStyle w:val="Hyperlink"/>
            <w:noProof/>
          </w:rPr>
          <w:t>Statement of Cash Flows</w:t>
        </w:r>
        <w:r>
          <w:rPr>
            <w:noProof/>
            <w:webHidden/>
          </w:rPr>
          <w:tab/>
        </w:r>
        <w:r>
          <w:rPr>
            <w:noProof/>
            <w:webHidden/>
          </w:rPr>
          <w:fldChar w:fldCharType="begin"/>
        </w:r>
        <w:r>
          <w:rPr>
            <w:noProof/>
            <w:webHidden/>
          </w:rPr>
          <w:instrText xml:space="preserve"> PAGEREF _Toc93659455 \h </w:instrText>
        </w:r>
        <w:r>
          <w:rPr>
            <w:noProof/>
            <w:webHidden/>
          </w:rPr>
        </w:r>
        <w:r>
          <w:rPr>
            <w:noProof/>
            <w:webHidden/>
          </w:rPr>
          <w:fldChar w:fldCharType="separate"/>
        </w:r>
        <w:r>
          <w:rPr>
            <w:noProof/>
            <w:webHidden/>
          </w:rPr>
          <w:t>99</w:t>
        </w:r>
        <w:r>
          <w:rPr>
            <w:noProof/>
            <w:webHidden/>
          </w:rPr>
          <w:fldChar w:fldCharType="end"/>
        </w:r>
      </w:hyperlink>
    </w:p>
    <w:p w14:paraId="550B3172" w14:textId="60B39DAC" w:rsidR="00926282" w:rsidRDefault="00926282">
      <w:pPr>
        <w:pStyle w:val="TOC2"/>
        <w:rPr>
          <w:rFonts w:asciiTheme="minorHAnsi" w:eastAsiaTheme="minorEastAsia" w:hAnsiTheme="minorHAnsi" w:cstheme="minorBidi"/>
          <w:noProof/>
          <w:color w:val="auto"/>
          <w:sz w:val="22"/>
          <w:szCs w:val="22"/>
        </w:rPr>
      </w:pPr>
      <w:hyperlink w:anchor="_Toc93659456" w:history="1">
        <w:r w:rsidRPr="006D3A22">
          <w:rPr>
            <w:rStyle w:val="Hyperlink"/>
            <w:noProof/>
          </w:rPr>
          <w:t>About this Report</w:t>
        </w:r>
        <w:r>
          <w:rPr>
            <w:noProof/>
            <w:webHidden/>
          </w:rPr>
          <w:tab/>
        </w:r>
        <w:r>
          <w:rPr>
            <w:noProof/>
            <w:webHidden/>
          </w:rPr>
          <w:fldChar w:fldCharType="begin"/>
        </w:r>
        <w:r>
          <w:rPr>
            <w:noProof/>
            <w:webHidden/>
          </w:rPr>
          <w:instrText xml:space="preserve"> PAGEREF _Toc93659456 \h </w:instrText>
        </w:r>
        <w:r>
          <w:rPr>
            <w:noProof/>
            <w:webHidden/>
          </w:rPr>
        </w:r>
        <w:r>
          <w:rPr>
            <w:noProof/>
            <w:webHidden/>
          </w:rPr>
          <w:fldChar w:fldCharType="separate"/>
        </w:r>
        <w:r>
          <w:rPr>
            <w:noProof/>
            <w:webHidden/>
          </w:rPr>
          <w:t>100</w:t>
        </w:r>
        <w:r>
          <w:rPr>
            <w:noProof/>
            <w:webHidden/>
          </w:rPr>
          <w:fldChar w:fldCharType="end"/>
        </w:r>
      </w:hyperlink>
    </w:p>
    <w:p w14:paraId="2974C8EC" w14:textId="1FAD8C7D" w:rsidR="00926282" w:rsidRDefault="00926282">
      <w:pPr>
        <w:pStyle w:val="TOC3"/>
        <w:rPr>
          <w:rFonts w:asciiTheme="minorHAnsi" w:eastAsiaTheme="minorEastAsia" w:hAnsiTheme="minorHAnsi" w:cstheme="minorBidi"/>
          <w:color w:val="auto"/>
          <w:sz w:val="22"/>
          <w:szCs w:val="22"/>
        </w:rPr>
      </w:pPr>
      <w:hyperlink w:anchor="_Toc93659457" w:history="1">
        <w:r w:rsidRPr="006D3A22">
          <w:rPr>
            <w:rStyle w:val="Hyperlink"/>
          </w:rPr>
          <w:t>Basis of preparation</w:t>
        </w:r>
        <w:r>
          <w:rPr>
            <w:webHidden/>
          </w:rPr>
          <w:tab/>
        </w:r>
        <w:r>
          <w:rPr>
            <w:webHidden/>
          </w:rPr>
          <w:fldChar w:fldCharType="begin"/>
        </w:r>
        <w:r>
          <w:rPr>
            <w:webHidden/>
          </w:rPr>
          <w:instrText xml:space="preserve"> PAGEREF _Toc93659457 \h </w:instrText>
        </w:r>
        <w:r>
          <w:rPr>
            <w:webHidden/>
          </w:rPr>
        </w:r>
        <w:r>
          <w:rPr>
            <w:webHidden/>
          </w:rPr>
          <w:fldChar w:fldCharType="separate"/>
        </w:r>
        <w:r>
          <w:rPr>
            <w:webHidden/>
          </w:rPr>
          <w:t>100</w:t>
        </w:r>
        <w:r>
          <w:rPr>
            <w:webHidden/>
          </w:rPr>
          <w:fldChar w:fldCharType="end"/>
        </w:r>
      </w:hyperlink>
    </w:p>
    <w:p w14:paraId="004CBC70" w14:textId="116C5E13" w:rsidR="00926282" w:rsidRDefault="00926282">
      <w:pPr>
        <w:pStyle w:val="TOC3"/>
        <w:rPr>
          <w:rFonts w:asciiTheme="minorHAnsi" w:eastAsiaTheme="minorEastAsia" w:hAnsiTheme="minorHAnsi" w:cstheme="minorBidi"/>
          <w:color w:val="auto"/>
          <w:sz w:val="22"/>
          <w:szCs w:val="22"/>
        </w:rPr>
      </w:pPr>
      <w:hyperlink w:anchor="_Toc93659458" w:history="1">
        <w:r w:rsidRPr="006D3A22">
          <w:rPr>
            <w:rStyle w:val="Hyperlink"/>
          </w:rPr>
          <w:t>COVID</w:t>
        </w:r>
        <w:r w:rsidRPr="006D3A22">
          <w:rPr>
            <w:rStyle w:val="Hyperlink"/>
          </w:rPr>
          <w:noBreakHyphen/>
          <w:t>19 and going concern</w:t>
        </w:r>
        <w:r>
          <w:rPr>
            <w:webHidden/>
          </w:rPr>
          <w:tab/>
        </w:r>
        <w:r>
          <w:rPr>
            <w:webHidden/>
          </w:rPr>
          <w:fldChar w:fldCharType="begin"/>
        </w:r>
        <w:r>
          <w:rPr>
            <w:webHidden/>
          </w:rPr>
          <w:instrText xml:space="preserve"> PAGEREF _Toc93659458 \h </w:instrText>
        </w:r>
        <w:r>
          <w:rPr>
            <w:webHidden/>
          </w:rPr>
        </w:r>
        <w:r>
          <w:rPr>
            <w:webHidden/>
          </w:rPr>
          <w:fldChar w:fldCharType="separate"/>
        </w:r>
        <w:r>
          <w:rPr>
            <w:webHidden/>
          </w:rPr>
          <w:t>101</w:t>
        </w:r>
        <w:r>
          <w:rPr>
            <w:webHidden/>
          </w:rPr>
          <w:fldChar w:fldCharType="end"/>
        </w:r>
      </w:hyperlink>
    </w:p>
    <w:p w14:paraId="1AE5B8BB" w14:textId="0953555B" w:rsidR="00926282" w:rsidRDefault="00926282">
      <w:pPr>
        <w:pStyle w:val="TOC3"/>
        <w:rPr>
          <w:rFonts w:asciiTheme="minorHAnsi" w:eastAsiaTheme="minorEastAsia" w:hAnsiTheme="minorHAnsi" w:cstheme="minorBidi"/>
          <w:color w:val="auto"/>
          <w:sz w:val="22"/>
          <w:szCs w:val="22"/>
        </w:rPr>
      </w:pPr>
      <w:hyperlink w:anchor="_Toc93659459" w:history="1">
        <w:r w:rsidRPr="006D3A22">
          <w:rPr>
            <w:rStyle w:val="Hyperlink"/>
          </w:rPr>
          <w:t>Compliance</w:t>
        </w:r>
        <w:r>
          <w:rPr>
            <w:webHidden/>
          </w:rPr>
          <w:tab/>
        </w:r>
        <w:r>
          <w:rPr>
            <w:webHidden/>
          </w:rPr>
          <w:fldChar w:fldCharType="begin"/>
        </w:r>
        <w:r>
          <w:rPr>
            <w:webHidden/>
          </w:rPr>
          <w:instrText xml:space="preserve"> PAGEREF _Toc93659459 \h </w:instrText>
        </w:r>
        <w:r>
          <w:rPr>
            <w:webHidden/>
          </w:rPr>
        </w:r>
        <w:r>
          <w:rPr>
            <w:webHidden/>
          </w:rPr>
          <w:fldChar w:fldCharType="separate"/>
        </w:r>
        <w:r>
          <w:rPr>
            <w:webHidden/>
          </w:rPr>
          <w:t>101</w:t>
        </w:r>
        <w:r>
          <w:rPr>
            <w:webHidden/>
          </w:rPr>
          <w:fldChar w:fldCharType="end"/>
        </w:r>
      </w:hyperlink>
    </w:p>
    <w:p w14:paraId="79EC9F92" w14:textId="38737FBF" w:rsidR="00926282" w:rsidRDefault="00926282">
      <w:pPr>
        <w:pStyle w:val="TOC3"/>
        <w:rPr>
          <w:rFonts w:asciiTheme="minorHAnsi" w:eastAsiaTheme="minorEastAsia" w:hAnsiTheme="minorHAnsi" w:cstheme="minorBidi"/>
          <w:color w:val="auto"/>
          <w:sz w:val="22"/>
          <w:szCs w:val="22"/>
        </w:rPr>
      </w:pPr>
      <w:hyperlink w:anchor="_Toc93659460" w:history="1">
        <w:r w:rsidRPr="006D3A22">
          <w:rPr>
            <w:rStyle w:val="Hyperlink"/>
          </w:rPr>
          <w:t>Accounting policies</w:t>
        </w:r>
        <w:r>
          <w:rPr>
            <w:webHidden/>
          </w:rPr>
          <w:tab/>
        </w:r>
        <w:r>
          <w:rPr>
            <w:webHidden/>
          </w:rPr>
          <w:fldChar w:fldCharType="begin"/>
        </w:r>
        <w:r>
          <w:rPr>
            <w:webHidden/>
          </w:rPr>
          <w:instrText xml:space="preserve"> PAGEREF _Toc93659460 \h </w:instrText>
        </w:r>
        <w:r>
          <w:rPr>
            <w:webHidden/>
          </w:rPr>
        </w:r>
        <w:r>
          <w:rPr>
            <w:webHidden/>
          </w:rPr>
          <w:fldChar w:fldCharType="separate"/>
        </w:r>
        <w:r>
          <w:rPr>
            <w:webHidden/>
          </w:rPr>
          <w:t>102</w:t>
        </w:r>
        <w:r>
          <w:rPr>
            <w:webHidden/>
          </w:rPr>
          <w:fldChar w:fldCharType="end"/>
        </w:r>
      </w:hyperlink>
    </w:p>
    <w:p w14:paraId="05B290C4" w14:textId="03D46046" w:rsidR="00926282" w:rsidRDefault="00926282">
      <w:pPr>
        <w:pStyle w:val="TOC3"/>
        <w:rPr>
          <w:rFonts w:asciiTheme="minorHAnsi" w:eastAsiaTheme="minorEastAsia" w:hAnsiTheme="minorHAnsi" w:cstheme="minorBidi"/>
          <w:color w:val="auto"/>
          <w:sz w:val="22"/>
          <w:szCs w:val="22"/>
        </w:rPr>
      </w:pPr>
      <w:hyperlink w:anchor="_Toc93659461" w:history="1">
        <w:r w:rsidRPr="006D3A22">
          <w:rPr>
            <w:rStyle w:val="Hyperlink"/>
          </w:rPr>
          <w:t>Significant event</w:t>
        </w:r>
        <w:r>
          <w:rPr>
            <w:webHidden/>
          </w:rPr>
          <w:tab/>
        </w:r>
        <w:r>
          <w:rPr>
            <w:webHidden/>
          </w:rPr>
          <w:fldChar w:fldCharType="begin"/>
        </w:r>
        <w:r>
          <w:rPr>
            <w:webHidden/>
          </w:rPr>
          <w:instrText xml:space="preserve"> PAGEREF _Toc93659461 \h </w:instrText>
        </w:r>
        <w:r>
          <w:rPr>
            <w:webHidden/>
          </w:rPr>
        </w:r>
        <w:r>
          <w:rPr>
            <w:webHidden/>
          </w:rPr>
          <w:fldChar w:fldCharType="separate"/>
        </w:r>
        <w:r>
          <w:rPr>
            <w:webHidden/>
          </w:rPr>
          <w:t>102</w:t>
        </w:r>
        <w:r>
          <w:rPr>
            <w:webHidden/>
          </w:rPr>
          <w:fldChar w:fldCharType="end"/>
        </w:r>
      </w:hyperlink>
    </w:p>
    <w:p w14:paraId="2E6851E5" w14:textId="7CA92F60" w:rsidR="00926282" w:rsidRDefault="00926282">
      <w:pPr>
        <w:pStyle w:val="TOC2"/>
        <w:rPr>
          <w:rFonts w:asciiTheme="minorHAnsi" w:eastAsiaTheme="minorEastAsia" w:hAnsiTheme="minorHAnsi" w:cstheme="minorBidi"/>
          <w:noProof/>
          <w:color w:val="auto"/>
          <w:sz w:val="22"/>
          <w:szCs w:val="22"/>
        </w:rPr>
      </w:pPr>
      <w:hyperlink w:anchor="_Toc93659462" w:history="1">
        <w:r w:rsidRPr="006D3A22">
          <w:rPr>
            <w:rStyle w:val="Hyperlink"/>
            <w:noProof/>
          </w:rPr>
          <w:t>Funding Delivery of Our Services</w:t>
        </w:r>
        <w:r>
          <w:rPr>
            <w:noProof/>
            <w:webHidden/>
          </w:rPr>
          <w:tab/>
        </w:r>
        <w:r>
          <w:rPr>
            <w:noProof/>
            <w:webHidden/>
          </w:rPr>
          <w:fldChar w:fldCharType="begin"/>
        </w:r>
        <w:r>
          <w:rPr>
            <w:noProof/>
            <w:webHidden/>
          </w:rPr>
          <w:instrText xml:space="preserve"> PAGEREF _Toc93659462 \h </w:instrText>
        </w:r>
        <w:r>
          <w:rPr>
            <w:noProof/>
            <w:webHidden/>
          </w:rPr>
        </w:r>
        <w:r>
          <w:rPr>
            <w:noProof/>
            <w:webHidden/>
          </w:rPr>
          <w:fldChar w:fldCharType="separate"/>
        </w:r>
        <w:r>
          <w:rPr>
            <w:noProof/>
            <w:webHidden/>
          </w:rPr>
          <w:t>102</w:t>
        </w:r>
        <w:r>
          <w:rPr>
            <w:noProof/>
            <w:webHidden/>
          </w:rPr>
          <w:fldChar w:fldCharType="end"/>
        </w:r>
      </w:hyperlink>
    </w:p>
    <w:p w14:paraId="731A9BD9" w14:textId="095ABB3D" w:rsidR="00926282" w:rsidRDefault="00926282">
      <w:pPr>
        <w:pStyle w:val="TOC3"/>
        <w:rPr>
          <w:rFonts w:asciiTheme="minorHAnsi" w:eastAsiaTheme="minorEastAsia" w:hAnsiTheme="minorHAnsi" w:cstheme="minorBidi"/>
          <w:color w:val="auto"/>
          <w:sz w:val="22"/>
          <w:szCs w:val="22"/>
        </w:rPr>
      </w:pPr>
      <w:hyperlink w:anchor="_Toc93659463" w:history="1">
        <w:r w:rsidRPr="006D3A22">
          <w:rPr>
            <w:rStyle w:val="Hyperlink"/>
          </w:rPr>
          <w:t>Introduction</w:t>
        </w:r>
        <w:r>
          <w:rPr>
            <w:webHidden/>
          </w:rPr>
          <w:tab/>
        </w:r>
        <w:r>
          <w:rPr>
            <w:webHidden/>
          </w:rPr>
          <w:fldChar w:fldCharType="begin"/>
        </w:r>
        <w:r>
          <w:rPr>
            <w:webHidden/>
          </w:rPr>
          <w:instrText xml:space="preserve"> PAGEREF _Toc93659463 \h </w:instrText>
        </w:r>
        <w:r>
          <w:rPr>
            <w:webHidden/>
          </w:rPr>
        </w:r>
        <w:r>
          <w:rPr>
            <w:webHidden/>
          </w:rPr>
          <w:fldChar w:fldCharType="separate"/>
        </w:r>
        <w:r>
          <w:rPr>
            <w:webHidden/>
          </w:rPr>
          <w:t>102</w:t>
        </w:r>
        <w:r>
          <w:rPr>
            <w:webHidden/>
          </w:rPr>
          <w:fldChar w:fldCharType="end"/>
        </w:r>
      </w:hyperlink>
    </w:p>
    <w:p w14:paraId="5ED9D5FB" w14:textId="745A512A" w:rsidR="00926282" w:rsidRDefault="00926282">
      <w:pPr>
        <w:pStyle w:val="TOC3"/>
        <w:rPr>
          <w:rFonts w:asciiTheme="minorHAnsi" w:eastAsiaTheme="minorEastAsia" w:hAnsiTheme="minorHAnsi" w:cstheme="minorBidi"/>
          <w:color w:val="auto"/>
          <w:sz w:val="22"/>
          <w:szCs w:val="22"/>
        </w:rPr>
      </w:pPr>
      <w:hyperlink w:anchor="_Toc93659464" w:history="1">
        <w:r w:rsidRPr="006D3A22">
          <w:rPr>
            <w:rStyle w:val="Hyperlink"/>
          </w:rPr>
          <w:t>2.1 Revenue from contracts with customers</w:t>
        </w:r>
        <w:r>
          <w:rPr>
            <w:webHidden/>
          </w:rPr>
          <w:tab/>
        </w:r>
        <w:r>
          <w:rPr>
            <w:webHidden/>
          </w:rPr>
          <w:fldChar w:fldCharType="begin"/>
        </w:r>
        <w:r>
          <w:rPr>
            <w:webHidden/>
          </w:rPr>
          <w:instrText xml:space="preserve"> PAGEREF _Toc93659464 \h </w:instrText>
        </w:r>
        <w:r>
          <w:rPr>
            <w:webHidden/>
          </w:rPr>
        </w:r>
        <w:r>
          <w:rPr>
            <w:webHidden/>
          </w:rPr>
          <w:fldChar w:fldCharType="separate"/>
        </w:r>
        <w:r>
          <w:rPr>
            <w:webHidden/>
          </w:rPr>
          <w:t>103</w:t>
        </w:r>
        <w:r>
          <w:rPr>
            <w:webHidden/>
          </w:rPr>
          <w:fldChar w:fldCharType="end"/>
        </w:r>
      </w:hyperlink>
    </w:p>
    <w:p w14:paraId="65F2EBA7" w14:textId="797801AF" w:rsidR="00926282" w:rsidRDefault="00926282">
      <w:pPr>
        <w:pStyle w:val="TOC3"/>
        <w:rPr>
          <w:rFonts w:asciiTheme="minorHAnsi" w:eastAsiaTheme="minorEastAsia" w:hAnsiTheme="minorHAnsi" w:cstheme="minorBidi"/>
          <w:color w:val="auto"/>
          <w:sz w:val="22"/>
          <w:szCs w:val="22"/>
        </w:rPr>
      </w:pPr>
      <w:hyperlink w:anchor="_Toc93659465" w:history="1">
        <w:r w:rsidRPr="006D3A22">
          <w:rPr>
            <w:rStyle w:val="Hyperlink"/>
          </w:rPr>
          <w:t>2.2 Other income</w:t>
        </w:r>
        <w:r>
          <w:rPr>
            <w:webHidden/>
          </w:rPr>
          <w:tab/>
        </w:r>
        <w:r>
          <w:rPr>
            <w:webHidden/>
          </w:rPr>
          <w:fldChar w:fldCharType="begin"/>
        </w:r>
        <w:r>
          <w:rPr>
            <w:webHidden/>
          </w:rPr>
          <w:instrText xml:space="preserve"> PAGEREF _Toc93659465 \h </w:instrText>
        </w:r>
        <w:r>
          <w:rPr>
            <w:webHidden/>
          </w:rPr>
        </w:r>
        <w:r>
          <w:rPr>
            <w:webHidden/>
          </w:rPr>
          <w:fldChar w:fldCharType="separate"/>
        </w:r>
        <w:r>
          <w:rPr>
            <w:webHidden/>
          </w:rPr>
          <w:t>105</w:t>
        </w:r>
        <w:r>
          <w:rPr>
            <w:webHidden/>
          </w:rPr>
          <w:fldChar w:fldCharType="end"/>
        </w:r>
      </w:hyperlink>
    </w:p>
    <w:p w14:paraId="33474DF8" w14:textId="0AFBA3CA" w:rsidR="00926282" w:rsidRDefault="00926282">
      <w:pPr>
        <w:pStyle w:val="TOC3"/>
        <w:rPr>
          <w:rFonts w:asciiTheme="minorHAnsi" w:eastAsiaTheme="minorEastAsia" w:hAnsiTheme="minorHAnsi" w:cstheme="minorBidi"/>
          <w:color w:val="auto"/>
          <w:sz w:val="22"/>
          <w:szCs w:val="22"/>
        </w:rPr>
      </w:pPr>
      <w:hyperlink w:anchor="_Toc93659466" w:history="1">
        <w:r w:rsidRPr="006D3A22">
          <w:rPr>
            <w:rStyle w:val="Hyperlink"/>
          </w:rPr>
          <w:t>2.3 Receivables</w:t>
        </w:r>
        <w:r>
          <w:rPr>
            <w:webHidden/>
          </w:rPr>
          <w:tab/>
        </w:r>
        <w:r>
          <w:rPr>
            <w:webHidden/>
          </w:rPr>
          <w:fldChar w:fldCharType="begin"/>
        </w:r>
        <w:r>
          <w:rPr>
            <w:webHidden/>
          </w:rPr>
          <w:instrText xml:space="preserve"> PAGEREF _Toc93659466 \h </w:instrText>
        </w:r>
        <w:r>
          <w:rPr>
            <w:webHidden/>
          </w:rPr>
        </w:r>
        <w:r>
          <w:rPr>
            <w:webHidden/>
          </w:rPr>
          <w:fldChar w:fldCharType="separate"/>
        </w:r>
        <w:r>
          <w:rPr>
            <w:webHidden/>
          </w:rPr>
          <w:t>105</w:t>
        </w:r>
        <w:r>
          <w:rPr>
            <w:webHidden/>
          </w:rPr>
          <w:fldChar w:fldCharType="end"/>
        </w:r>
      </w:hyperlink>
    </w:p>
    <w:p w14:paraId="5186F6F0" w14:textId="3198774A" w:rsidR="00926282" w:rsidRDefault="00926282">
      <w:pPr>
        <w:pStyle w:val="TOC2"/>
        <w:rPr>
          <w:rFonts w:asciiTheme="minorHAnsi" w:eastAsiaTheme="minorEastAsia" w:hAnsiTheme="minorHAnsi" w:cstheme="minorBidi"/>
          <w:noProof/>
          <w:color w:val="auto"/>
          <w:sz w:val="22"/>
          <w:szCs w:val="22"/>
        </w:rPr>
      </w:pPr>
      <w:hyperlink w:anchor="_Toc93659467" w:history="1">
        <w:r w:rsidRPr="006D3A22">
          <w:rPr>
            <w:rStyle w:val="Hyperlink"/>
            <w:noProof/>
          </w:rPr>
          <w:t>The Cost of Delivering Our Services</w:t>
        </w:r>
        <w:r>
          <w:rPr>
            <w:noProof/>
            <w:webHidden/>
          </w:rPr>
          <w:tab/>
        </w:r>
        <w:r>
          <w:rPr>
            <w:noProof/>
            <w:webHidden/>
          </w:rPr>
          <w:fldChar w:fldCharType="begin"/>
        </w:r>
        <w:r>
          <w:rPr>
            <w:noProof/>
            <w:webHidden/>
          </w:rPr>
          <w:instrText xml:space="preserve"> PAGEREF _Toc93659467 \h </w:instrText>
        </w:r>
        <w:r>
          <w:rPr>
            <w:noProof/>
            <w:webHidden/>
          </w:rPr>
        </w:r>
        <w:r>
          <w:rPr>
            <w:noProof/>
            <w:webHidden/>
          </w:rPr>
          <w:fldChar w:fldCharType="separate"/>
        </w:r>
        <w:r>
          <w:rPr>
            <w:noProof/>
            <w:webHidden/>
          </w:rPr>
          <w:t>107</w:t>
        </w:r>
        <w:r>
          <w:rPr>
            <w:noProof/>
            <w:webHidden/>
          </w:rPr>
          <w:fldChar w:fldCharType="end"/>
        </w:r>
      </w:hyperlink>
    </w:p>
    <w:p w14:paraId="41BC38D8" w14:textId="7FA6EDDC" w:rsidR="00926282" w:rsidRDefault="00926282">
      <w:pPr>
        <w:pStyle w:val="TOC3"/>
        <w:rPr>
          <w:rFonts w:asciiTheme="minorHAnsi" w:eastAsiaTheme="minorEastAsia" w:hAnsiTheme="minorHAnsi" w:cstheme="minorBidi"/>
          <w:color w:val="auto"/>
          <w:sz w:val="22"/>
          <w:szCs w:val="22"/>
        </w:rPr>
      </w:pPr>
      <w:hyperlink w:anchor="_Toc93659468" w:history="1">
        <w:r w:rsidRPr="006D3A22">
          <w:rPr>
            <w:rStyle w:val="Hyperlink"/>
          </w:rPr>
          <w:t>Introduction</w:t>
        </w:r>
        <w:r>
          <w:rPr>
            <w:webHidden/>
          </w:rPr>
          <w:tab/>
        </w:r>
        <w:r>
          <w:rPr>
            <w:webHidden/>
          </w:rPr>
          <w:fldChar w:fldCharType="begin"/>
        </w:r>
        <w:r>
          <w:rPr>
            <w:webHidden/>
          </w:rPr>
          <w:instrText xml:space="preserve"> PAGEREF _Toc93659468 \h </w:instrText>
        </w:r>
        <w:r>
          <w:rPr>
            <w:webHidden/>
          </w:rPr>
        </w:r>
        <w:r>
          <w:rPr>
            <w:webHidden/>
          </w:rPr>
          <w:fldChar w:fldCharType="separate"/>
        </w:r>
        <w:r>
          <w:rPr>
            <w:webHidden/>
          </w:rPr>
          <w:t>107</w:t>
        </w:r>
        <w:r>
          <w:rPr>
            <w:webHidden/>
          </w:rPr>
          <w:fldChar w:fldCharType="end"/>
        </w:r>
      </w:hyperlink>
    </w:p>
    <w:p w14:paraId="6CDD8045" w14:textId="2D6D95B4" w:rsidR="00926282" w:rsidRDefault="00926282">
      <w:pPr>
        <w:pStyle w:val="TOC3"/>
        <w:rPr>
          <w:rFonts w:asciiTheme="minorHAnsi" w:eastAsiaTheme="minorEastAsia" w:hAnsiTheme="minorHAnsi" w:cstheme="minorBidi"/>
          <w:color w:val="auto"/>
          <w:sz w:val="22"/>
          <w:szCs w:val="22"/>
        </w:rPr>
      </w:pPr>
      <w:hyperlink w:anchor="_Toc93659469" w:history="1">
        <w:r w:rsidRPr="006D3A22">
          <w:rPr>
            <w:rStyle w:val="Hyperlink"/>
          </w:rPr>
          <w:t>3.1 Operational expenses</w:t>
        </w:r>
        <w:r>
          <w:rPr>
            <w:webHidden/>
          </w:rPr>
          <w:tab/>
        </w:r>
        <w:r>
          <w:rPr>
            <w:webHidden/>
          </w:rPr>
          <w:fldChar w:fldCharType="begin"/>
        </w:r>
        <w:r>
          <w:rPr>
            <w:webHidden/>
          </w:rPr>
          <w:instrText xml:space="preserve"> PAGEREF _Toc93659469 \h </w:instrText>
        </w:r>
        <w:r>
          <w:rPr>
            <w:webHidden/>
          </w:rPr>
        </w:r>
        <w:r>
          <w:rPr>
            <w:webHidden/>
          </w:rPr>
          <w:fldChar w:fldCharType="separate"/>
        </w:r>
        <w:r>
          <w:rPr>
            <w:webHidden/>
          </w:rPr>
          <w:t>107</w:t>
        </w:r>
        <w:r>
          <w:rPr>
            <w:webHidden/>
          </w:rPr>
          <w:fldChar w:fldCharType="end"/>
        </w:r>
      </w:hyperlink>
    </w:p>
    <w:p w14:paraId="088ED40D" w14:textId="4AC609EB" w:rsidR="00926282" w:rsidRDefault="00926282">
      <w:pPr>
        <w:pStyle w:val="TOC3"/>
        <w:rPr>
          <w:rFonts w:asciiTheme="minorHAnsi" w:eastAsiaTheme="minorEastAsia" w:hAnsiTheme="minorHAnsi" w:cstheme="minorBidi"/>
          <w:color w:val="auto"/>
          <w:sz w:val="22"/>
          <w:szCs w:val="22"/>
        </w:rPr>
      </w:pPr>
      <w:hyperlink w:anchor="_Toc93659470" w:history="1">
        <w:r w:rsidRPr="006D3A22">
          <w:rPr>
            <w:rStyle w:val="Hyperlink"/>
          </w:rPr>
          <w:t>3.2 Employee benefits expenses and employee benefits provision</w:t>
        </w:r>
        <w:r>
          <w:rPr>
            <w:webHidden/>
          </w:rPr>
          <w:tab/>
        </w:r>
        <w:r>
          <w:rPr>
            <w:webHidden/>
          </w:rPr>
          <w:fldChar w:fldCharType="begin"/>
        </w:r>
        <w:r>
          <w:rPr>
            <w:webHidden/>
          </w:rPr>
          <w:instrText xml:space="preserve"> PAGEREF _Toc93659470 \h </w:instrText>
        </w:r>
        <w:r>
          <w:rPr>
            <w:webHidden/>
          </w:rPr>
        </w:r>
        <w:r>
          <w:rPr>
            <w:webHidden/>
          </w:rPr>
          <w:fldChar w:fldCharType="separate"/>
        </w:r>
        <w:r>
          <w:rPr>
            <w:webHidden/>
          </w:rPr>
          <w:t>108</w:t>
        </w:r>
        <w:r>
          <w:rPr>
            <w:webHidden/>
          </w:rPr>
          <w:fldChar w:fldCharType="end"/>
        </w:r>
      </w:hyperlink>
    </w:p>
    <w:p w14:paraId="6A69A94C" w14:textId="7AC8F91D" w:rsidR="00926282" w:rsidRDefault="00926282">
      <w:pPr>
        <w:pStyle w:val="TOC3"/>
        <w:rPr>
          <w:rFonts w:asciiTheme="minorHAnsi" w:eastAsiaTheme="minorEastAsia" w:hAnsiTheme="minorHAnsi" w:cstheme="minorBidi"/>
          <w:color w:val="auto"/>
          <w:sz w:val="22"/>
          <w:szCs w:val="22"/>
        </w:rPr>
      </w:pPr>
      <w:hyperlink w:anchor="_Toc93659471" w:history="1">
        <w:r w:rsidRPr="006D3A22">
          <w:rPr>
            <w:rStyle w:val="Hyperlink"/>
          </w:rPr>
          <w:t>3.3 Repairs and maintenance expenses</w:t>
        </w:r>
        <w:r>
          <w:rPr>
            <w:webHidden/>
          </w:rPr>
          <w:tab/>
        </w:r>
        <w:r>
          <w:rPr>
            <w:webHidden/>
          </w:rPr>
          <w:fldChar w:fldCharType="begin"/>
        </w:r>
        <w:r>
          <w:rPr>
            <w:webHidden/>
          </w:rPr>
          <w:instrText xml:space="preserve"> PAGEREF _Toc93659471 \h </w:instrText>
        </w:r>
        <w:r>
          <w:rPr>
            <w:webHidden/>
          </w:rPr>
        </w:r>
        <w:r>
          <w:rPr>
            <w:webHidden/>
          </w:rPr>
          <w:fldChar w:fldCharType="separate"/>
        </w:r>
        <w:r>
          <w:rPr>
            <w:webHidden/>
          </w:rPr>
          <w:t>111</w:t>
        </w:r>
        <w:r>
          <w:rPr>
            <w:webHidden/>
          </w:rPr>
          <w:fldChar w:fldCharType="end"/>
        </w:r>
      </w:hyperlink>
    </w:p>
    <w:p w14:paraId="7290B9C0" w14:textId="1B087AC3" w:rsidR="00926282" w:rsidRDefault="00926282">
      <w:pPr>
        <w:pStyle w:val="TOC3"/>
        <w:rPr>
          <w:rFonts w:asciiTheme="minorHAnsi" w:eastAsiaTheme="minorEastAsia" w:hAnsiTheme="minorHAnsi" w:cstheme="minorBidi"/>
          <w:color w:val="auto"/>
          <w:sz w:val="22"/>
          <w:szCs w:val="22"/>
        </w:rPr>
      </w:pPr>
      <w:hyperlink w:anchor="_Toc93659472" w:history="1">
        <w:r w:rsidRPr="006D3A22">
          <w:rPr>
            <w:rStyle w:val="Hyperlink"/>
          </w:rPr>
          <w:t>3.4 Administrative expenses</w:t>
        </w:r>
        <w:r>
          <w:rPr>
            <w:webHidden/>
          </w:rPr>
          <w:tab/>
        </w:r>
        <w:r>
          <w:rPr>
            <w:webHidden/>
          </w:rPr>
          <w:fldChar w:fldCharType="begin"/>
        </w:r>
        <w:r>
          <w:rPr>
            <w:webHidden/>
          </w:rPr>
          <w:instrText xml:space="preserve"> PAGEREF _Toc93659472 \h </w:instrText>
        </w:r>
        <w:r>
          <w:rPr>
            <w:webHidden/>
          </w:rPr>
        </w:r>
        <w:r>
          <w:rPr>
            <w:webHidden/>
          </w:rPr>
          <w:fldChar w:fldCharType="separate"/>
        </w:r>
        <w:r>
          <w:rPr>
            <w:webHidden/>
          </w:rPr>
          <w:t>111</w:t>
        </w:r>
        <w:r>
          <w:rPr>
            <w:webHidden/>
          </w:rPr>
          <w:fldChar w:fldCharType="end"/>
        </w:r>
      </w:hyperlink>
    </w:p>
    <w:p w14:paraId="3532DF3B" w14:textId="17A6101A" w:rsidR="00926282" w:rsidRDefault="00926282">
      <w:pPr>
        <w:pStyle w:val="TOC3"/>
        <w:rPr>
          <w:rFonts w:asciiTheme="minorHAnsi" w:eastAsiaTheme="minorEastAsia" w:hAnsiTheme="minorHAnsi" w:cstheme="minorBidi"/>
          <w:color w:val="auto"/>
          <w:sz w:val="22"/>
          <w:szCs w:val="22"/>
        </w:rPr>
      </w:pPr>
      <w:hyperlink w:anchor="_Toc93659473" w:history="1">
        <w:r w:rsidRPr="006D3A22">
          <w:rPr>
            <w:rStyle w:val="Hyperlink"/>
          </w:rPr>
          <w:t>3.5 Government rates and taxes</w:t>
        </w:r>
        <w:r>
          <w:rPr>
            <w:webHidden/>
          </w:rPr>
          <w:tab/>
        </w:r>
        <w:r>
          <w:rPr>
            <w:webHidden/>
          </w:rPr>
          <w:fldChar w:fldCharType="begin"/>
        </w:r>
        <w:r>
          <w:rPr>
            <w:webHidden/>
          </w:rPr>
          <w:instrText xml:space="preserve"> PAGEREF _Toc93659473 \h </w:instrText>
        </w:r>
        <w:r>
          <w:rPr>
            <w:webHidden/>
          </w:rPr>
        </w:r>
        <w:r>
          <w:rPr>
            <w:webHidden/>
          </w:rPr>
          <w:fldChar w:fldCharType="separate"/>
        </w:r>
        <w:r>
          <w:rPr>
            <w:webHidden/>
          </w:rPr>
          <w:t>112</w:t>
        </w:r>
        <w:r>
          <w:rPr>
            <w:webHidden/>
          </w:rPr>
          <w:fldChar w:fldCharType="end"/>
        </w:r>
      </w:hyperlink>
    </w:p>
    <w:p w14:paraId="7BAAA43C" w14:textId="2CAFFA26" w:rsidR="00926282" w:rsidRDefault="00926282">
      <w:pPr>
        <w:pStyle w:val="TOC3"/>
        <w:rPr>
          <w:rFonts w:asciiTheme="minorHAnsi" w:eastAsiaTheme="minorEastAsia" w:hAnsiTheme="minorHAnsi" w:cstheme="minorBidi"/>
          <w:color w:val="auto"/>
          <w:sz w:val="22"/>
          <w:szCs w:val="22"/>
        </w:rPr>
      </w:pPr>
      <w:hyperlink w:anchor="_Toc93659474" w:history="1">
        <w:r w:rsidRPr="006D3A22">
          <w:rPr>
            <w:rStyle w:val="Hyperlink"/>
          </w:rPr>
          <w:t>3.6 Asset transfers to council</w:t>
        </w:r>
        <w:r>
          <w:rPr>
            <w:webHidden/>
          </w:rPr>
          <w:tab/>
        </w:r>
        <w:r>
          <w:rPr>
            <w:webHidden/>
          </w:rPr>
          <w:fldChar w:fldCharType="begin"/>
        </w:r>
        <w:r>
          <w:rPr>
            <w:webHidden/>
          </w:rPr>
          <w:instrText xml:space="preserve"> PAGEREF _Toc93659474 \h </w:instrText>
        </w:r>
        <w:r>
          <w:rPr>
            <w:webHidden/>
          </w:rPr>
        </w:r>
        <w:r>
          <w:rPr>
            <w:webHidden/>
          </w:rPr>
          <w:fldChar w:fldCharType="separate"/>
        </w:r>
        <w:r>
          <w:rPr>
            <w:webHidden/>
          </w:rPr>
          <w:t>112</w:t>
        </w:r>
        <w:r>
          <w:rPr>
            <w:webHidden/>
          </w:rPr>
          <w:fldChar w:fldCharType="end"/>
        </w:r>
      </w:hyperlink>
    </w:p>
    <w:p w14:paraId="5C6B8EC7" w14:textId="23E75E32" w:rsidR="00926282" w:rsidRDefault="00926282">
      <w:pPr>
        <w:pStyle w:val="TOC3"/>
        <w:rPr>
          <w:rFonts w:asciiTheme="minorHAnsi" w:eastAsiaTheme="minorEastAsia" w:hAnsiTheme="minorHAnsi" w:cstheme="minorBidi"/>
          <w:color w:val="auto"/>
          <w:sz w:val="22"/>
          <w:szCs w:val="22"/>
        </w:rPr>
      </w:pPr>
      <w:hyperlink w:anchor="_Toc93659475" w:history="1">
        <w:r w:rsidRPr="006D3A22">
          <w:rPr>
            <w:rStyle w:val="Hyperlink"/>
          </w:rPr>
          <w:t>3.7 Other expenses</w:t>
        </w:r>
        <w:r>
          <w:rPr>
            <w:webHidden/>
          </w:rPr>
          <w:tab/>
        </w:r>
        <w:r>
          <w:rPr>
            <w:webHidden/>
          </w:rPr>
          <w:fldChar w:fldCharType="begin"/>
        </w:r>
        <w:r>
          <w:rPr>
            <w:webHidden/>
          </w:rPr>
          <w:instrText xml:space="preserve"> PAGEREF _Toc93659475 \h </w:instrText>
        </w:r>
        <w:r>
          <w:rPr>
            <w:webHidden/>
          </w:rPr>
        </w:r>
        <w:r>
          <w:rPr>
            <w:webHidden/>
          </w:rPr>
          <w:fldChar w:fldCharType="separate"/>
        </w:r>
        <w:r>
          <w:rPr>
            <w:webHidden/>
          </w:rPr>
          <w:t>112</w:t>
        </w:r>
        <w:r>
          <w:rPr>
            <w:webHidden/>
          </w:rPr>
          <w:fldChar w:fldCharType="end"/>
        </w:r>
      </w:hyperlink>
    </w:p>
    <w:p w14:paraId="2551413C" w14:textId="3A0C9FB2" w:rsidR="00926282" w:rsidRDefault="00926282">
      <w:pPr>
        <w:pStyle w:val="TOC3"/>
        <w:rPr>
          <w:rFonts w:asciiTheme="minorHAnsi" w:eastAsiaTheme="minorEastAsia" w:hAnsiTheme="minorHAnsi" w:cstheme="minorBidi"/>
          <w:color w:val="auto"/>
          <w:sz w:val="22"/>
          <w:szCs w:val="22"/>
        </w:rPr>
      </w:pPr>
      <w:hyperlink w:anchor="_Toc93659476" w:history="1">
        <w:r w:rsidRPr="006D3A22">
          <w:rPr>
            <w:rStyle w:val="Hyperlink"/>
          </w:rPr>
          <w:t>3.8 Income and deferred tax</w:t>
        </w:r>
        <w:r>
          <w:rPr>
            <w:webHidden/>
          </w:rPr>
          <w:tab/>
        </w:r>
        <w:r>
          <w:rPr>
            <w:webHidden/>
          </w:rPr>
          <w:fldChar w:fldCharType="begin"/>
        </w:r>
        <w:r>
          <w:rPr>
            <w:webHidden/>
          </w:rPr>
          <w:instrText xml:space="preserve"> PAGEREF _Toc93659476 \h </w:instrText>
        </w:r>
        <w:r>
          <w:rPr>
            <w:webHidden/>
          </w:rPr>
        </w:r>
        <w:r>
          <w:rPr>
            <w:webHidden/>
          </w:rPr>
          <w:fldChar w:fldCharType="separate"/>
        </w:r>
        <w:r>
          <w:rPr>
            <w:webHidden/>
          </w:rPr>
          <w:t>112</w:t>
        </w:r>
        <w:r>
          <w:rPr>
            <w:webHidden/>
          </w:rPr>
          <w:fldChar w:fldCharType="end"/>
        </w:r>
      </w:hyperlink>
    </w:p>
    <w:p w14:paraId="39406593" w14:textId="4164546E" w:rsidR="00926282" w:rsidRDefault="00926282">
      <w:pPr>
        <w:pStyle w:val="TOC3"/>
        <w:rPr>
          <w:rFonts w:asciiTheme="minorHAnsi" w:eastAsiaTheme="minorEastAsia" w:hAnsiTheme="minorHAnsi" w:cstheme="minorBidi"/>
          <w:color w:val="auto"/>
          <w:sz w:val="22"/>
          <w:szCs w:val="22"/>
        </w:rPr>
      </w:pPr>
      <w:hyperlink w:anchor="_Toc93659477" w:history="1">
        <w:r w:rsidRPr="006D3A22">
          <w:rPr>
            <w:rStyle w:val="Hyperlink"/>
          </w:rPr>
          <w:t>3.9 Payables</w:t>
        </w:r>
        <w:r>
          <w:rPr>
            <w:webHidden/>
          </w:rPr>
          <w:tab/>
        </w:r>
        <w:r>
          <w:rPr>
            <w:webHidden/>
          </w:rPr>
          <w:fldChar w:fldCharType="begin"/>
        </w:r>
        <w:r>
          <w:rPr>
            <w:webHidden/>
          </w:rPr>
          <w:instrText xml:space="preserve"> PAGEREF _Toc93659477 \h </w:instrText>
        </w:r>
        <w:r>
          <w:rPr>
            <w:webHidden/>
          </w:rPr>
        </w:r>
        <w:r>
          <w:rPr>
            <w:webHidden/>
          </w:rPr>
          <w:fldChar w:fldCharType="separate"/>
        </w:r>
        <w:r>
          <w:rPr>
            <w:webHidden/>
          </w:rPr>
          <w:t>115</w:t>
        </w:r>
        <w:r>
          <w:rPr>
            <w:webHidden/>
          </w:rPr>
          <w:fldChar w:fldCharType="end"/>
        </w:r>
      </w:hyperlink>
    </w:p>
    <w:p w14:paraId="76859CE1" w14:textId="00AA3957" w:rsidR="00926282" w:rsidRDefault="00926282">
      <w:pPr>
        <w:pStyle w:val="TOC3"/>
        <w:rPr>
          <w:rFonts w:asciiTheme="minorHAnsi" w:eastAsiaTheme="minorEastAsia" w:hAnsiTheme="minorHAnsi" w:cstheme="minorBidi"/>
          <w:color w:val="auto"/>
          <w:sz w:val="22"/>
          <w:szCs w:val="22"/>
        </w:rPr>
      </w:pPr>
      <w:hyperlink w:anchor="_Toc93659478" w:history="1">
        <w:r w:rsidRPr="006D3A22">
          <w:rPr>
            <w:rStyle w:val="Hyperlink"/>
          </w:rPr>
          <w:t>3.10 Contract liabilities</w:t>
        </w:r>
        <w:r>
          <w:rPr>
            <w:webHidden/>
          </w:rPr>
          <w:tab/>
        </w:r>
        <w:r>
          <w:rPr>
            <w:webHidden/>
          </w:rPr>
          <w:fldChar w:fldCharType="begin"/>
        </w:r>
        <w:r>
          <w:rPr>
            <w:webHidden/>
          </w:rPr>
          <w:instrText xml:space="preserve"> PAGEREF _Toc93659478 \h </w:instrText>
        </w:r>
        <w:r>
          <w:rPr>
            <w:webHidden/>
          </w:rPr>
        </w:r>
        <w:r>
          <w:rPr>
            <w:webHidden/>
          </w:rPr>
          <w:fldChar w:fldCharType="separate"/>
        </w:r>
        <w:r>
          <w:rPr>
            <w:webHidden/>
          </w:rPr>
          <w:t>116</w:t>
        </w:r>
        <w:r>
          <w:rPr>
            <w:webHidden/>
          </w:rPr>
          <w:fldChar w:fldCharType="end"/>
        </w:r>
      </w:hyperlink>
    </w:p>
    <w:p w14:paraId="7EE053D4" w14:textId="2BD8FC27" w:rsidR="00926282" w:rsidRDefault="00926282">
      <w:pPr>
        <w:pStyle w:val="TOC3"/>
        <w:rPr>
          <w:rFonts w:asciiTheme="minorHAnsi" w:eastAsiaTheme="minorEastAsia" w:hAnsiTheme="minorHAnsi" w:cstheme="minorBidi"/>
          <w:color w:val="auto"/>
          <w:sz w:val="22"/>
          <w:szCs w:val="22"/>
        </w:rPr>
      </w:pPr>
      <w:hyperlink w:anchor="_Toc93659479" w:history="1">
        <w:r w:rsidRPr="006D3A22">
          <w:rPr>
            <w:rStyle w:val="Hyperlink"/>
          </w:rPr>
          <w:t>3.11 Other current assets</w:t>
        </w:r>
        <w:r>
          <w:rPr>
            <w:webHidden/>
          </w:rPr>
          <w:tab/>
        </w:r>
        <w:r>
          <w:rPr>
            <w:webHidden/>
          </w:rPr>
          <w:fldChar w:fldCharType="begin"/>
        </w:r>
        <w:r>
          <w:rPr>
            <w:webHidden/>
          </w:rPr>
          <w:instrText xml:space="preserve"> PAGEREF _Toc93659479 \h </w:instrText>
        </w:r>
        <w:r>
          <w:rPr>
            <w:webHidden/>
          </w:rPr>
        </w:r>
        <w:r>
          <w:rPr>
            <w:webHidden/>
          </w:rPr>
          <w:fldChar w:fldCharType="separate"/>
        </w:r>
        <w:r>
          <w:rPr>
            <w:webHidden/>
          </w:rPr>
          <w:t>116</w:t>
        </w:r>
        <w:r>
          <w:rPr>
            <w:webHidden/>
          </w:rPr>
          <w:fldChar w:fldCharType="end"/>
        </w:r>
      </w:hyperlink>
    </w:p>
    <w:p w14:paraId="7EFCE206" w14:textId="05F591FA" w:rsidR="00926282" w:rsidRDefault="00926282">
      <w:pPr>
        <w:pStyle w:val="TOC3"/>
        <w:rPr>
          <w:rFonts w:asciiTheme="minorHAnsi" w:eastAsiaTheme="minorEastAsia" w:hAnsiTheme="minorHAnsi" w:cstheme="minorBidi"/>
          <w:color w:val="auto"/>
          <w:sz w:val="22"/>
          <w:szCs w:val="22"/>
        </w:rPr>
      </w:pPr>
      <w:hyperlink w:anchor="_Toc93659480" w:history="1">
        <w:r w:rsidRPr="006D3A22">
          <w:rPr>
            <w:rStyle w:val="Hyperlink"/>
          </w:rPr>
          <w:t>3.12 Provisions</w:t>
        </w:r>
        <w:r>
          <w:rPr>
            <w:webHidden/>
          </w:rPr>
          <w:tab/>
        </w:r>
        <w:r>
          <w:rPr>
            <w:webHidden/>
          </w:rPr>
          <w:fldChar w:fldCharType="begin"/>
        </w:r>
        <w:r>
          <w:rPr>
            <w:webHidden/>
          </w:rPr>
          <w:instrText xml:space="preserve"> PAGEREF _Toc93659480 \h </w:instrText>
        </w:r>
        <w:r>
          <w:rPr>
            <w:webHidden/>
          </w:rPr>
        </w:r>
        <w:r>
          <w:rPr>
            <w:webHidden/>
          </w:rPr>
          <w:fldChar w:fldCharType="separate"/>
        </w:r>
        <w:r>
          <w:rPr>
            <w:webHidden/>
          </w:rPr>
          <w:t>117</w:t>
        </w:r>
        <w:r>
          <w:rPr>
            <w:webHidden/>
          </w:rPr>
          <w:fldChar w:fldCharType="end"/>
        </w:r>
      </w:hyperlink>
    </w:p>
    <w:p w14:paraId="467803AE" w14:textId="0AF25A8D" w:rsidR="00926282" w:rsidRDefault="00926282">
      <w:pPr>
        <w:pStyle w:val="TOC2"/>
        <w:rPr>
          <w:rFonts w:asciiTheme="minorHAnsi" w:eastAsiaTheme="minorEastAsia" w:hAnsiTheme="minorHAnsi" w:cstheme="minorBidi"/>
          <w:noProof/>
          <w:color w:val="auto"/>
          <w:sz w:val="22"/>
          <w:szCs w:val="22"/>
        </w:rPr>
      </w:pPr>
      <w:hyperlink w:anchor="_Toc93659481" w:history="1">
        <w:r w:rsidRPr="006D3A22">
          <w:rPr>
            <w:rStyle w:val="Hyperlink"/>
            <w:noProof/>
          </w:rPr>
          <w:t>Assets Available to Support Output Delivery</w:t>
        </w:r>
        <w:r>
          <w:rPr>
            <w:noProof/>
            <w:webHidden/>
          </w:rPr>
          <w:tab/>
        </w:r>
        <w:r>
          <w:rPr>
            <w:noProof/>
            <w:webHidden/>
          </w:rPr>
          <w:fldChar w:fldCharType="begin"/>
        </w:r>
        <w:r>
          <w:rPr>
            <w:noProof/>
            <w:webHidden/>
          </w:rPr>
          <w:instrText xml:space="preserve"> PAGEREF _Toc93659481 \h </w:instrText>
        </w:r>
        <w:r>
          <w:rPr>
            <w:noProof/>
            <w:webHidden/>
          </w:rPr>
        </w:r>
        <w:r>
          <w:rPr>
            <w:noProof/>
            <w:webHidden/>
          </w:rPr>
          <w:fldChar w:fldCharType="separate"/>
        </w:r>
        <w:r>
          <w:rPr>
            <w:noProof/>
            <w:webHidden/>
          </w:rPr>
          <w:t>118</w:t>
        </w:r>
        <w:r>
          <w:rPr>
            <w:noProof/>
            <w:webHidden/>
          </w:rPr>
          <w:fldChar w:fldCharType="end"/>
        </w:r>
      </w:hyperlink>
    </w:p>
    <w:p w14:paraId="0531FBA9" w14:textId="3E27439C" w:rsidR="00926282" w:rsidRDefault="00926282">
      <w:pPr>
        <w:pStyle w:val="TOC3"/>
        <w:rPr>
          <w:rFonts w:asciiTheme="minorHAnsi" w:eastAsiaTheme="minorEastAsia" w:hAnsiTheme="minorHAnsi" w:cstheme="minorBidi"/>
          <w:color w:val="auto"/>
          <w:sz w:val="22"/>
          <w:szCs w:val="22"/>
        </w:rPr>
      </w:pPr>
      <w:hyperlink w:anchor="_Toc93659482" w:history="1">
        <w:r w:rsidRPr="006D3A22">
          <w:rPr>
            <w:rStyle w:val="Hyperlink"/>
          </w:rPr>
          <w:t>Introduction</w:t>
        </w:r>
        <w:r>
          <w:rPr>
            <w:webHidden/>
          </w:rPr>
          <w:tab/>
        </w:r>
        <w:r>
          <w:rPr>
            <w:webHidden/>
          </w:rPr>
          <w:fldChar w:fldCharType="begin"/>
        </w:r>
        <w:r>
          <w:rPr>
            <w:webHidden/>
          </w:rPr>
          <w:instrText xml:space="preserve"> PAGEREF _Toc93659482 \h </w:instrText>
        </w:r>
        <w:r>
          <w:rPr>
            <w:webHidden/>
          </w:rPr>
        </w:r>
        <w:r>
          <w:rPr>
            <w:webHidden/>
          </w:rPr>
          <w:fldChar w:fldCharType="separate"/>
        </w:r>
        <w:r>
          <w:rPr>
            <w:webHidden/>
          </w:rPr>
          <w:t>118</w:t>
        </w:r>
        <w:r>
          <w:rPr>
            <w:webHidden/>
          </w:rPr>
          <w:fldChar w:fldCharType="end"/>
        </w:r>
      </w:hyperlink>
    </w:p>
    <w:p w14:paraId="699046E0" w14:textId="013C6A32" w:rsidR="00926282" w:rsidRDefault="00926282">
      <w:pPr>
        <w:pStyle w:val="TOC3"/>
        <w:rPr>
          <w:rFonts w:asciiTheme="minorHAnsi" w:eastAsiaTheme="minorEastAsia" w:hAnsiTheme="minorHAnsi" w:cstheme="minorBidi"/>
          <w:color w:val="auto"/>
          <w:sz w:val="22"/>
          <w:szCs w:val="22"/>
        </w:rPr>
      </w:pPr>
      <w:hyperlink w:anchor="_Toc93659483" w:history="1">
        <w:r w:rsidRPr="006D3A22">
          <w:rPr>
            <w:rStyle w:val="Hyperlink"/>
          </w:rPr>
          <w:t>4.1 Land, buildings, infrastructure, plant and equipment and service concession arrangements</w:t>
        </w:r>
        <w:r>
          <w:rPr>
            <w:webHidden/>
          </w:rPr>
          <w:tab/>
        </w:r>
        <w:r>
          <w:rPr>
            <w:webHidden/>
          </w:rPr>
          <w:fldChar w:fldCharType="begin"/>
        </w:r>
        <w:r>
          <w:rPr>
            <w:webHidden/>
          </w:rPr>
          <w:instrText xml:space="preserve"> PAGEREF _Toc93659483 \h </w:instrText>
        </w:r>
        <w:r>
          <w:rPr>
            <w:webHidden/>
          </w:rPr>
        </w:r>
        <w:r>
          <w:rPr>
            <w:webHidden/>
          </w:rPr>
          <w:fldChar w:fldCharType="separate"/>
        </w:r>
        <w:r>
          <w:rPr>
            <w:webHidden/>
          </w:rPr>
          <w:t>119</w:t>
        </w:r>
        <w:r>
          <w:rPr>
            <w:webHidden/>
          </w:rPr>
          <w:fldChar w:fldCharType="end"/>
        </w:r>
      </w:hyperlink>
    </w:p>
    <w:p w14:paraId="5EFC0053" w14:textId="68A5DF8A" w:rsidR="00926282" w:rsidRDefault="00926282">
      <w:pPr>
        <w:pStyle w:val="TOC3"/>
        <w:rPr>
          <w:rFonts w:asciiTheme="minorHAnsi" w:eastAsiaTheme="minorEastAsia" w:hAnsiTheme="minorHAnsi" w:cstheme="minorBidi"/>
          <w:color w:val="auto"/>
          <w:sz w:val="22"/>
          <w:szCs w:val="22"/>
        </w:rPr>
      </w:pPr>
      <w:hyperlink w:anchor="_Toc93659484" w:history="1">
        <w:r w:rsidRPr="006D3A22">
          <w:rPr>
            <w:rStyle w:val="Hyperlink"/>
          </w:rPr>
          <w:t>4.2 Intangible assets</w:t>
        </w:r>
        <w:r>
          <w:rPr>
            <w:webHidden/>
          </w:rPr>
          <w:tab/>
        </w:r>
        <w:r>
          <w:rPr>
            <w:webHidden/>
          </w:rPr>
          <w:fldChar w:fldCharType="begin"/>
        </w:r>
        <w:r>
          <w:rPr>
            <w:webHidden/>
          </w:rPr>
          <w:instrText xml:space="preserve"> PAGEREF _Toc93659484 \h </w:instrText>
        </w:r>
        <w:r>
          <w:rPr>
            <w:webHidden/>
          </w:rPr>
        </w:r>
        <w:r>
          <w:rPr>
            <w:webHidden/>
          </w:rPr>
          <w:fldChar w:fldCharType="separate"/>
        </w:r>
        <w:r>
          <w:rPr>
            <w:webHidden/>
          </w:rPr>
          <w:t>137</w:t>
        </w:r>
        <w:r>
          <w:rPr>
            <w:webHidden/>
          </w:rPr>
          <w:fldChar w:fldCharType="end"/>
        </w:r>
      </w:hyperlink>
    </w:p>
    <w:p w14:paraId="04A56126" w14:textId="135B0879" w:rsidR="00926282" w:rsidRDefault="00926282">
      <w:pPr>
        <w:pStyle w:val="TOC3"/>
        <w:rPr>
          <w:rFonts w:asciiTheme="minorHAnsi" w:eastAsiaTheme="minorEastAsia" w:hAnsiTheme="minorHAnsi" w:cstheme="minorBidi"/>
          <w:color w:val="auto"/>
          <w:sz w:val="22"/>
          <w:szCs w:val="22"/>
        </w:rPr>
      </w:pPr>
      <w:hyperlink w:anchor="_Toc93659485" w:history="1">
        <w:r w:rsidRPr="006D3A22">
          <w:rPr>
            <w:rStyle w:val="Hyperlink"/>
          </w:rPr>
          <w:t>4.3 Non-current assets held for sale</w:t>
        </w:r>
        <w:r>
          <w:rPr>
            <w:webHidden/>
          </w:rPr>
          <w:tab/>
        </w:r>
        <w:r>
          <w:rPr>
            <w:webHidden/>
          </w:rPr>
          <w:fldChar w:fldCharType="begin"/>
        </w:r>
        <w:r>
          <w:rPr>
            <w:webHidden/>
          </w:rPr>
          <w:instrText xml:space="preserve"> PAGEREF _Toc93659485 \h </w:instrText>
        </w:r>
        <w:r>
          <w:rPr>
            <w:webHidden/>
          </w:rPr>
        </w:r>
        <w:r>
          <w:rPr>
            <w:webHidden/>
          </w:rPr>
          <w:fldChar w:fldCharType="separate"/>
        </w:r>
        <w:r>
          <w:rPr>
            <w:webHidden/>
          </w:rPr>
          <w:t>138</w:t>
        </w:r>
        <w:r>
          <w:rPr>
            <w:webHidden/>
          </w:rPr>
          <w:fldChar w:fldCharType="end"/>
        </w:r>
      </w:hyperlink>
    </w:p>
    <w:p w14:paraId="578C9EFC" w14:textId="0BB266A3" w:rsidR="00926282" w:rsidRDefault="00926282">
      <w:pPr>
        <w:pStyle w:val="TOC3"/>
        <w:rPr>
          <w:rFonts w:asciiTheme="minorHAnsi" w:eastAsiaTheme="minorEastAsia" w:hAnsiTheme="minorHAnsi" w:cstheme="minorBidi"/>
          <w:color w:val="auto"/>
          <w:sz w:val="22"/>
          <w:szCs w:val="22"/>
        </w:rPr>
      </w:pPr>
      <w:hyperlink w:anchor="_Toc93659486" w:history="1">
        <w:r w:rsidRPr="006D3A22">
          <w:rPr>
            <w:rStyle w:val="Hyperlink"/>
          </w:rPr>
          <w:t>4.4 Right of use assets and leases</w:t>
        </w:r>
        <w:r>
          <w:rPr>
            <w:webHidden/>
          </w:rPr>
          <w:tab/>
        </w:r>
        <w:r>
          <w:rPr>
            <w:webHidden/>
          </w:rPr>
          <w:fldChar w:fldCharType="begin"/>
        </w:r>
        <w:r>
          <w:rPr>
            <w:webHidden/>
          </w:rPr>
          <w:instrText xml:space="preserve"> PAGEREF _Toc93659486 \h </w:instrText>
        </w:r>
        <w:r>
          <w:rPr>
            <w:webHidden/>
          </w:rPr>
        </w:r>
        <w:r>
          <w:rPr>
            <w:webHidden/>
          </w:rPr>
          <w:fldChar w:fldCharType="separate"/>
        </w:r>
        <w:r>
          <w:rPr>
            <w:webHidden/>
          </w:rPr>
          <w:t>139</w:t>
        </w:r>
        <w:r>
          <w:rPr>
            <w:webHidden/>
          </w:rPr>
          <w:fldChar w:fldCharType="end"/>
        </w:r>
      </w:hyperlink>
    </w:p>
    <w:p w14:paraId="48BBFB85" w14:textId="50AB706B" w:rsidR="00926282" w:rsidRDefault="00926282">
      <w:pPr>
        <w:pStyle w:val="TOC2"/>
        <w:rPr>
          <w:rFonts w:asciiTheme="minorHAnsi" w:eastAsiaTheme="minorEastAsia" w:hAnsiTheme="minorHAnsi" w:cstheme="minorBidi"/>
          <w:noProof/>
          <w:color w:val="auto"/>
          <w:sz w:val="22"/>
          <w:szCs w:val="22"/>
        </w:rPr>
      </w:pPr>
      <w:hyperlink w:anchor="_Toc93659487" w:history="1">
        <w:r w:rsidRPr="006D3A22">
          <w:rPr>
            <w:rStyle w:val="Hyperlink"/>
            <w:noProof/>
          </w:rPr>
          <w:t>Financing Our Operations</w:t>
        </w:r>
        <w:r>
          <w:rPr>
            <w:noProof/>
            <w:webHidden/>
          </w:rPr>
          <w:tab/>
        </w:r>
        <w:r>
          <w:rPr>
            <w:noProof/>
            <w:webHidden/>
          </w:rPr>
          <w:fldChar w:fldCharType="begin"/>
        </w:r>
        <w:r>
          <w:rPr>
            <w:noProof/>
            <w:webHidden/>
          </w:rPr>
          <w:instrText xml:space="preserve"> PAGEREF _Toc93659487 \h </w:instrText>
        </w:r>
        <w:r>
          <w:rPr>
            <w:noProof/>
            <w:webHidden/>
          </w:rPr>
        </w:r>
        <w:r>
          <w:rPr>
            <w:noProof/>
            <w:webHidden/>
          </w:rPr>
          <w:fldChar w:fldCharType="separate"/>
        </w:r>
        <w:r>
          <w:rPr>
            <w:noProof/>
            <w:webHidden/>
          </w:rPr>
          <w:t>142</w:t>
        </w:r>
        <w:r>
          <w:rPr>
            <w:noProof/>
            <w:webHidden/>
          </w:rPr>
          <w:fldChar w:fldCharType="end"/>
        </w:r>
      </w:hyperlink>
    </w:p>
    <w:p w14:paraId="6EACEC37" w14:textId="6479C56F" w:rsidR="00926282" w:rsidRDefault="00926282">
      <w:pPr>
        <w:pStyle w:val="TOC3"/>
        <w:rPr>
          <w:rFonts w:asciiTheme="minorHAnsi" w:eastAsiaTheme="minorEastAsia" w:hAnsiTheme="minorHAnsi" w:cstheme="minorBidi"/>
          <w:color w:val="auto"/>
          <w:sz w:val="22"/>
          <w:szCs w:val="22"/>
        </w:rPr>
      </w:pPr>
      <w:hyperlink w:anchor="_Toc93659488" w:history="1">
        <w:r w:rsidRPr="006D3A22">
          <w:rPr>
            <w:rStyle w:val="Hyperlink"/>
          </w:rPr>
          <w:t>Introduction</w:t>
        </w:r>
        <w:r>
          <w:rPr>
            <w:webHidden/>
          </w:rPr>
          <w:tab/>
        </w:r>
        <w:r>
          <w:rPr>
            <w:webHidden/>
          </w:rPr>
          <w:fldChar w:fldCharType="begin"/>
        </w:r>
        <w:r>
          <w:rPr>
            <w:webHidden/>
          </w:rPr>
          <w:instrText xml:space="preserve"> PAGEREF _Toc93659488 \h </w:instrText>
        </w:r>
        <w:r>
          <w:rPr>
            <w:webHidden/>
          </w:rPr>
        </w:r>
        <w:r>
          <w:rPr>
            <w:webHidden/>
          </w:rPr>
          <w:fldChar w:fldCharType="separate"/>
        </w:r>
        <w:r>
          <w:rPr>
            <w:webHidden/>
          </w:rPr>
          <w:t>142</w:t>
        </w:r>
        <w:r>
          <w:rPr>
            <w:webHidden/>
          </w:rPr>
          <w:fldChar w:fldCharType="end"/>
        </w:r>
      </w:hyperlink>
    </w:p>
    <w:p w14:paraId="7AEEDE15" w14:textId="7BB36C57" w:rsidR="00926282" w:rsidRDefault="00926282">
      <w:pPr>
        <w:pStyle w:val="TOC3"/>
        <w:rPr>
          <w:rFonts w:asciiTheme="minorHAnsi" w:eastAsiaTheme="minorEastAsia" w:hAnsiTheme="minorHAnsi" w:cstheme="minorBidi"/>
          <w:color w:val="auto"/>
          <w:sz w:val="22"/>
          <w:szCs w:val="22"/>
        </w:rPr>
      </w:pPr>
      <w:hyperlink w:anchor="_Toc93659489" w:history="1">
        <w:r w:rsidRPr="006D3A22">
          <w:rPr>
            <w:rStyle w:val="Hyperlink"/>
          </w:rPr>
          <w:t>5.1 Interest bearing liabilities</w:t>
        </w:r>
        <w:r>
          <w:rPr>
            <w:webHidden/>
          </w:rPr>
          <w:tab/>
        </w:r>
        <w:r>
          <w:rPr>
            <w:webHidden/>
          </w:rPr>
          <w:fldChar w:fldCharType="begin"/>
        </w:r>
        <w:r>
          <w:rPr>
            <w:webHidden/>
          </w:rPr>
          <w:instrText xml:space="preserve"> PAGEREF _Toc93659489 \h </w:instrText>
        </w:r>
        <w:r>
          <w:rPr>
            <w:webHidden/>
          </w:rPr>
        </w:r>
        <w:r>
          <w:rPr>
            <w:webHidden/>
          </w:rPr>
          <w:fldChar w:fldCharType="separate"/>
        </w:r>
        <w:r>
          <w:rPr>
            <w:webHidden/>
          </w:rPr>
          <w:t>143</w:t>
        </w:r>
        <w:r>
          <w:rPr>
            <w:webHidden/>
          </w:rPr>
          <w:fldChar w:fldCharType="end"/>
        </w:r>
      </w:hyperlink>
    </w:p>
    <w:p w14:paraId="38CABF3E" w14:textId="25FDAA45" w:rsidR="00926282" w:rsidRDefault="00926282">
      <w:pPr>
        <w:pStyle w:val="TOC3"/>
        <w:rPr>
          <w:rFonts w:asciiTheme="minorHAnsi" w:eastAsiaTheme="minorEastAsia" w:hAnsiTheme="minorHAnsi" w:cstheme="minorBidi"/>
          <w:color w:val="auto"/>
          <w:sz w:val="22"/>
          <w:szCs w:val="22"/>
        </w:rPr>
      </w:pPr>
      <w:hyperlink w:anchor="_Toc93659490" w:history="1">
        <w:r w:rsidRPr="006D3A22">
          <w:rPr>
            <w:rStyle w:val="Hyperlink"/>
          </w:rPr>
          <w:t>5.2 Cash flow information and balances</w:t>
        </w:r>
        <w:r>
          <w:rPr>
            <w:webHidden/>
          </w:rPr>
          <w:tab/>
        </w:r>
        <w:r>
          <w:rPr>
            <w:webHidden/>
          </w:rPr>
          <w:fldChar w:fldCharType="begin"/>
        </w:r>
        <w:r>
          <w:rPr>
            <w:webHidden/>
          </w:rPr>
          <w:instrText xml:space="preserve"> PAGEREF _Toc93659490 \h </w:instrText>
        </w:r>
        <w:r>
          <w:rPr>
            <w:webHidden/>
          </w:rPr>
        </w:r>
        <w:r>
          <w:rPr>
            <w:webHidden/>
          </w:rPr>
          <w:fldChar w:fldCharType="separate"/>
        </w:r>
        <w:r>
          <w:rPr>
            <w:webHidden/>
          </w:rPr>
          <w:t>144</w:t>
        </w:r>
        <w:r>
          <w:rPr>
            <w:webHidden/>
          </w:rPr>
          <w:fldChar w:fldCharType="end"/>
        </w:r>
      </w:hyperlink>
    </w:p>
    <w:p w14:paraId="551791DA" w14:textId="1141AC15" w:rsidR="00926282" w:rsidRDefault="00926282">
      <w:pPr>
        <w:pStyle w:val="TOC3"/>
        <w:rPr>
          <w:rFonts w:asciiTheme="minorHAnsi" w:eastAsiaTheme="minorEastAsia" w:hAnsiTheme="minorHAnsi" w:cstheme="minorBidi"/>
          <w:color w:val="auto"/>
          <w:sz w:val="22"/>
          <w:szCs w:val="22"/>
        </w:rPr>
      </w:pPr>
      <w:hyperlink w:anchor="_Toc93659491" w:history="1">
        <w:r w:rsidRPr="006D3A22">
          <w:rPr>
            <w:rStyle w:val="Hyperlink"/>
          </w:rPr>
          <w:t>5.3 Commitments</w:t>
        </w:r>
        <w:r>
          <w:rPr>
            <w:webHidden/>
          </w:rPr>
          <w:tab/>
        </w:r>
        <w:r>
          <w:rPr>
            <w:webHidden/>
          </w:rPr>
          <w:fldChar w:fldCharType="begin"/>
        </w:r>
        <w:r>
          <w:rPr>
            <w:webHidden/>
          </w:rPr>
          <w:instrText xml:space="preserve"> PAGEREF _Toc93659491 \h </w:instrText>
        </w:r>
        <w:r>
          <w:rPr>
            <w:webHidden/>
          </w:rPr>
        </w:r>
        <w:r>
          <w:rPr>
            <w:webHidden/>
          </w:rPr>
          <w:fldChar w:fldCharType="separate"/>
        </w:r>
        <w:r>
          <w:rPr>
            <w:webHidden/>
          </w:rPr>
          <w:t>146</w:t>
        </w:r>
        <w:r>
          <w:rPr>
            <w:webHidden/>
          </w:rPr>
          <w:fldChar w:fldCharType="end"/>
        </w:r>
      </w:hyperlink>
    </w:p>
    <w:p w14:paraId="04433A5B" w14:textId="66ACF8FD" w:rsidR="00926282" w:rsidRDefault="00926282">
      <w:pPr>
        <w:pStyle w:val="TOC3"/>
        <w:rPr>
          <w:rFonts w:asciiTheme="minorHAnsi" w:eastAsiaTheme="minorEastAsia" w:hAnsiTheme="minorHAnsi" w:cstheme="minorBidi"/>
          <w:color w:val="auto"/>
          <w:sz w:val="22"/>
          <w:szCs w:val="22"/>
        </w:rPr>
      </w:pPr>
      <w:hyperlink w:anchor="_Toc93659492" w:history="1">
        <w:r w:rsidRPr="006D3A22">
          <w:rPr>
            <w:rStyle w:val="Hyperlink"/>
          </w:rPr>
          <w:t>5.4 Victorian Desalination Plant service concession arrangement</w:t>
        </w:r>
        <w:r>
          <w:rPr>
            <w:webHidden/>
          </w:rPr>
          <w:tab/>
        </w:r>
        <w:r>
          <w:rPr>
            <w:webHidden/>
          </w:rPr>
          <w:fldChar w:fldCharType="begin"/>
        </w:r>
        <w:r>
          <w:rPr>
            <w:webHidden/>
          </w:rPr>
          <w:instrText xml:space="preserve"> PAGEREF _Toc93659492 \h </w:instrText>
        </w:r>
        <w:r>
          <w:rPr>
            <w:webHidden/>
          </w:rPr>
        </w:r>
        <w:r>
          <w:rPr>
            <w:webHidden/>
          </w:rPr>
          <w:fldChar w:fldCharType="separate"/>
        </w:r>
        <w:r>
          <w:rPr>
            <w:webHidden/>
          </w:rPr>
          <w:t>147</w:t>
        </w:r>
        <w:r>
          <w:rPr>
            <w:webHidden/>
          </w:rPr>
          <w:fldChar w:fldCharType="end"/>
        </w:r>
      </w:hyperlink>
    </w:p>
    <w:p w14:paraId="22226697" w14:textId="080599B7" w:rsidR="00926282" w:rsidRDefault="00926282">
      <w:pPr>
        <w:pStyle w:val="TOC2"/>
        <w:rPr>
          <w:rFonts w:asciiTheme="minorHAnsi" w:eastAsiaTheme="minorEastAsia" w:hAnsiTheme="minorHAnsi" w:cstheme="minorBidi"/>
          <w:noProof/>
          <w:color w:val="auto"/>
          <w:sz w:val="22"/>
          <w:szCs w:val="22"/>
        </w:rPr>
      </w:pPr>
      <w:hyperlink w:anchor="_Toc93659493" w:history="1">
        <w:r w:rsidRPr="006D3A22">
          <w:rPr>
            <w:rStyle w:val="Hyperlink"/>
            <w:noProof/>
          </w:rPr>
          <w:t>Risk management</w:t>
        </w:r>
        <w:r>
          <w:rPr>
            <w:noProof/>
            <w:webHidden/>
          </w:rPr>
          <w:tab/>
        </w:r>
        <w:r>
          <w:rPr>
            <w:noProof/>
            <w:webHidden/>
          </w:rPr>
          <w:fldChar w:fldCharType="begin"/>
        </w:r>
        <w:r>
          <w:rPr>
            <w:noProof/>
            <w:webHidden/>
          </w:rPr>
          <w:instrText xml:space="preserve"> PAGEREF _Toc93659493 \h </w:instrText>
        </w:r>
        <w:r>
          <w:rPr>
            <w:noProof/>
            <w:webHidden/>
          </w:rPr>
        </w:r>
        <w:r>
          <w:rPr>
            <w:noProof/>
            <w:webHidden/>
          </w:rPr>
          <w:fldChar w:fldCharType="separate"/>
        </w:r>
        <w:r>
          <w:rPr>
            <w:noProof/>
            <w:webHidden/>
          </w:rPr>
          <w:t>149</w:t>
        </w:r>
        <w:r>
          <w:rPr>
            <w:noProof/>
            <w:webHidden/>
          </w:rPr>
          <w:fldChar w:fldCharType="end"/>
        </w:r>
      </w:hyperlink>
    </w:p>
    <w:p w14:paraId="1CC664CE" w14:textId="09926561" w:rsidR="00926282" w:rsidRDefault="00926282">
      <w:pPr>
        <w:pStyle w:val="TOC3"/>
        <w:rPr>
          <w:rFonts w:asciiTheme="minorHAnsi" w:eastAsiaTheme="minorEastAsia" w:hAnsiTheme="minorHAnsi" w:cstheme="minorBidi"/>
          <w:color w:val="auto"/>
          <w:sz w:val="22"/>
          <w:szCs w:val="22"/>
        </w:rPr>
      </w:pPr>
      <w:hyperlink w:anchor="_Toc93659494" w:history="1">
        <w:r w:rsidRPr="006D3A22">
          <w:rPr>
            <w:rStyle w:val="Hyperlink"/>
          </w:rPr>
          <w:t>Introduction</w:t>
        </w:r>
        <w:r>
          <w:rPr>
            <w:webHidden/>
          </w:rPr>
          <w:tab/>
        </w:r>
        <w:r>
          <w:rPr>
            <w:webHidden/>
          </w:rPr>
          <w:fldChar w:fldCharType="begin"/>
        </w:r>
        <w:r>
          <w:rPr>
            <w:webHidden/>
          </w:rPr>
          <w:instrText xml:space="preserve"> PAGEREF _Toc93659494 \h </w:instrText>
        </w:r>
        <w:r>
          <w:rPr>
            <w:webHidden/>
          </w:rPr>
        </w:r>
        <w:r>
          <w:rPr>
            <w:webHidden/>
          </w:rPr>
          <w:fldChar w:fldCharType="separate"/>
        </w:r>
        <w:r>
          <w:rPr>
            <w:webHidden/>
          </w:rPr>
          <w:t>149</w:t>
        </w:r>
        <w:r>
          <w:rPr>
            <w:webHidden/>
          </w:rPr>
          <w:fldChar w:fldCharType="end"/>
        </w:r>
      </w:hyperlink>
    </w:p>
    <w:p w14:paraId="02160449" w14:textId="36B0FADD" w:rsidR="00926282" w:rsidRDefault="00926282">
      <w:pPr>
        <w:pStyle w:val="TOC3"/>
        <w:rPr>
          <w:rFonts w:asciiTheme="minorHAnsi" w:eastAsiaTheme="minorEastAsia" w:hAnsiTheme="minorHAnsi" w:cstheme="minorBidi"/>
          <w:color w:val="auto"/>
          <w:sz w:val="22"/>
          <w:szCs w:val="22"/>
        </w:rPr>
      </w:pPr>
      <w:hyperlink w:anchor="_Toc93659495" w:history="1">
        <w:r w:rsidRPr="006D3A22">
          <w:rPr>
            <w:rStyle w:val="Hyperlink"/>
          </w:rPr>
          <w:t>6.1 Financial instruments</w:t>
        </w:r>
        <w:r>
          <w:rPr>
            <w:webHidden/>
          </w:rPr>
          <w:tab/>
        </w:r>
        <w:r>
          <w:rPr>
            <w:webHidden/>
          </w:rPr>
          <w:fldChar w:fldCharType="begin"/>
        </w:r>
        <w:r>
          <w:rPr>
            <w:webHidden/>
          </w:rPr>
          <w:instrText xml:space="preserve"> PAGEREF _Toc93659495 \h </w:instrText>
        </w:r>
        <w:r>
          <w:rPr>
            <w:webHidden/>
          </w:rPr>
        </w:r>
        <w:r>
          <w:rPr>
            <w:webHidden/>
          </w:rPr>
          <w:fldChar w:fldCharType="separate"/>
        </w:r>
        <w:r>
          <w:rPr>
            <w:webHidden/>
          </w:rPr>
          <w:t>150</w:t>
        </w:r>
        <w:r>
          <w:rPr>
            <w:webHidden/>
          </w:rPr>
          <w:fldChar w:fldCharType="end"/>
        </w:r>
      </w:hyperlink>
    </w:p>
    <w:p w14:paraId="21AF2902" w14:textId="21683ED3" w:rsidR="00926282" w:rsidRDefault="00926282">
      <w:pPr>
        <w:pStyle w:val="TOC3"/>
        <w:rPr>
          <w:rFonts w:asciiTheme="minorHAnsi" w:eastAsiaTheme="minorEastAsia" w:hAnsiTheme="minorHAnsi" w:cstheme="minorBidi"/>
          <w:color w:val="auto"/>
          <w:sz w:val="22"/>
          <w:szCs w:val="22"/>
        </w:rPr>
      </w:pPr>
      <w:hyperlink w:anchor="_Toc93659496" w:history="1">
        <w:r w:rsidRPr="006D3A22">
          <w:rPr>
            <w:rStyle w:val="Hyperlink"/>
          </w:rPr>
          <w:t>6.2 Fair value determination of financial assets and liabilities</w:t>
        </w:r>
        <w:r>
          <w:rPr>
            <w:webHidden/>
          </w:rPr>
          <w:tab/>
        </w:r>
        <w:r>
          <w:rPr>
            <w:webHidden/>
          </w:rPr>
          <w:fldChar w:fldCharType="begin"/>
        </w:r>
        <w:r>
          <w:rPr>
            <w:webHidden/>
          </w:rPr>
          <w:instrText xml:space="preserve"> PAGEREF _Toc93659496 \h </w:instrText>
        </w:r>
        <w:r>
          <w:rPr>
            <w:webHidden/>
          </w:rPr>
        </w:r>
        <w:r>
          <w:rPr>
            <w:webHidden/>
          </w:rPr>
          <w:fldChar w:fldCharType="separate"/>
        </w:r>
        <w:r>
          <w:rPr>
            <w:webHidden/>
          </w:rPr>
          <w:t>157</w:t>
        </w:r>
        <w:r>
          <w:rPr>
            <w:webHidden/>
          </w:rPr>
          <w:fldChar w:fldCharType="end"/>
        </w:r>
      </w:hyperlink>
    </w:p>
    <w:p w14:paraId="57C4E5F4" w14:textId="03E23483" w:rsidR="00926282" w:rsidRDefault="00926282">
      <w:pPr>
        <w:pStyle w:val="TOC3"/>
        <w:rPr>
          <w:rFonts w:asciiTheme="minorHAnsi" w:eastAsiaTheme="minorEastAsia" w:hAnsiTheme="minorHAnsi" w:cstheme="minorBidi"/>
          <w:color w:val="auto"/>
          <w:sz w:val="22"/>
          <w:szCs w:val="22"/>
        </w:rPr>
      </w:pPr>
      <w:hyperlink w:anchor="_Toc93659497" w:history="1">
        <w:r w:rsidRPr="006D3A22">
          <w:rPr>
            <w:rStyle w:val="Hyperlink"/>
          </w:rPr>
          <w:t>6.3 Contingent assets and liabilities</w:t>
        </w:r>
        <w:r>
          <w:rPr>
            <w:webHidden/>
          </w:rPr>
          <w:tab/>
        </w:r>
        <w:r>
          <w:rPr>
            <w:webHidden/>
          </w:rPr>
          <w:fldChar w:fldCharType="begin"/>
        </w:r>
        <w:r>
          <w:rPr>
            <w:webHidden/>
          </w:rPr>
          <w:instrText xml:space="preserve"> PAGEREF _Toc93659497 \h </w:instrText>
        </w:r>
        <w:r>
          <w:rPr>
            <w:webHidden/>
          </w:rPr>
        </w:r>
        <w:r>
          <w:rPr>
            <w:webHidden/>
          </w:rPr>
          <w:fldChar w:fldCharType="separate"/>
        </w:r>
        <w:r>
          <w:rPr>
            <w:webHidden/>
          </w:rPr>
          <w:t>158</w:t>
        </w:r>
        <w:r>
          <w:rPr>
            <w:webHidden/>
          </w:rPr>
          <w:fldChar w:fldCharType="end"/>
        </w:r>
      </w:hyperlink>
    </w:p>
    <w:p w14:paraId="37B6A346" w14:textId="5417AD43" w:rsidR="00926282" w:rsidRDefault="00926282">
      <w:pPr>
        <w:pStyle w:val="TOC2"/>
        <w:rPr>
          <w:rFonts w:asciiTheme="minorHAnsi" w:eastAsiaTheme="minorEastAsia" w:hAnsiTheme="minorHAnsi" w:cstheme="minorBidi"/>
          <w:noProof/>
          <w:color w:val="auto"/>
          <w:sz w:val="22"/>
          <w:szCs w:val="22"/>
        </w:rPr>
      </w:pPr>
      <w:hyperlink w:anchor="_Toc93659498" w:history="1">
        <w:r w:rsidRPr="006D3A22">
          <w:rPr>
            <w:rStyle w:val="Hyperlink"/>
            <w:noProof/>
          </w:rPr>
          <w:t>Other Disclosures</w:t>
        </w:r>
        <w:r>
          <w:rPr>
            <w:noProof/>
            <w:webHidden/>
          </w:rPr>
          <w:tab/>
        </w:r>
        <w:r>
          <w:rPr>
            <w:noProof/>
            <w:webHidden/>
          </w:rPr>
          <w:fldChar w:fldCharType="begin"/>
        </w:r>
        <w:r>
          <w:rPr>
            <w:noProof/>
            <w:webHidden/>
          </w:rPr>
          <w:instrText xml:space="preserve"> PAGEREF _Toc93659498 \h </w:instrText>
        </w:r>
        <w:r>
          <w:rPr>
            <w:noProof/>
            <w:webHidden/>
          </w:rPr>
        </w:r>
        <w:r>
          <w:rPr>
            <w:noProof/>
            <w:webHidden/>
          </w:rPr>
          <w:fldChar w:fldCharType="separate"/>
        </w:r>
        <w:r>
          <w:rPr>
            <w:noProof/>
            <w:webHidden/>
          </w:rPr>
          <w:t>159</w:t>
        </w:r>
        <w:r>
          <w:rPr>
            <w:noProof/>
            <w:webHidden/>
          </w:rPr>
          <w:fldChar w:fldCharType="end"/>
        </w:r>
      </w:hyperlink>
    </w:p>
    <w:p w14:paraId="74A281E7" w14:textId="684427E5" w:rsidR="00926282" w:rsidRDefault="00926282">
      <w:pPr>
        <w:pStyle w:val="TOC3"/>
        <w:rPr>
          <w:rFonts w:asciiTheme="minorHAnsi" w:eastAsiaTheme="minorEastAsia" w:hAnsiTheme="minorHAnsi" w:cstheme="minorBidi"/>
          <w:color w:val="auto"/>
          <w:sz w:val="22"/>
          <w:szCs w:val="22"/>
        </w:rPr>
      </w:pPr>
      <w:hyperlink w:anchor="_Toc93659499" w:history="1">
        <w:r w:rsidRPr="006D3A22">
          <w:rPr>
            <w:rStyle w:val="Hyperlink"/>
          </w:rPr>
          <w:t>Introduction</w:t>
        </w:r>
        <w:r>
          <w:rPr>
            <w:webHidden/>
          </w:rPr>
          <w:tab/>
        </w:r>
        <w:r>
          <w:rPr>
            <w:webHidden/>
          </w:rPr>
          <w:fldChar w:fldCharType="begin"/>
        </w:r>
        <w:r>
          <w:rPr>
            <w:webHidden/>
          </w:rPr>
          <w:instrText xml:space="preserve"> PAGEREF _Toc93659499 \h </w:instrText>
        </w:r>
        <w:r>
          <w:rPr>
            <w:webHidden/>
          </w:rPr>
        </w:r>
        <w:r>
          <w:rPr>
            <w:webHidden/>
          </w:rPr>
          <w:fldChar w:fldCharType="separate"/>
        </w:r>
        <w:r>
          <w:rPr>
            <w:webHidden/>
          </w:rPr>
          <w:t>159</w:t>
        </w:r>
        <w:r>
          <w:rPr>
            <w:webHidden/>
          </w:rPr>
          <w:fldChar w:fldCharType="end"/>
        </w:r>
      </w:hyperlink>
    </w:p>
    <w:p w14:paraId="195E7414" w14:textId="6CF4262C" w:rsidR="00926282" w:rsidRDefault="00926282">
      <w:pPr>
        <w:pStyle w:val="TOC3"/>
        <w:rPr>
          <w:rFonts w:asciiTheme="minorHAnsi" w:eastAsiaTheme="minorEastAsia" w:hAnsiTheme="minorHAnsi" w:cstheme="minorBidi"/>
          <w:color w:val="auto"/>
          <w:sz w:val="22"/>
          <w:szCs w:val="22"/>
        </w:rPr>
      </w:pPr>
      <w:hyperlink w:anchor="_Toc93659500" w:history="1">
        <w:r w:rsidRPr="006D3A22">
          <w:rPr>
            <w:rStyle w:val="Hyperlink"/>
          </w:rPr>
          <w:t>7.1 Superannuation – defined benefit plan</w:t>
        </w:r>
        <w:r>
          <w:rPr>
            <w:webHidden/>
          </w:rPr>
          <w:tab/>
        </w:r>
        <w:r>
          <w:rPr>
            <w:webHidden/>
          </w:rPr>
          <w:fldChar w:fldCharType="begin"/>
        </w:r>
        <w:r>
          <w:rPr>
            <w:webHidden/>
          </w:rPr>
          <w:instrText xml:space="preserve"> PAGEREF _Toc93659500 \h </w:instrText>
        </w:r>
        <w:r>
          <w:rPr>
            <w:webHidden/>
          </w:rPr>
        </w:r>
        <w:r>
          <w:rPr>
            <w:webHidden/>
          </w:rPr>
          <w:fldChar w:fldCharType="separate"/>
        </w:r>
        <w:r>
          <w:rPr>
            <w:webHidden/>
          </w:rPr>
          <w:t>159</w:t>
        </w:r>
        <w:r>
          <w:rPr>
            <w:webHidden/>
          </w:rPr>
          <w:fldChar w:fldCharType="end"/>
        </w:r>
      </w:hyperlink>
    </w:p>
    <w:p w14:paraId="5797F22A" w14:textId="4444A11F" w:rsidR="00926282" w:rsidRDefault="00926282">
      <w:pPr>
        <w:pStyle w:val="TOC3"/>
        <w:rPr>
          <w:rFonts w:asciiTheme="minorHAnsi" w:eastAsiaTheme="minorEastAsia" w:hAnsiTheme="minorHAnsi" w:cstheme="minorBidi"/>
          <w:color w:val="auto"/>
          <w:sz w:val="22"/>
          <w:szCs w:val="22"/>
        </w:rPr>
      </w:pPr>
      <w:hyperlink w:anchor="_Toc93659501" w:history="1">
        <w:r w:rsidRPr="006D3A22">
          <w:rPr>
            <w:rStyle w:val="Hyperlink"/>
          </w:rPr>
          <w:t>7.2 Responsible persons</w:t>
        </w:r>
        <w:r>
          <w:rPr>
            <w:webHidden/>
          </w:rPr>
          <w:tab/>
        </w:r>
        <w:r>
          <w:rPr>
            <w:webHidden/>
          </w:rPr>
          <w:fldChar w:fldCharType="begin"/>
        </w:r>
        <w:r>
          <w:rPr>
            <w:webHidden/>
          </w:rPr>
          <w:instrText xml:space="preserve"> PAGEREF _Toc93659501 \h </w:instrText>
        </w:r>
        <w:r>
          <w:rPr>
            <w:webHidden/>
          </w:rPr>
        </w:r>
        <w:r>
          <w:rPr>
            <w:webHidden/>
          </w:rPr>
          <w:fldChar w:fldCharType="separate"/>
        </w:r>
        <w:r>
          <w:rPr>
            <w:webHidden/>
          </w:rPr>
          <w:t>163</w:t>
        </w:r>
        <w:r>
          <w:rPr>
            <w:webHidden/>
          </w:rPr>
          <w:fldChar w:fldCharType="end"/>
        </w:r>
      </w:hyperlink>
    </w:p>
    <w:p w14:paraId="7B32195C" w14:textId="30F76F48" w:rsidR="00926282" w:rsidRDefault="00926282">
      <w:pPr>
        <w:pStyle w:val="TOC3"/>
        <w:rPr>
          <w:rFonts w:asciiTheme="minorHAnsi" w:eastAsiaTheme="minorEastAsia" w:hAnsiTheme="minorHAnsi" w:cstheme="minorBidi"/>
          <w:color w:val="auto"/>
          <w:sz w:val="22"/>
          <w:szCs w:val="22"/>
        </w:rPr>
      </w:pPr>
      <w:hyperlink w:anchor="_Toc93659502" w:history="1">
        <w:r w:rsidRPr="006D3A22">
          <w:rPr>
            <w:rStyle w:val="Hyperlink"/>
          </w:rPr>
          <w:t>7.3 Remuneration of executives</w:t>
        </w:r>
        <w:r>
          <w:rPr>
            <w:webHidden/>
          </w:rPr>
          <w:tab/>
        </w:r>
        <w:r>
          <w:rPr>
            <w:webHidden/>
          </w:rPr>
          <w:fldChar w:fldCharType="begin"/>
        </w:r>
        <w:r>
          <w:rPr>
            <w:webHidden/>
          </w:rPr>
          <w:instrText xml:space="preserve"> PAGEREF _Toc93659502 \h </w:instrText>
        </w:r>
        <w:r>
          <w:rPr>
            <w:webHidden/>
          </w:rPr>
        </w:r>
        <w:r>
          <w:rPr>
            <w:webHidden/>
          </w:rPr>
          <w:fldChar w:fldCharType="separate"/>
        </w:r>
        <w:r>
          <w:rPr>
            <w:webHidden/>
          </w:rPr>
          <w:t>164</w:t>
        </w:r>
        <w:r>
          <w:rPr>
            <w:webHidden/>
          </w:rPr>
          <w:fldChar w:fldCharType="end"/>
        </w:r>
      </w:hyperlink>
    </w:p>
    <w:p w14:paraId="4C03D209" w14:textId="02CF2074" w:rsidR="00926282" w:rsidRDefault="00926282">
      <w:pPr>
        <w:pStyle w:val="TOC3"/>
        <w:rPr>
          <w:rFonts w:asciiTheme="minorHAnsi" w:eastAsiaTheme="minorEastAsia" w:hAnsiTheme="minorHAnsi" w:cstheme="minorBidi"/>
          <w:color w:val="auto"/>
          <w:sz w:val="22"/>
          <w:szCs w:val="22"/>
        </w:rPr>
      </w:pPr>
      <w:hyperlink w:anchor="_Toc93659503" w:history="1">
        <w:r w:rsidRPr="006D3A22">
          <w:rPr>
            <w:rStyle w:val="Hyperlink"/>
          </w:rPr>
          <w:t>7.4 Related parties</w:t>
        </w:r>
        <w:r>
          <w:rPr>
            <w:webHidden/>
          </w:rPr>
          <w:tab/>
        </w:r>
        <w:r>
          <w:rPr>
            <w:webHidden/>
          </w:rPr>
          <w:fldChar w:fldCharType="begin"/>
        </w:r>
        <w:r>
          <w:rPr>
            <w:webHidden/>
          </w:rPr>
          <w:instrText xml:space="preserve"> PAGEREF _Toc93659503 \h </w:instrText>
        </w:r>
        <w:r>
          <w:rPr>
            <w:webHidden/>
          </w:rPr>
        </w:r>
        <w:r>
          <w:rPr>
            <w:webHidden/>
          </w:rPr>
          <w:fldChar w:fldCharType="separate"/>
        </w:r>
        <w:r>
          <w:rPr>
            <w:webHidden/>
          </w:rPr>
          <w:t>165</w:t>
        </w:r>
        <w:r>
          <w:rPr>
            <w:webHidden/>
          </w:rPr>
          <w:fldChar w:fldCharType="end"/>
        </w:r>
      </w:hyperlink>
    </w:p>
    <w:p w14:paraId="499D8799" w14:textId="745CB5CB" w:rsidR="00926282" w:rsidRDefault="00926282">
      <w:pPr>
        <w:pStyle w:val="TOC3"/>
        <w:rPr>
          <w:rFonts w:asciiTheme="minorHAnsi" w:eastAsiaTheme="minorEastAsia" w:hAnsiTheme="minorHAnsi" w:cstheme="minorBidi"/>
          <w:color w:val="auto"/>
          <w:sz w:val="22"/>
          <w:szCs w:val="22"/>
        </w:rPr>
      </w:pPr>
      <w:hyperlink w:anchor="_Toc93659504" w:history="1">
        <w:r w:rsidRPr="006D3A22">
          <w:rPr>
            <w:rStyle w:val="Hyperlink"/>
          </w:rPr>
          <w:t>7.5 Remuneration of auditors</w:t>
        </w:r>
        <w:r>
          <w:rPr>
            <w:webHidden/>
          </w:rPr>
          <w:tab/>
        </w:r>
        <w:r>
          <w:rPr>
            <w:webHidden/>
          </w:rPr>
          <w:fldChar w:fldCharType="begin"/>
        </w:r>
        <w:r>
          <w:rPr>
            <w:webHidden/>
          </w:rPr>
          <w:instrText xml:space="preserve"> PAGEREF _Toc93659504 \h </w:instrText>
        </w:r>
        <w:r>
          <w:rPr>
            <w:webHidden/>
          </w:rPr>
        </w:r>
        <w:r>
          <w:rPr>
            <w:webHidden/>
          </w:rPr>
          <w:fldChar w:fldCharType="separate"/>
        </w:r>
        <w:r>
          <w:rPr>
            <w:webHidden/>
          </w:rPr>
          <w:t>170</w:t>
        </w:r>
        <w:r>
          <w:rPr>
            <w:webHidden/>
          </w:rPr>
          <w:fldChar w:fldCharType="end"/>
        </w:r>
      </w:hyperlink>
    </w:p>
    <w:p w14:paraId="3B67DABD" w14:textId="498A419A" w:rsidR="00926282" w:rsidRDefault="00926282">
      <w:pPr>
        <w:pStyle w:val="TOC3"/>
        <w:rPr>
          <w:rFonts w:asciiTheme="minorHAnsi" w:eastAsiaTheme="minorEastAsia" w:hAnsiTheme="minorHAnsi" w:cstheme="minorBidi"/>
          <w:color w:val="auto"/>
          <w:sz w:val="22"/>
          <w:szCs w:val="22"/>
        </w:rPr>
      </w:pPr>
      <w:hyperlink w:anchor="_Toc93659505" w:history="1">
        <w:r w:rsidRPr="006D3A22">
          <w:rPr>
            <w:rStyle w:val="Hyperlink"/>
          </w:rPr>
          <w:t>7.6 Ex-gratia expenses</w:t>
        </w:r>
        <w:r>
          <w:rPr>
            <w:webHidden/>
          </w:rPr>
          <w:tab/>
        </w:r>
        <w:r>
          <w:rPr>
            <w:webHidden/>
          </w:rPr>
          <w:fldChar w:fldCharType="begin"/>
        </w:r>
        <w:r>
          <w:rPr>
            <w:webHidden/>
          </w:rPr>
          <w:instrText xml:space="preserve"> PAGEREF _Toc93659505 \h </w:instrText>
        </w:r>
        <w:r>
          <w:rPr>
            <w:webHidden/>
          </w:rPr>
        </w:r>
        <w:r>
          <w:rPr>
            <w:webHidden/>
          </w:rPr>
          <w:fldChar w:fldCharType="separate"/>
        </w:r>
        <w:r>
          <w:rPr>
            <w:webHidden/>
          </w:rPr>
          <w:t>170</w:t>
        </w:r>
        <w:r>
          <w:rPr>
            <w:webHidden/>
          </w:rPr>
          <w:fldChar w:fldCharType="end"/>
        </w:r>
      </w:hyperlink>
    </w:p>
    <w:p w14:paraId="1A3F5C8E" w14:textId="6F3F5FDF" w:rsidR="00926282" w:rsidRDefault="00926282">
      <w:pPr>
        <w:pStyle w:val="TOC3"/>
        <w:rPr>
          <w:rFonts w:asciiTheme="minorHAnsi" w:eastAsiaTheme="minorEastAsia" w:hAnsiTheme="minorHAnsi" w:cstheme="minorBidi"/>
          <w:color w:val="auto"/>
          <w:sz w:val="22"/>
          <w:szCs w:val="22"/>
        </w:rPr>
      </w:pPr>
      <w:hyperlink w:anchor="_Toc93659506" w:history="1">
        <w:r w:rsidRPr="006D3A22">
          <w:rPr>
            <w:rStyle w:val="Hyperlink"/>
          </w:rPr>
          <w:t>7.7 Subsequent events</w:t>
        </w:r>
        <w:r>
          <w:rPr>
            <w:webHidden/>
          </w:rPr>
          <w:tab/>
        </w:r>
        <w:r>
          <w:rPr>
            <w:webHidden/>
          </w:rPr>
          <w:fldChar w:fldCharType="begin"/>
        </w:r>
        <w:r>
          <w:rPr>
            <w:webHidden/>
          </w:rPr>
          <w:instrText xml:space="preserve"> PAGEREF _Toc93659506 \h </w:instrText>
        </w:r>
        <w:r>
          <w:rPr>
            <w:webHidden/>
          </w:rPr>
        </w:r>
        <w:r>
          <w:rPr>
            <w:webHidden/>
          </w:rPr>
          <w:fldChar w:fldCharType="separate"/>
        </w:r>
        <w:r>
          <w:rPr>
            <w:webHidden/>
          </w:rPr>
          <w:t>170</w:t>
        </w:r>
        <w:r>
          <w:rPr>
            <w:webHidden/>
          </w:rPr>
          <w:fldChar w:fldCharType="end"/>
        </w:r>
      </w:hyperlink>
    </w:p>
    <w:p w14:paraId="0BCE698A" w14:textId="23676625" w:rsidR="00926282" w:rsidRDefault="00926282">
      <w:pPr>
        <w:pStyle w:val="TOC3"/>
        <w:rPr>
          <w:rFonts w:asciiTheme="minorHAnsi" w:eastAsiaTheme="minorEastAsia" w:hAnsiTheme="minorHAnsi" w:cstheme="minorBidi"/>
          <w:color w:val="auto"/>
          <w:sz w:val="22"/>
          <w:szCs w:val="22"/>
        </w:rPr>
      </w:pPr>
      <w:hyperlink w:anchor="_Toc93659507" w:history="1">
        <w:r w:rsidRPr="006D3A22">
          <w:rPr>
            <w:rStyle w:val="Hyperlink"/>
          </w:rPr>
          <w:t>7.8 Prospective accounting and reporting changes</w:t>
        </w:r>
        <w:r>
          <w:rPr>
            <w:webHidden/>
          </w:rPr>
          <w:tab/>
        </w:r>
        <w:r>
          <w:rPr>
            <w:webHidden/>
          </w:rPr>
          <w:fldChar w:fldCharType="begin"/>
        </w:r>
        <w:r>
          <w:rPr>
            <w:webHidden/>
          </w:rPr>
          <w:instrText xml:space="preserve"> PAGEREF _Toc93659507 \h </w:instrText>
        </w:r>
        <w:r>
          <w:rPr>
            <w:webHidden/>
          </w:rPr>
        </w:r>
        <w:r>
          <w:rPr>
            <w:webHidden/>
          </w:rPr>
          <w:fldChar w:fldCharType="separate"/>
        </w:r>
        <w:r>
          <w:rPr>
            <w:webHidden/>
          </w:rPr>
          <w:t>170</w:t>
        </w:r>
        <w:r>
          <w:rPr>
            <w:webHidden/>
          </w:rPr>
          <w:fldChar w:fldCharType="end"/>
        </w:r>
      </w:hyperlink>
    </w:p>
    <w:p w14:paraId="08B37E38" w14:textId="3AF8D5A8" w:rsidR="00926282" w:rsidRDefault="00926282">
      <w:pPr>
        <w:pStyle w:val="TOC2"/>
        <w:rPr>
          <w:rFonts w:asciiTheme="minorHAnsi" w:eastAsiaTheme="minorEastAsia" w:hAnsiTheme="minorHAnsi" w:cstheme="minorBidi"/>
          <w:noProof/>
          <w:color w:val="auto"/>
          <w:sz w:val="22"/>
          <w:szCs w:val="22"/>
        </w:rPr>
      </w:pPr>
      <w:hyperlink w:anchor="_Toc93659508" w:history="1">
        <w:r w:rsidRPr="006D3A22">
          <w:rPr>
            <w:rStyle w:val="Hyperlink"/>
            <w:noProof/>
          </w:rPr>
          <w:t>Independent Auditor’s Report</w:t>
        </w:r>
        <w:r>
          <w:rPr>
            <w:noProof/>
            <w:webHidden/>
          </w:rPr>
          <w:tab/>
        </w:r>
        <w:r>
          <w:rPr>
            <w:noProof/>
            <w:webHidden/>
          </w:rPr>
          <w:fldChar w:fldCharType="begin"/>
        </w:r>
        <w:r>
          <w:rPr>
            <w:noProof/>
            <w:webHidden/>
          </w:rPr>
          <w:instrText xml:space="preserve"> PAGEREF _Toc93659508 \h </w:instrText>
        </w:r>
        <w:r>
          <w:rPr>
            <w:noProof/>
            <w:webHidden/>
          </w:rPr>
        </w:r>
        <w:r>
          <w:rPr>
            <w:noProof/>
            <w:webHidden/>
          </w:rPr>
          <w:fldChar w:fldCharType="separate"/>
        </w:r>
        <w:r>
          <w:rPr>
            <w:noProof/>
            <w:webHidden/>
          </w:rPr>
          <w:t>172</w:t>
        </w:r>
        <w:r>
          <w:rPr>
            <w:noProof/>
            <w:webHidden/>
          </w:rPr>
          <w:fldChar w:fldCharType="end"/>
        </w:r>
      </w:hyperlink>
    </w:p>
    <w:p w14:paraId="68FDEED3" w14:textId="419CC782" w:rsidR="00926282" w:rsidRDefault="00926282">
      <w:pPr>
        <w:pStyle w:val="TOC1"/>
        <w:rPr>
          <w:rFonts w:asciiTheme="minorHAnsi" w:eastAsiaTheme="minorEastAsia" w:hAnsiTheme="minorHAnsi" w:cstheme="minorBidi"/>
          <w:sz w:val="22"/>
          <w:szCs w:val="22"/>
        </w:rPr>
      </w:pPr>
      <w:hyperlink w:anchor="_Toc93659509" w:history="1">
        <w:r w:rsidRPr="006D3A22">
          <w:rPr>
            <w:rStyle w:val="Hyperlink"/>
          </w:rPr>
          <w:t>Performance Reporting</w:t>
        </w:r>
        <w:r>
          <w:rPr>
            <w:webHidden/>
          </w:rPr>
          <w:tab/>
        </w:r>
        <w:r>
          <w:rPr>
            <w:webHidden/>
          </w:rPr>
          <w:fldChar w:fldCharType="begin"/>
        </w:r>
        <w:r>
          <w:rPr>
            <w:webHidden/>
          </w:rPr>
          <w:instrText xml:space="preserve"> PAGEREF _Toc93659509 \h </w:instrText>
        </w:r>
        <w:r>
          <w:rPr>
            <w:webHidden/>
          </w:rPr>
        </w:r>
        <w:r>
          <w:rPr>
            <w:webHidden/>
          </w:rPr>
          <w:fldChar w:fldCharType="separate"/>
        </w:r>
        <w:r>
          <w:rPr>
            <w:webHidden/>
          </w:rPr>
          <w:t>176</w:t>
        </w:r>
        <w:r>
          <w:rPr>
            <w:webHidden/>
          </w:rPr>
          <w:fldChar w:fldCharType="end"/>
        </w:r>
      </w:hyperlink>
    </w:p>
    <w:p w14:paraId="70C0159A" w14:textId="65B5CB96" w:rsidR="00926282" w:rsidRDefault="00926282">
      <w:pPr>
        <w:pStyle w:val="TOC2"/>
        <w:rPr>
          <w:rFonts w:asciiTheme="minorHAnsi" w:eastAsiaTheme="minorEastAsia" w:hAnsiTheme="minorHAnsi" w:cstheme="minorBidi"/>
          <w:noProof/>
          <w:color w:val="auto"/>
          <w:sz w:val="22"/>
          <w:szCs w:val="22"/>
        </w:rPr>
      </w:pPr>
      <w:hyperlink w:anchor="_Toc93659510" w:history="1">
        <w:r w:rsidRPr="006D3A22">
          <w:rPr>
            <w:rStyle w:val="Hyperlink"/>
            <w:noProof/>
          </w:rPr>
          <w:t>Contents</w:t>
        </w:r>
        <w:r>
          <w:rPr>
            <w:noProof/>
            <w:webHidden/>
          </w:rPr>
          <w:tab/>
        </w:r>
        <w:r>
          <w:rPr>
            <w:noProof/>
            <w:webHidden/>
          </w:rPr>
          <w:fldChar w:fldCharType="begin"/>
        </w:r>
        <w:r>
          <w:rPr>
            <w:noProof/>
            <w:webHidden/>
          </w:rPr>
          <w:instrText xml:space="preserve"> PAGEREF _Toc93659510 \h </w:instrText>
        </w:r>
        <w:r>
          <w:rPr>
            <w:noProof/>
            <w:webHidden/>
          </w:rPr>
        </w:r>
        <w:r>
          <w:rPr>
            <w:noProof/>
            <w:webHidden/>
          </w:rPr>
          <w:fldChar w:fldCharType="separate"/>
        </w:r>
        <w:r>
          <w:rPr>
            <w:noProof/>
            <w:webHidden/>
          </w:rPr>
          <w:t>176</w:t>
        </w:r>
        <w:r>
          <w:rPr>
            <w:noProof/>
            <w:webHidden/>
          </w:rPr>
          <w:fldChar w:fldCharType="end"/>
        </w:r>
      </w:hyperlink>
    </w:p>
    <w:p w14:paraId="1409A5F1" w14:textId="78F516B9" w:rsidR="00926282" w:rsidRDefault="00926282">
      <w:pPr>
        <w:pStyle w:val="TOC3"/>
        <w:rPr>
          <w:rFonts w:asciiTheme="minorHAnsi" w:eastAsiaTheme="minorEastAsia" w:hAnsiTheme="minorHAnsi" w:cstheme="minorBidi"/>
          <w:color w:val="auto"/>
          <w:sz w:val="22"/>
          <w:szCs w:val="22"/>
        </w:rPr>
      </w:pPr>
      <w:hyperlink w:anchor="_Toc93659511" w:history="1">
        <w:r w:rsidRPr="006D3A22">
          <w:rPr>
            <w:rStyle w:val="Hyperlink"/>
          </w:rPr>
          <w:t>Financial Performance Indicators</w:t>
        </w:r>
        <w:r>
          <w:rPr>
            <w:webHidden/>
          </w:rPr>
          <w:tab/>
        </w:r>
        <w:r>
          <w:rPr>
            <w:webHidden/>
          </w:rPr>
          <w:fldChar w:fldCharType="begin"/>
        </w:r>
        <w:r>
          <w:rPr>
            <w:webHidden/>
          </w:rPr>
          <w:instrText xml:space="preserve"> PAGEREF _Toc93659511 \h </w:instrText>
        </w:r>
        <w:r>
          <w:rPr>
            <w:webHidden/>
          </w:rPr>
        </w:r>
        <w:r>
          <w:rPr>
            <w:webHidden/>
          </w:rPr>
          <w:fldChar w:fldCharType="separate"/>
        </w:r>
        <w:r>
          <w:rPr>
            <w:webHidden/>
          </w:rPr>
          <w:t>176</w:t>
        </w:r>
        <w:r>
          <w:rPr>
            <w:webHidden/>
          </w:rPr>
          <w:fldChar w:fldCharType="end"/>
        </w:r>
      </w:hyperlink>
    </w:p>
    <w:p w14:paraId="512FBEBB" w14:textId="34ECE49A" w:rsidR="00926282" w:rsidRDefault="00926282">
      <w:pPr>
        <w:pStyle w:val="TOC3"/>
        <w:rPr>
          <w:rFonts w:asciiTheme="minorHAnsi" w:eastAsiaTheme="minorEastAsia" w:hAnsiTheme="minorHAnsi" w:cstheme="minorBidi"/>
          <w:color w:val="auto"/>
          <w:sz w:val="22"/>
          <w:szCs w:val="22"/>
        </w:rPr>
      </w:pPr>
      <w:hyperlink w:anchor="_Toc93659512" w:history="1">
        <w:r w:rsidRPr="006D3A22">
          <w:rPr>
            <w:rStyle w:val="Hyperlink"/>
          </w:rPr>
          <w:t>Water, sewerage and other service performance indicators</w:t>
        </w:r>
        <w:r>
          <w:rPr>
            <w:webHidden/>
          </w:rPr>
          <w:tab/>
        </w:r>
        <w:r>
          <w:rPr>
            <w:webHidden/>
          </w:rPr>
          <w:fldChar w:fldCharType="begin"/>
        </w:r>
        <w:r>
          <w:rPr>
            <w:webHidden/>
          </w:rPr>
          <w:instrText xml:space="preserve"> PAGEREF _Toc93659512 \h </w:instrText>
        </w:r>
        <w:r>
          <w:rPr>
            <w:webHidden/>
          </w:rPr>
        </w:r>
        <w:r>
          <w:rPr>
            <w:webHidden/>
          </w:rPr>
          <w:fldChar w:fldCharType="separate"/>
        </w:r>
        <w:r>
          <w:rPr>
            <w:webHidden/>
          </w:rPr>
          <w:t>177</w:t>
        </w:r>
        <w:r>
          <w:rPr>
            <w:webHidden/>
          </w:rPr>
          <w:fldChar w:fldCharType="end"/>
        </w:r>
      </w:hyperlink>
    </w:p>
    <w:p w14:paraId="2FB4DDE8" w14:textId="0B510D73" w:rsidR="00926282" w:rsidRDefault="00926282">
      <w:pPr>
        <w:pStyle w:val="TOC2"/>
        <w:rPr>
          <w:rFonts w:asciiTheme="minorHAnsi" w:eastAsiaTheme="minorEastAsia" w:hAnsiTheme="minorHAnsi" w:cstheme="minorBidi"/>
          <w:noProof/>
          <w:color w:val="auto"/>
          <w:sz w:val="22"/>
          <w:szCs w:val="22"/>
        </w:rPr>
      </w:pPr>
      <w:hyperlink w:anchor="_Toc93659513" w:history="1">
        <w:r w:rsidRPr="006D3A22">
          <w:rPr>
            <w:rStyle w:val="Hyperlink"/>
            <w:noProof/>
          </w:rPr>
          <w:t>Certification of Performance Report for 2020-21</w:t>
        </w:r>
        <w:r>
          <w:rPr>
            <w:noProof/>
            <w:webHidden/>
          </w:rPr>
          <w:tab/>
        </w:r>
        <w:r>
          <w:rPr>
            <w:noProof/>
            <w:webHidden/>
          </w:rPr>
          <w:fldChar w:fldCharType="begin"/>
        </w:r>
        <w:r>
          <w:rPr>
            <w:noProof/>
            <w:webHidden/>
          </w:rPr>
          <w:instrText xml:space="preserve"> PAGEREF _Toc93659513 \h </w:instrText>
        </w:r>
        <w:r>
          <w:rPr>
            <w:noProof/>
            <w:webHidden/>
          </w:rPr>
        </w:r>
        <w:r>
          <w:rPr>
            <w:noProof/>
            <w:webHidden/>
          </w:rPr>
          <w:fldChar w:fldCharType="separate"/>
        </w:r>
        <w:r>
          <w:rPr>
            <w:noProof/>
            <w:webHidden/>
          </w:rPr>
          <w:t>180</w:t>
        </w:r>
        <w:r>
          <w:rPr>
            <w:noProof/>
            <w:webHidden/>
          </w:rPr>
          <w:fldChar w:fldCharType="end"/>
        </w:r>
      </w:hyperlink>
    </w:p>
    <w:p w14:paraId="48B1DC2E" w14:textId="338E45AB" w:rsidR="00926282" w:rsidRDefault="00926282">
      <w:pPr>
        <w:pStyle w:val="TOC2"/>
        <w:rPr>
          <w:rFonts w:asciiTheme="minorHAnsi" w:eastAsiaTheme="minorEastAsia" w:hAnsiTheme="minorHAnsi" w:cstheme="minorBidi"/>
          <w:noProof/>
          <w:color w:val="auto"/>
          <w:sz w:val="22"/>
          <w:szCs w:val="22"/>
        </w:rPr>
      </w:pPr>
      <w:hyperlink w:anchor="_Toc93659514" w:history="1">
        <w:r w:rsidRPr="006D3A22">
          <w:rPr>
            <w:rStyle w:val="Hyperlink"/>
            <w:noProof/>
          </w:rPr>
          <w:t>Independent Auditor’s Report</w:t>
        </w:r>
        <w:r>
          <w:rPr>
            <w:noProof/>
            <w:webHidden/>
          </w:rPr>
          <w:tab/>
        </w:r>
        <w:r>
          <w:rPr>
            <w:noProof/>
            <w:webHidden/>
          </w:rPr>
          <w:fldChar w:fldCharType="begin"/>
        </w:r>
        <w:r>
          <w:rPr>
            <w:noProof/>
            <w:webHidden/>
          </w:rPr>
          <w:instrText xml:space="preserve"> PAGEREF _Toc93659514 \h </w:instrText>
        </w:r>
        <w:r>
          <w:rPr>
            <w:noProof/>
            <w:webHidden/>
          </w:rPr>
        </w:r>
        <w:r>
          <w:rPr>
            <w:noProof/>
            <w:webHidden/>
          </w:rPr>
          <w:fldChar w:fldCharType="separate"/>
        </w:r>
        <w:r>
          <w:rPr>
            <w:noProof/>
            <w:webHidden/>
          </w:rPr>
          <w:t>181</w:t>
        </w:r>
        <w:r>
          <w:rPr>
            <w:noProof/>
            <w:webHidden/>
          </w:rPr>
          <w:fldChar w:fldCharType="end"/>
        </w:r>
      </w:hyperlink>
    </w:p>
    <w:p w14:paraId="6A58B4D0" w14:textId="625550DB" w:rsidR="00926282" w:rsidRDefault="00926282">
      <w:pPr>
        <w:pStyle w:val="TOC1"/>
        <w:rPr>
          <w:rFonts w:asciiTheme="minorHAnsi" w:eastAsiaTheme="minorEastAsia" w:hAnsiTheme="minorHAnsi" w:cstheme="minorBidi"/>
          <w:sz w:val="22"/>
          <w:szCs w:val="22"/>
        </w:rPr>
      </w:pPr>
      <w:hyperlink w:anchor="_Toc93659515" w:history="1">
        <w:r w:rsidRPr="006D3A22">
          <w:rPr>
            <w:rStyle w:val="Hyperlink"/>
          </w:rPr>
          <w:t>Appendices</w:t>
        </w:r>
        <w:r>
          <w:rPr>
            <w:webHidden/>
          </w:rPr>
          <w:tab/>
        </w:r>
        <w:r>
          <w:rPr>
            <w:webHidden/>
          </w:rPr>
          <w:fldChar w:fldCharType="begin"/>
        </w:r>
        <w:r>
          <w:rPr>
            <w:webHidden/>
          </w:rPr>
          <w:instrText xml:space="preserve"> PAGEREF _Toc93659515 \h </w:instrText>
        </w:r>
        <w:r>
          <w:rPr>
            <w:webHidden/>
          </w:rPr>
        </w:r>
        <w:r>
          <w:rPr>
            <w:webHidden/>
          </w:rPr>
          <w:fldChar w:fldCharType="separate"/>
        </w:r>
        <w:r>
          <w:rPr>
            <w:webHidden/>
          </w:rPr>
          <w:t>183</w:t>
        </w:r>
        <w:r>
          <w:rPr>
            <w:webHidden/>
          </w:rPr>
          <w:fldChar w:fldCharType="end"/>
        </w:r>
      </w:hyperlink>
    </w:p>
    <w:p w14:paraId="681D832D" w14:textId="28906447" w:rsidR="00926282" w:rsidRDefault="00926282">
      <w:pPr>
        <w:pStyle w:val="TOC2"/>
        <w:rPr>
          <w:rFonts w:asciiTheme="minorHAnsi" w:eastAsiaTheme="minorEastAsia" w:hAnsiTheme="minorHAnsi" w:cstheme="minorBidi"/>
          <w:noProof/>
          <w:color w:val="auto"/>
          <w:sz w:val="22"/>
          <w:szCs w:val="22"/>
        </w:rPr>
      </w:pPr>
      <w:hyperlink w:anchor="_Toc93659516" w:history="1">
        <w:r w:rsidRPr="006D3A22">
          <w:rPr>
            <w:rStyle w:val="Hyperlink"/>
            <w:noProof/>
          </w:rPr>
          <w:t>Appendix A – Disclosure index</w:t>
        </w:r>
        <w:r>
          <w:rPr>
            <w:noProof/>
            <w:webHidden/>
          </w:rPr>
          <w:tab/>
        </w:r>
        <w:r>
          <w:rPr>
            <w:noProof/>
            <w:webHidden/>
          </w:rPr>
          <w:fldChar w:fldCharType="begin"/>
        </w:r>
        <w:r>
          <w:rPr>
            <w:noProof/>
            <w:webHidden/>
          </w:rPr>
          <w:instrText xml:space="preserve"> PAGEREF _Toc93659516 \h </w:instrText>
        </w:r>
        <w:r>
          <w:rPr>
            <w:noProof/>
            <w:webHidden/>
          </w:rPr>
        </w:r>
        <w:r>
          <w:rPr>
            <w:noProof/>
            <w:webHidden/>
          </w:rPr>
          <w:fldChar w:fldCharType="separate"/>
        </w:r>
        <w:r>
          <w:rPr>
            <w:noProof/>
            <w:webHidden/>
          </w:rPr>
          <w:t>183</w:t>
        </w:r>
        <w:r>
          <w:rPr>
            <w:noProof/>
            <w:webHidden/>
          </w:rPr>
          <w:fldChar w:fldCharType="end"/>
        </w:r>
      </w:hyperlink>
    </w:p>
    <w:p w14:paraId="4F3E399A" w14:textId="46B25C2B" w:rsidR="00926282" w:rsidRDefault="00926282">
      <w:pPr>
        <w:pStyle w:val="TOC2"/>
        <w:rPr>
          <w:rFonts w:asciiTheme="minorHAnsi" w:eastAsiaTheme="minorEastAsia" w:hAnsiTheme="minorHAnsi" w:cstheme="minorBidi"/>
          <w:noProof/>
          <w:color w:val="auto"/>
          <w:sz w:val="22"/>
          <w:szCs w:val="22"/>
        </w:rPr>
      </w:pPr>
      <w:hyperlink w:anchor="_Toc93659517" w:history="1">
        <w:r w:rsidRPr="006D3A22">
          <w:rPr>
            <w:rStyle w:val="Hyperlink"/>
            <w:noProof/>
          </w:rPr>
          <w:t>Appendix B – Corporate Information</w:t>
        </w:r>
        <w:r>
          <w:rPr>
            <w:noProof/>
            <w:webHidden/>
          </w:rPr>
          <w:tab/>
        </w:r>
        <w:r>
          <w:rPr>
            <w:noProof/>
            <w:webHidden/>
          </w:rPr>
          <w:fldChar w:fldCharType="begin"/>
        </w:r>
        <w:r>
          <w:rPr>
            <w:noProof/>
            <w:webHidden/>
          </w:rPr>
          <w:instrText xml:space="preserve"> PAGEREF _Toc93659517 \h </w:instrText>
        </w:r>
        <w:r>
          <w:rPr>
            <w:noProof/>
            <w:webHidden/>
          </w:rPr>
        </w:r>
        <w:r>
          <w:rPr>
            <w:noProof/>
            <w:webHidden/>
          </w:rPr>
          <w:fldChar w:fldCharType="separate"/>
        </w:r>
        <w:r>
          <w:rPr>
            <w:noProof/>
            <w:webHidden/>
          </w:rPr>
          <w:t>186</w:t>
        </w:r>
        <w:r>
          <w:rPr>
            <w:noProof/>
            <w:webHidden/>
          </w:rPr>
          <w:fldChar w:fldCharType="end"/>
        </w:r>
      </w:hyperlink>
    </w:p>
    <w:p w14:paraId="2134A423" w14:textId="44624EBA" w:rsidR="00926282" w:rsidRDefault="00926282">
      <w:pPr>
        <w:pStyle w:val="TOC3"/>
        <w:rPr>
          <w:rFonts w:asciiTheme="minorHAnsi" w:eastAsiaTheme="minorEastAsia" w:hAnsiTheme="minorHAnsi" w:cstheme="minorBidi"/>
          <w:color w:val="auto"/>
          <w:sz w:val="22"/>
          <w:szCs w:val="22"/>
        </w:rPr>
      </w:pPr>
      <w:hyperlink w:anchor="_Toc93659518" w:history="1">
        <w:r w:rsidRPr="006D3A22">
          <w:rPr>
            <w:rStyle w:val="Hyperlink"/>
          </w:rPr>
          <w:t>Consultancy Expenditure</w:t>
        </w:r>
        <w:r>
          <w:rPr>
            <w:webHidden/>
          </w:rPr>
          <w:tab/>
        </w:r>
        <w:r>
          <w:rPr>
            <w:webHidden/>
          </w:rPr>
          <w:fldChar w:fldCharType="begin"/>
        </w:r>
        <w:r>
          <w:rPr>
            <w:webHidden/>
          </w:rPr>
          <w:instrText xml:space="preserve"> PAGEREF _Toc93659518 \h </w:instrText>
        </w:r>
        <w:r>
          <w:rPr>
            <w:webHidden/>
          </w:rPr>
        </w:r>
        <w:r>
          <w:rPr>
            <w:webHidden/>
          </w:rPr>
          <w:fldChar w:fldCharType="separate"/>
        </w:r>
        <w:r>
          <w:rPr>
            <w:webHidden/>
          </w:rPr>
          <w:t>186</w:t>
        </w:r>
        <w:r>
          <w:rPr>
            <w:webHidden/>
          </w:rPr>
          <w:fldChar w:fldCharType="end"/>
        </w:r>
      </w:hyperlink>
    </w:p>
    <w:p w14:paraId="7B89885C" w14:textId="06E29DDC" w:rsidR="00926282" w:rsidRDefault="00926282">
      <w:pPr>
        <w:pStyle w:val="TOC3"/>
        <w:rPr>
          <w:rFonts w:asciiTheme="minorHAnsi" w:eastAsiaTheme="minorEastAsia" w:hAnsiTheme="minorHAnsi" w:cstheme="minorBidi"/>
          <w:color w:val="auto"/>
          <w:sz w:val="22"/>
          <w:szCs w:val="22"/>
        </w:rPr>
      </w:pPr>
      <w:hyperlink w:anchor="_Toc93659519" w:history="1">
        <w:r w:rsidRPr="006D3A22">
          <w:rPr>
            <w:rStyle w:val="Hyperlink"/>
          </w:rPr>
          <w:t>Advertising campaigns</w:t>
        </w:r>
        <w:r>
          <w:rPr>
            <w:webHidden/>
          </w:rPr>
          <w:tab/>
        </w:r>
        <w:r>
          <w:rPr>
            <w:webHidden/>
          </w:rPr>
          <w:fldChar w:fldCharType="begin"/>
        </w:r>
        <w:r>
          <w:rPr>
            <w:webHidden/>
          </w:rPr>
          <w:instrText xml:space="preserve"> PAGEREF _Toc93659519 \h </w:instrText>
        </w:r>
        <w:r>
          <w:rPr>
            <w:webHidden/>
          </w:rPr>
        </w:r>
        <w:r>
          <w:rPr>
            <w:webHidden/>
          </w:rPr>
          <w:fldChar w:fldCharType="separate"/>
        </w:r>
        <w:r>
          <w:rPr>
            <w:webHidden/>
          </w:rPr>
          <w:t>186</w:t>
        </w:r>
        <w:r>
          <w:rPr>
            <w:webHidden/>
          </w:rPr>
          <w:fldChar w:fldCharType="end"/>
        </w:r>
      </w:hyperlink>
    </w:p>
    <w:p w14:paraId="664133B8" w14:textId="41040CE9" w:rsidR="00926282" w:rsidRDefault="00926282">
      <w:pPr>
        <w:pStyle w:val="TOC3"/>
        <w:rPr>
          <w:rFonts w:asciiTheme="minorHAnsi" w:eastAsiaTheme="minorEastAsia" w:hAnsiTheme="minorHAnsi" w:cstheme="minorBidi"/>
          <w:color w:val="auto"/>
          <w:sz w:val="22"/>
          <w:szCs w:val="22"/>
        </w:rPr>
      </w:pPr>
      <w:hyperlink w:anchor="_Toc93659520" w:history="1">
        <w:r w:rsidRPr="006D3A22">
          <w:rPr>
            <w:rStyle w:val="Hyperlink"/>
          </w:rPr>
          <w:t>ICT Expenditure</w:t>
        </w:r>
        <w:r>
          <w:rPr>
            <w:webHidden/>
          </w:rPr>
          <w:tab/>
        </w:r>
        <w:r>
          <w:rPr>
            <w:webHidden/>
          </w:rPr>
          <w:fldChar w:fldCharType="begin"/>
        </w:r>
        <w:r>
          <w:rPr>
            <w:webHidden/>
          </w:rPr>
          <w:instrText xml:space="preserve"> PAGEREF _Toc93659520 \h </w:instrText>
        </w:r>
        <w:r>
          <w:rPr>
            <w:webHidden/>
          </w:rPr>
        </w:r>
        <w:r>
          <w:rPr>
            <w:webHidden/>
          </w:rPr>
          <w:fldChar w:fldCharType="separate"/>
        </w:r>
        <w:r>
          <w:rPr>
            <w:webHidden/>
          </w:rPr>
          <w:t>186</w:t>
        </w:r>
        <w:r>
          <w:rPr>
            <w:webHidden/>
          </w:rPr>
          <w:fldChar w:fldCharType="end"/>
        </w:r>
      </w:hyperlink>
    </w:p>
    <w:p w14:paraId="6E6A1540" w14:textId="21ABABB8" w:rsidR="00926282" w:rsidRDefault="00926282">
      <w:pPr>
        <w:pStyle w:val="TOC3"/>
        <w:rPr>
          <w:rFonts w:asciiTheme="minorHAnsi" w:eastAsiaTheme="minorEastAsia" w:hAnsiTheme="minorHAnsi" w:cstheme="minorBidi"/>
          <w:color w:val="auto"/>
          <w:sz w:val="22"/>
          <w:szCs w:val="22"/>
        </w:rPr>
      </w:pPr>
      <w:hyperlink w:anchor="_Toc93659521" w:history="1">
        <w:r w:rsidRPr="006D3A22">
          <w:rPr>
            <w:rStyle w:val="Hyperlink"/>
          </w:rPr>
          <w:t>Disclosure of Major Contracts</w:t>
        </w:r>
        <w:r>
          <w:rPr>
            <w:webHidden/>
          </w:rPr>
          <w:tab/>
        </w:r>
        <w:r>
          <w:rPr>
            <w:webHidden/>
          </w:rPr>
          <w:fldChar w:fldCharType="begin"/>
        </w:r>
        <w:r>
          <w:rPr>
            <w:webHidden/>
          </w:rPr>
          <w:instrText xml:space="preserve"> PAGEREF _Toc93659521 \h </w:instrText>
        </w:r>
        <w:r>
          <w:rPr>
            <w:webHidden/>
          </w:rPr>
        </w:r>
        <w:r>
          <w:rPr>
            <w:webHidden/>
          </w:rPr>
          <w:fldChar w:fldCharType="separate"/>
        </w:r>
        <w:r>
          <w:rPr>
            <w:webHidden/>
          </w:rPr>
          <w:t>186</w:t>
        </w:r>
        <w:r>
          <w:rPr>
            <w:webHidden/>
          </w:rPr>
          <w:fldChar w:fldCharType="end"/>
        </w:r>
      </w:hyperlink>
    </w:p>
    <w:p w14:paraId="76BE184E" w14:textId="06550660" w:rsidR="00926282" w:rsidRDefault="00926282">
      <w:pPr>
        <w:pStyle w:val="TOC3"/>
        <w:rPr>
          <w:rFonts w:asciiTheme="minorHAnsi" w:eastAsiaTheme="minorEastAsia" w:hAnsiTheme="minorHAnsi" w:cstheme="minorBidi"/>
          <w:color w:val="auto"/>
          <w:sz w:val="22"/>
          <w:szCs w:val="22"/>
        </w:rPr>
      </w:pPr>
      <w:hyperlink w:anchor="_Toc93659522" w:history="1">
        <w:r w:rsidRPr="006D3A22">
          <w:rPr>
            <w:rStyle w:val="Hyperlink"/>
          </w:rPr>
          <w:t>Competitive Neutrality Policy</w:t>
        </w:r>
        <w:r>
          <w:rPr>
            <w:webHidden/>
          </w:rPr>
          <w:tab/>
        </w:r>
        <w:r>
          <w:rPr>
            <w:webHidden/>
          </w:rPr>
          <w:fldChar w:fldCharType="begin"/>
        </w:r>
        <w:r>
          <w:rPr>
            <w:webHidden/>
          </w:rPr>
          <w:instrText xml:space="preserve"> PAGEREF _Toc93659522 \h </w:instrText>
        </w:r>
        <w:r>
          <w:rPr>
            <w:webHidden/>
          </w:rPr>
        </w:r>
        <w:r>
          <w:rPr>
            <w:webHidden/>
          </w:rPr>
          <w:fldChar w:fldCharType="separate"/>
        </w:r>
        <w:r>
          <w:rPr>
            <w:webHidden/>
          </w:rPr>
          <w:t>187</w:t>
        </w:r>
        <w:r>
          <w:rPr>
            <w:webHidden/>
          </w:rPr>
          <w:fldChar w:fldCharType="end"/>
        </w:r>
      </w:hyperlink>
    </w:p>
    <w:p w14:paraId="75B76371" w14:textId="6FECBB5E" w:rsidR="00926282" w:rsidRDefault="00926282">
      <w:pPr>
        <w:pStyle w:val="TOC3"/>
        <w:rPr>
          <w:rFonts w:asciiTheme="minorHAnsi" w:eastAsiaTheme="minorEastAsia" w:hAnsiTheme="minorHAnsi" w:cstheme="minorBidi"/>
          <w:color w:val="auto"/>
          <w:sz w:val="22"/>
          <w:szCs w:val="22"/>
        </w:rPr>
      </w:pPr>
      <w:hyperlink w:anchor="_Toc93659523" w:history="1">
        <w:r w:rsidRPr="006D3A22">
          <w:rPr>
            <w:rStyle w:val="Hyperlink"/>
          </w:rPr>
          <w:t>Pricing</w:t>
        </w:r>
        <w:r>
          <w:rPr>
            <w:webHidden/>
          </w:rPr>
          <w:tab/>
        </w:r>
        <w:r>
          <w:rPr>
            <w:webHidden/>
          </w:rPr>
          <w:fldChar w:fldCharType="begin"/>
        </w:r>
        <w:r>
          <w:rPr>
            <w:webHidden/>
          </w:rPr>
          <w:instrText xml:space="preserve"> PAGEREF _Toc93659523 \h </w:instrText>
        </w:r>
        <w:r>
          <w:rPr>
            <w:webHidden/>
          </w:rPr>
        </w:r>
        <w:r>
          <w:rPr>
            <w:webHidden/>
          </w:rPr>
          <w:fldChar w:fldCharType="separate"/>
        </w:r>
        <w:r>
          <w:rPr>
            <w:webHidden/>
          </w:rPr>
          <w:t>187</w:t>
        </w:r>
        <w:r>
          <w:rPr>
            <w:webHidden/>
          </w:rPr>
          <w:fldChar w:fldCharType="end"/>
        </w:r>
      </w:hyperlink>
    </w:p>
    <w:p w14:paraId="176ED0AD" w14:textId="678D1DE0" w:rsidR="00926282" w:rsidRDefault="00926282">
      <w:pPr>
        <w:pStyle w:val="TOC3"/>
        <w:rPr>
          <w:rFonts w:asciiTheme="minorHAnsi" w:eastAsiaTheme="minorEastAsia" w:hAnsiTheme="minorHAnsi" w:cstheme="minorBidi"/>
          <w:color w:val="auto"/>
          <w:sz w:val="22"/>
          <w:szCs w:val="22"/>
        </w:rPr>
      </w:pPr>
      <w:hyperlink w:anchor="_Toc93659524" w:history="1">
        <w:r w:rsidRPr="006D3A22">
          <w:rPr>
            <w:rStyle w:val="Hyperlink"/>
          </w:rPr>
          <w:t>Freedom of Information</w:t>
        </w:r>
        <w:r>
          <w:rPr>
            <w:webHidden/>
          </w:rPr>
          <w:tab/>
        </w:r>
        <w:r>
          <w:rPr>
            <w:webHidden/>
          </w:rPr>
          <w:fldChar w:fldCharType="begin"/>
        </w:r>
        <w:r>
          <w:rPr>
            <w:webHidden/>
          </w:rPr>
          <w:instrText xml:space="preserve"> PAGEREF _Toc93659524 \h </w:instrText>
        </w:r>
        <w:r>
          <w:rPr>
            <w:webHidden/>
          </w:rPr>
        </w:r>
        <w:r>
          <w:rPr>
            <w:webHidden/>
          </w:rPr>
          <w:fldChar w:fldCharType="separate"/>
        </w:r>
        <w:r>
          <w:rPr>
            <w:webHidden/>
          </w:rPr>
          <w:t>187</w:t>
        </w:r>
        <w:r>
          <w:rPr>
            <w:webHidden/>
          </w:rPr>
          <w:fldChar w:fldCharType="end"/>
        </w:r>
      </w:hyperlink>
    </w:p>
    <w:p w14:paraId="1148429C" w14:textId="0969036F" w:rsidR="00926282" w:rsidRDefault="00926282">
      <w:pPr>
        <w:pStyle w:val="TOC3"/>
        <w:rPr>
          <w:rFonts w:asciiTheme="minorHAnsi" w:eastAsiaTheme="minorEastAsia" w:hAnsiTheme="minorHAnsi" w:cstheme="minorBidi"/>
          <w:color w:val="auto"/>
          <w:sz w:val="22"/>
          <w:szCs w:val="22"/>
        </w:rPr>
      </w:pPr>
      <w:hyperlink w:anchor="_Toc93659525" w:history="1">
        <w:r w:rsidRPr="006D3A22">
          <w:rPr>
            <w:rStyle w:val="Hyperlink"/>
          </w:rPr>
          <w:t>Building Compliance</w:t>
        </w:r>
        <w:r>
          <w:rPr>
            <w:webHidden/>
          </w:rPr>
          <w:tab/>
        </w:r>
        <w:r>
          <w:rPr>
            <w:webHidden/>
          </w:rPr>
          <w:fldChar w:fldCharType="begin"/>
        </w:r>
        <w:r>
          <w:rPr>
            <w:webHidden/>
          </w:rPr>
          <w:instrText xml:space="preserve"> PAGEREF _Toc93659525 \h </w:instrText>
        </w:r>
        <w:r>
          <w:rPr>
            <w:webHidden/>
          </w:rPr>
        </w:r>
        <w:r>
          <w:rPr>
            <w:webHidden/>
          </w:rPr>
          <w:fldChar w:fldCharType="separate"/>
        </w:r>
        <w:r>
          <w:rPr>
            <w:webHidden/>
          </w:rPr>
          <w:t>188</w:t>
        </w:r>
        <w:r>
          <w:rPr>
            <w:webHidden/>
          </w:rPr>
          <w:fldChar w:fldCharType="end"/>
        </w:r>
      </w:hyperlink>
    </w:p>
    <w:p w14:paraId="1C301245" w14:textId="5FCBF68C" w:rsidR="00926282" w:rsidRDefault="00926282">
      <w:pPr>
        <w:pStyle w:val="TOC3"/>
        <w:rPr>
          <w:rFonts w:asciiTheme="minorHAnsi" w:eastAsiaTheme="minorEastAsia" w:hAnsiTheme="minorHAnsi" w:cstheme="minorBidi"/>
          <w:color w:val="auto"/>
          <w:sz w:val="22"/>
          <w:szCs w:val="22"/>
        </w:rPr>
      </w:pPr>
      <w:hyperlink w:anchor="_Toc93659526" w:history="1">
        <w:r w:rsidRPr="006D3A22">
          <w:rPr>
            <w:rStyle w:val="Hyperlink"/>
          </w:rPr>
          <w:t>Privacy Legislation</w:t>
        </w:r>
        <w:r>
          <w:rPr>
            <w:webHidden/>
          </w:rPr>
          <w:tab/>
        </w:r>
        <w:r>
          <w:rPr>
            <w:webHidden/>
          </w:rPr>
          <w:fldChar w:fldCharType="begin"/>
        </w:r>
        <w:r>
          <w:rPr>
            <w:webHidden/>
          </w:rPr>
          <w:instrText xml:space="preserve"> PAGEREF _Toc93659526 \h </w:instrText>
        </w:r>
        <w:r>
          <w:rPr>
            <w:webHidden/>
          </w:rPr>
        </w:r>
        <w:r>
          <w:rPr>
            <w:webHidden/>
          </w:rPr>
          <w:fldChar w:fldCharType="separate"/>
        </w:r>
        <w:r>
          <w:rPr>
            <w:webHidden/>
          </w:rPr>
          <w:t>189</w:t>
        </w:r>
        <w:r>
          <w:rPr>
            <w:webHidden/>
          </w:rPr>
          <w:fldChar w:fldCharType="end"/>
        </w:r>
      </w:hyperlink>
    </w:p>
    <w:p w14:paraId="7B39B25C" w14:textId="0F9C8BB6" w:rsidR="00926282" w:rsidRDefault="00926282">
      <w:pPr>
        <w:pStyle w:val="TOC3"/>
        <w:rPr>
          <w:rFonts w:asciiTheme="minorHAnsi" w:eastAsiaTheme="minorEastAsia" w:hAnsiTheme="minorHAnsi" w:cstheme="minorBidi"/>
          <w:color w:val="auto"/>
          <w:sz w:val="22"/>
          <w:szCs w:val="22"/>
        </w:rPr>
      </w:pPr>
      <w:hyperlink w:anchor="_Toc93659527" w:history="1">
        <w:r w:rsidRPr="006D3A22">
          <w:rPr>
            <w:rStyle w:val="Hyperlink"/>
          </w:rPr>
          <w:t>Financial Management</w:t>
        </w:r>
        <w:r>
          <w:rPr>
            <w:webHidden/>
          </w:rPr>
          <w:tab/>
        </w:r>
        <w:r>
          <w:rPr>
            <w:webHidden/>
          </w:rPr>
          <w:fldChar w:fldCharType="begin"/>
        </w:r>
        <w:r>
          <w:rPr>
            <w:webHidden/>
          </w:rPr>
          <w:instrText xml:space="preserve"> PAGEREF _Toc93659527 \h </w:instrText>
        </w:r>
        <w:r>
          <w:rPr>
            <w:webHidden/>
          </w:rPr>
        </w:r>
        <w:r>
          <w:rPr>
            <w:webHidden/>
          </w:rPr>
          <w:fldChar w:fldCharType="separate"/>
        </w:r>
        <w:r>
          <w:rPr>
            <w:webHidden/>
          </w:rPr>
          <w:t>189</w:t>
        </w:r>
        <w:r>
          <w:rPr>
            <w:webHidden/>
          </w:rPr>
          <w:fldChar w:fldCharType="end"/>
        </w:r>
      </w:hyperlink>
    </w:p>
    <w:p w14:paraId="6F7C76B2" w14:textId="7168BB3A" w:rsidR="00926282" w:rsidRDefault="00926282">
      <w:pPr>
        <w:pStyle w:val="TOC3"/>
        <w:rPr>
          <w:rFonts w:asciiTheme="minorHAnsi" w:eastAsiaTheme="minorEastAsia" w:hAnsiTheme="minorHAnsi" w:cstheme="minorBidi"/>
          <w:color w:val="auto"/>
          <w:sz w:val="22"/>
          <w:szCs w:val="22"/>
        </w:rPr>
      </w:pPr>
      <w:hyperlink w:anchor="_Toc93659528" w:history="1">
        <w:r w:rsidRPr="006D3A22">
          <w:rPr>
            <w:rStyle w:val="Hyperlink"/>
          </w:rPr>
          <w:t>Other Information Available on Request</w:t>
        </w:r>
        <w:r>
          <w:rPr>
            <w:webHidden/>
          </w:rPr>
          <w:tab/>
        </w:r>
        <w:r>
          <w:rPr>
            <w:webHidden/>
          </w:rPr>
          <w:fldChar w:fldCharType="begin"/>
        </w:r>
        <w:r>
          <w:rPr>
            <w:webHidden/>
          </w:rPr>
          <w:instrText xml:space="preserve"> PAGEREF _Toc93659528 \h </w:instrText>
        </w:r>
        <w:r>
          <w:rPr>
            <w:webHidden/>
          </w:rPr>
        </w:r>
        <w:r>
          <w:rPr>
            <w:webHidden/>
          </w:rPr>
          <w:fldChar w:fldCharType="separate"/>
        </w:r>
        <w:r>
          <w:rPr>
            <w:webHidden/>
          </w:rPr>
          <w:t>189</w:t>
        </w:r>
        <w:r>
          <w:rPr>
            <w:webHidden/>
          </w:rPr>
          <w:fldChar w:fldCharType="end"/>
        </w:r>
      </w:hyperlink>
    </w:p>
    <w:p w14:paraId="14E26D7F" w14:textId="40E6C86E" w:rsidR="00926282" w:rsidRDefault="00926282">
      <w:pPr>
        <w:pStyle w:val="TOC3"/>
        <w:rPr>
          <w:rFonts w:asciiTheme="minorHAnsi" w:eastAsiaTheme="minorEastAsia" w:hAnsiTheme="minorHAnsi" w:cstheme="minorBidi"/>
          <w:color w:val="auto"/>
          <w:sz w:val="22"/>
          <w:szCs w:val="22"/>
        </w:rPr>
      </w:pPr>
      <w:hyperlink w:anchor="_Toc93659529" w:history="1">
        <w:r w:rsidRPr="006D3A22">
          <w:rPr>
            <w:rStyle w:val="Hyperlink"/>
          </w:rPr>
          <w:t>Public Interest Disclosure</w:t>
        </w:r>
        <w:r>
          <w:rPr>
            <w:webHidden/>
          </w:rPr>
          <w:tab/>
        </w:r>
        <w:r>
          <w:rPr>
            <w:webHidden/>
          </w:rPr>
          <w:fldChar w:fldCharType="begin"/>
        </w:r>
        <w:r>
          <w:rPr>
            <w:webHidden/>
          </w:rPr>
          <w:instrText xml:space="preserve"> PAGEREF _Toc93659529 \h </w:instrText>
        </w:r>
        <w:r>
          <w:rPr>
            <w:webHidden/>
          </w:rPr>
        </w:r>
        <w:r>
          <w:rPr>
            <w:webHidden/>
          </w:rPr>
          <w:fldChar w:fldCharType="separate"/>
        </w:r>
        <w:r>
          <w:rPr>
            <w:webHidden/>
          </w:rPr>
          <w:t>190</w:t>
        </w:r>
        <w:r>
          <w:rPr>
            <w:webHidden/>
          </w:rPr>
          <w:fldChar w:fldCharType="end"/>
        </w:r>
      </w:hyperlink>
    </w:p>
    <w:p w14:paraId="4D8F6B17" w14:textId="095EBCB7" w:rsidR="00926282" w:rsidRDefault="00926282">
      <w:pPr>
        <w:pStyle w:val="TOC2"/>
        <w:rPr>
          <w:rFonts w:asciiTheme="minorHAnsi" w:eastAsiaTheme="minorEastAsia" w:hAnsiTheme="minorHAnsi" w:cstheme="minorBidi"/>
          <w:noProof/>
          <w:color w:val="auto"/>
          <w:sz w:val="22"/>
          <w:szCs w:val="22"/>
        </w:rPr>
      </w:pPr>
      <w:hyperlink w:anchor="_Toc93659530" w:history="1">
        <w:r w:rsidRPr="006D3A22">
          <w:rPr>
            <w:rStyle w:val="Hyperlink"/>
            <w:noProof/>
          </w:rPr>
          <w:t>Appendix C – Bulk Entitlements</w:t>
        </w:r>
        <w:r>
          <w:rPr>
            <w:noProof/>
            <w:webHidden/>
          </w:rPr>
          <w:tab/>
        </w:r>
        <w:r>
          <w:rPr>
            <w:noProof/>
            <w:webHidden/>
          </w:rPr>
          <w:fldChar w:fldCharType="begin"/>
        </w:r>
        <w:r>
          <w:rPr>
            <w:noProof/>
            <w:webHidden/>
          </w:rPr>
          <w:instrText xml:space="preserve"> PAGEREF _Toc93659530 \h </w:instrText>
        </w:r>
        <w:r>
          <w:rPr>
            <w:noProof/>
            <w:webHidden/>
          </w:rPr>
        </w:r>
        <w:r>
          <w:rPr>
            <w:noProof/>
            <w:webHidden/>
          </w:rPr>
          <w:fldChar w:fldCharType="separate"/>
        </w:r>
        <w:r>
          <w:rPr>
            <w:noProof/>
            <w:webHidden/>
          </w:rPr>
          <w:t>192</w:t>
        </w:r>
        <w:r>
          <w:rPr>
            <w:noProof/>
            <w:webHidden/>
          </w:rPr>
          <w:fldChar w:fldCharType="end"/>
        </w:r>
      </w:hyperlink>
    </w:p>
    <w:p w14:paraId="120C35EA" w14:textId="2750FC8E" w:rsidR="00926282" w:rsidRDefault="00926282">
      <w:pPr>
        <w:pStyle w:val="TOC3"/>
        <w:rPr>
          <w:rFonts w:asciiTheme="minorHAnsi" w:eastAsiaTheme="minorEastAsia" w:hAnsiTheme="minorHAnsi" w:cstheme="minorBidi"/>
          <w:color w:val="auto"/>
          <w:sz w:val="22"/>
          <w:szCs w:val="22"/>
        </w:rPr>
      </w:pPr>
      <w:hyperlink w:anchor="_Toc93659531" w:history="1">
        <w:r w:rsidRPr="006D3A22">
          <w:rPr>
            <w:rStyle w:val="Hyperlink"/>
          </w:rPr>
          <w:t>Notes for compliance with Bulk Entitlements</w:t>
        </w:r>
        <w:r>
          <w:rPr>
            <w:webHidden/>
          </w:rPr>
          <w:tab/>
        </w:r>
        <w:r>
          <w:rPr>
            <w:webHidden/>
          </w:rPr>
          <w:fldChar w:fldCharType="begin"/>
        </w:r>
        <w:r>
          <w:rPr>
            <w:webHidden/>
          </w:rPr>
          <w:instrText xml:space="preserve"> PAGEREF _Toc93659531 \h </w:instrText>
        </w:r>
        <w:r>
          <w:rPr>
            <w:webHidden/>
          </w:rPr>
        </w:r>
        <w:r>
          <w:rPr>
            <w:webHidden/>
          </w:rPr>
          <w:fldChar w:fldCharType="separate"/>
        </w:r>
        <w:r>
          <w:rPr>
            <w:webHidden/>
          </w:rPr>
          <w:t>194</w:t>
        </w:r>
        <w:r>
          <w:rPr>
            <w:webHidden/>
          </w:rPr>
          <w:fldChar w:fldCharType="end"/>
        </w:r>
      </w:hyperlink>
    </w:p>
    <w:p w14:paraId="797CFC57" w14:textId="1323DF1C" w:rsidR="00926282" w:rsidRDefault="00926282">
      <w:pPr>
        <w:pStyle w:val="TOC3"/>
        <w:rPr>
          <w:rFonts w:asciiTheme="minorHAnsi" w:eastAsiaTheme="minorEastAsia" w:hAnsiTheme="minorHAnsi" w:cstheme="minorBidi"/>
          <w:color w:val="auto"/>
          <w:sz w:val="22"/>
          <w:szCs w:val="22"/>
        </w:rPr>
      </w:pPr>
      <w:hyperlink w:anchor="_Toc93659532" w:history="1">
        <w:r w:rsidRPr="006D3A22">
          <w:rPr>
            <w:rStyle w:val="Hyperlink"/>
          </w:rPr>
          <w:t>Melbourne Water’s Maribyrnong Bulk Entitlement</w:t>
        </w:r>
        <w:r>
          <w:rPr>
            <w:webHidden/>
          </w:rPr>
          <w:tab/>
        </w:r>
        <w:r>
          <w:rPr>
            <w:webHidden/>
          </w:rPr>
          <w:fldChar w:fldCharType="begin"/>
        </w:r>
        <w:r>
          <w:rPr>
            <w:webHidden/>
          </w:rPr>
          <w:instrText xml:space="preserve"> PAGEREF _Toc93659532 \h </w:instrText>
        </w:r>
        <w:r>
          <w:rPr>
            <w:webHidden/>
          </w:rPr>
        </w:r>
        <w:r>
          <w:rPr>
            <w:webHidden/>
          </w:rPr>
          <w:fldChar w:fldCharType="separate"/>
        </w:r>
        <w:r>
          <w:rPr>
            <w:webHidden/>
          </w:rPr>
          <w:t>194</w:t>
        </w:r>
        <w:r>
          <w:rPr>
            <w:webHidden/>
          </w:rPr>
          <w:fldChar w:fldCharType="end"/>
        </w:r>
      </w:hyperlink>
    </w:p>
    <w:p w14:paraId="4AE9877F" w14:textId="26CBAED0" w:rsidR="00926282" w:rsidRDefault="00926282">
      <w:pPr>
        <w:pStyle w:val="TOC2"/>
        <w:rPr>
          <w:rFonts w:asciiTheme="minorHAnsi" w:eastAsiaTheme="minorEastAsia" w:hAnsiTheme="minorHAnsi" w:cstheme="minorBidi"/>
          <w:noProof/>
          <w:color w:val="auto"/>
          <w:sz w:val="22"/>
          <w:szCs w:val="22"/>
        </w:rPr>
      </w:pPr>
      <w:hyperlink w:anchor="_Toc93659533" w:history="1">
        <w:r w:rsidRPr="006D3A22">
          <w:rPr>
            <w:rStyle w:val="Hyperlink"/>
            <w:noProof/>
          </w:rPr>
          <w:t>Appendix D – Private Diversion Licences</w:t>
        </w:r>
        <w:r>
          <w:rPr>
            <w:noProof/>
            <w:webHidden/>
          </w:rPr>
          <w:tab/>
        </w:r>
        <w:r>
          <w:rPr>
            <w:noProof/>
            <w:webHidden/>
          </w:rPr>
          <w:fldChar w:fldCharType="begin"/>
        </w:r>
        <w:r>
          <w:rPr>
            <w:noProof/>
            <w:webHidden/>
          </w:rPr>
          <w:instrText xml:space="preserve"> PAGEREF _Toc93659533 \h </w:instrText>
        </w:r>
        <w:r>
          <w:rPr>
            <w:noProof/>
            <w:webHidden/>
          </w:rPr>
        </w:r>
        <w:r>
          <w:rPr>
            <w:noProof/>
            <w:webHidden/>
          </w:rPr>
          <w:fldChar w:fldCharType="separate"/>
        </w:r>
        <w:r>
          <w:rPr>
            <w:noProof/>
            <w:webHidden/>
          </w:rPr>
          <w:t>196</w:t>
        </w:r>
        <w:r>
          <w:rPr>
            <w:noProof/>
            <w:webHidden/>
          </w:rPr>
          <w:fldChar w:fldCharType="end"/>
        </w:r>
      </w:hyperlink>
    </w:p>
    <w:p w14:paraId="7BFFF092" w14:textId="4AABCB98" w:rsidR="00926282" w:rsidRDefault="00926282">
      <w:pPr>
        <w:pStyle w:val="TOC3"/>
        <w:rPr>
          <w:rFonts w:asciiTheme="minorHAnsi" w:eastAsiaTheme="minorEastAsia" w:hAnsiTheme="minorHAnsi" w:cstheme="minorBidi"/>
          <w:color w:val="auto"/>
          <w:sz w:val="22"/>
          <w:szCs w:val="22"/>
        </w:rPr>
      </w:pPr>
      <w:hyperlink w:anchor="_Toc93659534" w:history="1">
        <w:r w:rsidRPr="006D3A22">
          <w:rPr>
            <w:rStyle w:val="Hyperlink"/>
          </w:rPr>
          <w:t>Policy Requirements and Review Recommendations</w:t>
        </w:r>
        <w:r>
          <w:rPr>
            <w:webHidden/>
          </w:rPr>
          <w:tab/>
        </w:r>
        <w:r>
          <w:rPr>
            <w:webHidden/>
          </w:rPr>
          <w:fldChar w:fldCharType="begin"/>
        </w:r>
        <w:r>
          <w:rPr>
            <w:webHidden/>
          </w:rPr>
          <w:instrText xml:space="preserve"> PAGEREF _Toc93659534 \h </w:instrText>
        </w:r>
        <w:r>
          <w:rPr>
            <w:webHidden/>
          </w:rPr>
        </w:r>
        <w:r>
          <w:rPr>
            <w:webHidden/>
          </w:rPr>
          <w:fldChar w:fldCharType="separate"/>
        </w:r>
        <w:r>
          <w:rPr>
            <w:webHidden/>
          </w:rPr>
          <w:t>196</w:t>
        </w:r>
        <w:r>
          <w:rPr>
            <w:webHidden/>
          </w:rPr>
          <w:fldChar w:fldCharType="end"/>
        </w:r>
      </w:hyperlink>
    </w:p>
    <w:p w14:paraId="24BCFE49" w14:textId="6EB52529" w:rsidR="00926282" w:rsidRDefault="00926282">
      <w:pPr>
        <w:pStyle w:val="TOC3"/>
        <w:rPr>
          <w:rFonts w:asciiTheme="minorHAnsi" w:eastAsiaTheme="minorEastAsia" w:hAnsiTheme="minorHAnsi" w:cstheme="minorBidi"/>
          <w:color w:val="auto"/>
          <w:sz w:val="22"/>
          <w:szCs w:val="22"/>
        </w:rPr>
      </w:pPr>
      <w:hyperlink w:anchor="_Toc93659535" w:history="1">
        <w:r w:rsidRPr="006D3A22">
          <w:rPr>
            <w:rStyle w:val="Hyperlink"/>
          </w:rPr>
          <w:t>Compliance and Enforcement Actions</w:t>
        </w:r>
        <w:r>
          <w:rPr>
            <w:webHidden/>
          </w:rPr>
          <w:tab/>
        </w:r>
        <w:r>
          <w:rPr>
            <w:webHidden/>
          </w:rPr>
          <w:fldChar w:fldCharType="begin"/>
        </w:r>
        <w:r>
          <w:rPr>
            <w:webHidden/>
          </w:rPr>
          <w:instrText xml:space="preserve"> PAGEREF _Toc93659535 \h </w:instrText>
        </w:r>
        <w:r>
          <w:rPr>
            <w:webHidden/>
          </w:rPr>
        </w:r>
        <w:r>
          <w:rPr>
            <w:webHidden/>
          </w:rPr>
          <w:fldChar w:fldCharType="separate"/>
        </w:r>
        <w:r>
          <w:rPr>
            <w:webHidden/>
          </w:rPr>
          <w:t>197</w:t>
        </w:r>
        <w:r>
          <w:rPr>
            <w:webHidden/>
          </w:rPr>
          <w:fldChar w:fldCharType="end"/>
        </w:r>
      </w:hyperlink>
    </w:p>
    <w:p w14:paraId="01740A12" w14:textId="7138D6EA" w:rsidR="00926282" w:rsidRDefault="00926282">
      <w:pPr>
        <w:pStyle w:val="TOC3"/>
        <w:rPr>
          <w:rFonts w:asciiTheme="minorHAnsi" w:eastAsiaTheme="minorEastAsia" w:hAnsiTheme="minorHAnsi" w:cstheme="minorBidi"/>
          <w:color w:val="auto"/>
          <w:sz w:val="22"/>
          <w:szCs w:val="22"/>
        </w:rPr>
      </w:pPr>
      <w:hyperlink w:anchor="_Toc93659536" w:history="1">
        <w:r w:rsidRPr="006D3A22">
          <w:rPr>
            <w:rStyle w:val="Hyperlink"/>
          </w:rPr>
          <w:t>Metering Activities</w:t>
        </w:r>
        <w:r>
          <w:rPr>
            <w:webHidden/>
          </w:rPr>
          <w:tab/>
        </w:r>
        <w:r>
          <w:rPr>
            <w:webHidden/>
          </w:rPr>
          <w:fldChar w:fldCharType="begin"/>
        </w:r>
        <w:r>
          <w:rPr>
            <w:webHidden/>
          </w:rPr>
          <w:instrText xml:space="preserve"> PAGEREF _Toc93659536 \h </w:instrText>
        </w:r>
        <w:r>
          <w:rPr>
            <w:webHidden/>
          </w:rPr>
        </w:r>
        <w:r>
          <w:rPr>
            <w:webHidden/>
          </w:rPr>
          <w:fldChar w:fldCharType="separate"/>
        </w:r>
        <w:r>
          <w:rPr>
            <w:webHidden/>
          </w:rPr>
          <w:t>198</w:t>
        </w:r>
        <w:r>
          <w:rPr>
            <w:webHidden/>
          </w:rPr>
          <w:fldChar w:fldCharType="end"/>
        </w:r>
      </w:hyperlink>
    </w:p>
    <w:p w14:paraId="5BB2F5F5" w14:textId="1BD4E177" w:rsidR="00926282" w:rsidRDefault="00926282">
      <w:pPr>
        <w:pStyle w:val="TOC3"/>
        <w:rPr>
          <w:rFonts w:asciiTheme="minorHAnsi" w:eastAsiaTheme="minorEastAsia" w:hAnsiTheme="minorHAnsi" w:cstheme="minorBidi"/>
          <w:color w:val="auto"/>
          <w:sz w:val="22"/>
          <w:szCs w:val="22"/>
        </w:rPr>
      </w:pPr>
      <w:hyperlink w:anchor="_Toc93659537" w:history="1">
        <w:r w:rsidRPr="006D3A22">
          <w:rPr>
            <w:rStyle w:val="Hyperlink"/>
          </w:rPr>
          <w:t>Public Information and Education Campaigns</w:t>
        </w:r>
        <w:r>
          <w:rPr>
            <w:webHidden/>
          </w:rPr>
          <w:tab/>
        </w:r>
        <w:r>
          <w:rPr>
            <w:webHidden/>
          </w:rPr>
          <w:fldChar w:fldCharType="begin"/>
        </w:r>
        <w:r>
          <w:rPr>
            <w:webHidden/>
          </w:rPr>
          <w:instrText xml:space="preserve"> PAGEREF _Toc93659537 \h </w:instrText>
        </w:r>
        <w:r>
          <w:rPr>
            <w:webHidden/>
          </w:rPr>
        </w:r>
        <w:r>
          <w:rPr>
            <w:webHidden/>
          </w:rPr>
          <w:fldChar w:fldCharType="separate"/>
        </w:r>
        <w:r>
          <w:rPr>
            <w:webHidden/>
          </w:rPr>
          <w:t>198</w:t>
        </w:r>
        <w:r>
          <w:rPr>
            <w:webHidden/>
          </w:rPr>
          <w:fldChar w:fldCharType="end"/>
        </w:r>
      </w:hyperlink>
    </w:p>
    <w:p w14:paraId="7B92924A" w14:textId="45DEA9BE" w:rsidR="00926282" w:rsidRDefault="00926282">
      <w:pPr>
        <w:pStyle w:val="TOC3"/>
        <w:rPr>
          <w:rFonts w:asciiTheme="minorHAnsi" w:eastAsiaTheme="minorEastAsia" w:hAnsiTheme="minorHAnsi" w:cstheme="minorBidi"/>
          <w:color w:val="auto"/>
          <w:sz w:val="22"/>
          <w:szCs w:val="22"/>
        </w:rPr>
      </w:pPr>
      <w:hyperlink w:anchor="_Toc93659538" w:history="1">
        <w:r w:rsidRPr="006D3A22">
          <w:rPr>
            <w:rStyle w:val="Hyperlink"/>
          </w:rPr>
          <w:t>Bans and Restrictions</w:t>
        </w:r>
        <w:r>
          <w:rPr>
            <w:webHidden/>
          </w:rPr>
          <w:tab/>
        </w:r>
        <w:r>
          <w:rPr>
            <w:webHidden/>
          </w:rPr>
          <w:fldChar w:fldCharType="begin"/>
        </w:r>
        <w:r>
          <w:rPr>
            <w:webHidden/>
          </w:rPr>
          <w:instrText xml:space="preserve"> PAGEREF _Toc93659538 \h </w:instrText>
        </w:r>
        <w:r>
          <w:rPr>
            <w:webHidden/>
          </w:rPr>
        </w:r>
        <w:r>
          <w:rPr>
            <w:webHidden/>
          </w:rPr>
          <w:fldChar w:fldCharType="separate"/>
        </w:r>
        <w:r>
          <w:rPr>
            <w:webHidden/>
          </w:rPr>
          <w:t>199</w:t>
        </w:r>
        <w:r>
          <w:rPr>
            <w:webHidden/>
          </w:rPr>
          <w:fldChar w:fldCharType="end"/>
        </w:r>
      </w:hyperlink>
    </w:p>
    <w:p w14:paraId="410327D4" w14:textId="5D4AD529" w:rsidR="00926282" w:rsidRDefault="00926282">
      <w:pPr>
        <w:pStyle w:val="TOC3"/>
        <w:rPr>
          <w:rFonts w:asciiTheme="minorHAnsi" w:eastAsiaTheme="minorEastAsia" w:hAnsiTheme="minorHAnsi" w:cstheme="minorBidi"/>
          <w:color w:val="auto"/>
          <w:sz w:val="22"/>
          <w:szCs w:val="22"/>
        </w:rPr>
      </w:pPr>
      <w:hyperlink w:anchor="_Toc93659539" w:history="1">
        <w:r w:rsidRPr="006D3A22">
          <w:rPr>
            <w:rStyle w:val="Hyperlink"/>
          </w:rPr>
          <w:t>Statewide Key Performance Indicators</w:t>
        </w:r>
        <w:r>
          <w:rPr>
            <w:webHidden/>
          </w:rPr>
          <w:tab/>
        </w:r>
        <w:r>
          <w:rPr>
            <w:webHidden/>
          </w:rPr>
          <w:fldChar w:fldCharType="begin"/>
        </w:r>
        <w:r>
          <w:rPr>
            <w:webHidden/>
          </w:rPr>
          <w:instrText xml:space="preserve"> PAGEREF _Toc93659539 \h </w:instrText>
        </w:r>
        <w:r>
          <w:rPr>
            <w:webHidden/>
          </w:rPr>
        </w:r>
        <w:r>
          <w:rPr>
            <w:webHidden/>
          </w:rPr>
          <w:fldChar w:fldCharType="separate"/>
        </w:r>
        <w:r>
          <w:rPr>
            <w:webHidden/>
          </w:rPr>
          <w:t>200</w:t>
        </w:r>
        <w:r>
          <w:rPr>
            <w:webHidden/>
          </w:rPr>
          <w:fldChar w:fldCharType="end"/>
        </w:r>
      </w:hyperlink>
    </w:p>
    <w:p w14:paraId="311BCF1A" w14:textId="4BE7E298" w:rsidR="00926282" w:rsidRDefault="00926282">
      <w:pPr>
        <w:pStyle w:val="TOC2"/>
        <w:rPr>
          <w:rFonts w:asciiTheme="minorHAnsi" w:eastAsiaTheme="minorEastAsia" w:hAnsiTheme="minorHAnsi" w:cstheme="minorBidi"/>
          <w:noProof/>
          <w:color w:val="auto"/>
          <w:sz w:val="22"/>
          <w:szCs w:val="22"/>
        </w:rPr>
      </w:pPr>
      <w:hyperlink w:anchor="_Toc93659540" w:history="1">
        <w:r w:rsidRPr="006D3A22">
          <w:rPr>
            <w:rStyle w:val="Hyperlink"/>
            <w:noProof/>
          </w:rPr>
          <w:t>Appendix E – Flooding and Drainage</w:t>
        </w:r>
        <w:r>
          <w:rPr>
            <w:noProof/>
            <w:webHidden/>
          </w:rPr>
          <w:tab/>
        </w:r>
        <w:r>
          <w:rPr>
            <w:noProof/>
            <w:webHidden/>
          </w:rPr>
          <w:fldChar w:fldCharType="begin"/>
        </w:r>
        <w:r>
          <w:rPr>
            <w:noProof/>
            <w:webHidden/>
          </w:rPr>
          <w:instrText xml:space="preserve"> PAGEREF _Toc93659540 \h </w:instrText>
        </w:r>
        <w:r>
          <w:rPr>
            <w:noProof/>
            <w:webHidden/>
          </w:rPr>
        </w:r>
        <w:r>
          <w:rPr>
            <w:noProof/>
            <w:webHidden/>
          </w:rPr>
          <w:fldChar w:fldCharType="separate"/>
        </w:r>
        <w:r>
          <w:rPr>
            <w:noProof/>
            <w:webHidden/>
          </w:rPr>
          <w:t>201</w:t>
        </w:r>
        <w:r>
          <w:rPr>
            <w:noProof/>
            <w:webHidden/>
          </w:rPr>
          <w:fldChar w:fldCharType="end"/>
        </w:r>
      </w:hyperlink>
    </w:p>
    <w:p w14:paraId="12E4DF2E" w14:textId="15B53415" w:rsidR="00926282" w:rsidRDefault="00926282">
      <w:pPr>
        <w:pStyle w:val="TOC2"/>
        <w:rPr>
          <w:rFonts w:asciiTheme="minorHAnsi" w:eastAsiaTheme="minorEastAsia" w:hAnsiTheme="minorHAnsi" w:cstheme="minorBidi"/>
          <w:noProof/>
          <w:color w:val="auto"/>
          <w:sz w:val="22"/>
          <w:szCs w:val="22"/>
        </w:rPr>
      </w:pPr>
      <w:hyperlink w:anchor="_Toc93659541" w:history="1">
        <w:r w:rsidRPr="006D3A22">
          <w:rPr>
            <w:rStyle w:val="Hyperlink"/>
            <w:noProof/>
          </w:rPr>
          <w:t>Appendix F – Communication on Progress, United Nations Global Compact</w:t>
        </w:r>
        <w:r>
          <w:rPr>
            <w:noProof/>
            <w:webHidden/>
          </w:rPr>
          <w:tab/>
        </w:r>
        <w:r>
          <w:rPr>
            <w:noProof/>
            <w:webHidden/>
          </w:rPr>
          <w:fldChar w:fldCharType="begin"/>
        </w:r>
        <w:r>
          <w:rPr>
            <w:noProof/>
            <w:webHidden/>
          </w:rPr>
          <w:instrText xml:space="preserve"> PAGEREF _Toc93659541 \h </w:instrText>
        </w:r>
        <w:r>
          <w:rPr>
            <w:noProof/>
            <w:webHidden/>
          </w:rPr>
        </w:r>
        <w:r>
          <w:rPr>
            <w:noProof/>
            <w:webHidden/>
          </w:rPr>
          <w:fldChar w:fldCharType="separate"/>
        </w:r>
        <w:r>
          <w:rPr>
            <w:noProof/>
            <w:webHidden/>
          </w:rPr>
          <w:t>203</w:t>
        </w:r>
        <w:r>
          <w:rPr>
            <w:noProof/>
            <w:webHidden/>
          </w:rPr>
          <w:fldChar w:fldCharType="end"/>
        </w:r>
      </w:hyperlink>
    </w:p>
    <w:p w14:paraId="7152AD2B" w14:textId="3D4E9776" w:rsidR="00926282" w:rsidRDefault="00926282">
      <w:pPr>
        <w:pStyle w:val="TOC3"/>
        <w:rPr>
          <w:rFonts w:asciiTheme="minorHAnsi" w:eastAsiaTheme="minorEastAsia" w:hAnsiTheme="minorHAnsi" w:cstheme="minorBidi"/>
          <w:color w:val="auto"/>
          <w:sz w:val="22"/>
          <w:szCs w:val="22"/>
        </w:rPr>
      </w:pPr>
      <w:hyperlink w:anchor="_Toc93659542" w:history="1">
        <w:r w:rsidRPr="006D3A22">
          <w:rPr>
            <w:rStyle w:val="Hyperlink"/>
          </w:rPr>
          <w:t>Global Compact – Human Rights</w:t>
        </w:r>
        <w:r>
          <w:rPr>
            <w:webHidden/>
          </w:rPr>
          <w:tab/>
        </w:r>
        <w:r>
          <w:rPr>
            <w:webHidden/>
          </w:rPr>
          <w:fldChar w:fldCharType="begin"/>
        </w:r>
        <w:r>
          <w:rPr>
            <w:webHidden/>
          </w:rPr>
          <w:instrText xml:space="preserve"> PAGEREF _Toc93659542 \h </w:instrText>
        </w:r>
        <w:r>
          <w:rPr>
            <w:webHidden/>
          </w:rPr>
        </w:r>
        <w:r>
          <w:rPr>
            <w:webHidden/>
          </w:rPr>
          <w:fldChar w:fldCharType="separate"/>
        </w:r>
        <w:r>
          <w:rPr>
            <w:webHidden/>
          </w:rPr>
          <w:t>203</w:t>
        </w:r>
        <w:r>
          <w:rPr>
            <w:webHidden/>
          </w:rPr>
          <w:fldChar w:fldCharType="end"/>
        </w:r>
      </w:hyperlink>
    </w:p>
    <w:p w14:paraId="0BCA3313" w14:textId="67804EA5" w:rsidR="00926282" w:rsidRDefault="00926282">
      <w:pPr>
        <w:pStyle w:val="TOC3"/>
        <w:rPr>
          <w:rFonts w:asciiTheme="minorHAnsi" w:eastAsiaTheme="minorEastAsia" w:hAnsiTheme="minorHAnsi" w:cstheme="minorBidi"/>
          <w:color w:val="auto"/>
          <w:sz w:val="22"/>
          <w:szCs w:val="22"/>
        </w:rPr>
      </w:pPr>
      <w:hyperlink w:anchor="_Toc93659543" w:history="1">
        <w:r w:rsidRPr="006D3A22">
          <w:rPr>
            <w:rStyle w:val="Hyperlink"/>
          </w:rPr>
          <w:t>Global Compact – Labour</w:t>
        </w:r>
        <w:r>
          <w:rPr>
            <w:webHidden/>
          </w:rPr>
          <w:tab/>
        </w:r>
        <w:r>
          <w:rPr>
            <w:webHidden/>
          </w:rPr>
          <w:fldChar w:fldCharType="begin"/>
        </w:r>
        <w:r>
          <w:rPr>
            <w:webHidden/>
          </w:rPr>
          <w:instrText xml:space="preserve"> PAGEREF _Toc93659543 \h </w:instrText>
        </w:r>
        <w:r>
          <w:rPr>
            <w:webHidden/>
          </w:rPr>
        </w:r>
        <w:r>
          <w:rPr>
            <w:webHidden/>
          </w:rPr>
          <w:fldChar w:fldCharType="separate"/>
        </w:r>
        <w:r>
          <w:rPr>
            <w:webHidden/>
          </w:rPr>
          <w:t>203</w:t>
        </w:r>
        <w:r>
          <w:rPr>
            <w:webHidden/>
          </w:rPr>
          <w:fldChar w:fldCharType="end"/>
        </w:r>
      </w:hyperlink>
    </w:p>
    <w:p w14:paraId="67161B78" w14:textId="51F262FB" w:rsidR="00926282" w:rsidRDefault="00926282">
      <w:pPr>
        <w:pStyle w:val="TOC3"/>
        <w:rPr>
          <w:rFonts w:asciiTheme="minorHAnsi" w:eastAsiaTheme="minorEastAsia" w:hAnsiTheme="minorHAnsi" w:cstheme="minorBidi"/>
          <w:color w:val="auto"/>
          <w:sz w:val="22"/>
          <w:szCs w:val="22"/>
        </w:rPr>
      </w:pPr>
      <w:hyperlink w:anchor="_Toc93659544" w:history="1">
        <w:r w:rsidRPr="006D3A22">
          <w:rPr>
            <w:rStyle w:val="Hyperlink"/>
          </w:rPr>
          <w:t>Global Compact – Environment</w:t>
        </w:r>
        <w:r>
          <w:rPr>
            <w:webHidden/>
          </w:rPr>
          <w:tab/>
        </w:r>
        <w:r>
          <w:rPr>
            <w:webHidden/>
          </w:rPr>
          <w:fldChar w:fldCharType="begin"/>
        </w:r>
        <w:r>
          <w:rPr>
            <w:webHidden/>
          </w:rPr>
          <w:instrText xml:space="preserve"> PAGEREF _Toc93659544 \h </w:instrText>
        </w:r>
        <w:r>
          <w:rPr>
            <w:webHidden/>
          </w:rPr>
        </w:r>
        <w:r>
          <w:rPr>
            <w:webHidden/>
          </w:rPr>
          <w:fldChar w:fldCharType="separate"/>
        </w:r>
        <w:r>
          <w:rPr>
            <w:webHidden/>
          </w:rPr>
          <w:t>204</w:t>
        </w:r>
        <w:r>
          <w:rPr>
            <w:webHidden/>
          </w:rPr>
          <w:fldChar w:fldCharType="end"/>
        </w:r>
      </w:hyperlink>
    </w:p>
    <w:p w14:paraId="5628B3F1" w14:textId="0EC9FCD1" w:rsidR="00926282" w:rsidRDefault="00926282">
      <w:pPr>
        <w:pStyle w:val="TOC3"/>
        <w:rPr>
          <w:rFonts w:asciiTheme="minorHAnsi" w:eastAsiaTheme="minorEastAsia" w:hAnsiTheme="minorHAnsi" w:cstheme="minorBidi"/>
          <w:color w:val="auto"/>
          <w:sz w:val="22"/>
          <w:szCs w:val="22"/>
        </w:rPr>
      </w:pPr>
      <w:hyperlink w:anchor="_Toc93659545" w:history="1">
        <w:r w:rsidRPr="006D3A22">
          <w:rPr>
            <w:rStyle w:val="Hyperlink"/>
          </w:rPr>
          <w:t>Global Compact – Anti-corruption</w:t>
        </w:r>
        <w:r>
          <w:rPr>
            <w:webHidden/>
          </w:rPr>
          <w:tab/>
        </w:r>
        <w:r>
          <w:rPr>
            <w:webHidden/>
          </w:rPr>
          <w:fldChar w:fldCharType="begin"/>
        </w:r>
        <w:r>
          <w:rPr>
            <w:webHidden/>
          </w:rPr>
          <w:instrText xml:space="preserve"> PAGEREF _Toc93659545 \h </w:instrText>
        </w:r>
        <w:r>
          <w:rPr>
            <w:webHidden/>
          </w:rPr>
        </w:r>
        <w:r>
          <w:rPr>
            <w:webHidden/>
          </w:rPr>
          <w:fldChar w:fldCharType="separate"/>
        </w:r>
        <w:r>
          <w:rPr>
            <w:webHidden/>
          </w:rPr>
          <w:t>205</w:t>
        </w:r>
        <w:r>
          <w:rPr>
            <w:webHidden/>
          </w:rPr>
          <w:fldChar w:fldCharType="end"/>
        </w:r>
      </w:hyperlink>
    </w:p>
    <w:p w14:paraId="728C0D39" w14:textId="68E23024" w:rsidR="00926282" w:rsidRDefault="00926282">
      <w:pPr>
        <w:pStyle w:val="TOC2"/>
        <w:rPr>
          <w:rFonts w:asciiTheme="minorHAnsi" w:eastAsiaTheme="minorEastAsia" w:hAnsiTheme="minorHAnsi" w:cstheme="minorBidi"/>
          <w:noProof/>
          <w:color w:val="auto"/>
          <w:sz w:val="22"/>
          <w:szCs w:val="22"/>
        </w:rPr>
      </w:pPr>
      <w:hyperlink w:anchor="_Toc93659546" w:history="1">
        <w:r w:rsidRPr="006D3A22">
          <w:rPr>
            <w:rStyle w:val="Hyperlink"/>
            <w:noProof/>
          </w:rPr>
          <w:t>Appendix G – Letter of Expectations</w:t>
        </w:r>
        <w:r>
          <w:rPr>
            <w:noProof/>
            <w:webHidden/>
          </w:rPr>
          <w:tab/>
        </w:r>
        <w:r>
          <w:rPr>
            <w:noProof/>
            <w:webHidden/>
          </w:rPr>
          <w:fldChar w:fldCharType="begin"/>
        </w:r>
        <w:r>
          <w:rPr>
            <w:noProof/>
            <w:webHidden/>
          </w:rPr>
          <w:instrText xml:space="preserve"> PAGEREF _Toc93659546 \h </w:instrText>
        </w:r>
        <w:r>
          <w:rPr>
            <w:noProof/>
            <w:webHidden/>
          </w:rPr>
        </w:r>
        <w:r>
          <w:rPr>
            <w:noProof/>
            <w:webHidden/>
          </w:rPr>
          <w:fldChar w:fldCharType="separate"/>
        </w:r>
        <w:r>
          <w:rPr>
            <w:noProof/>
            <w:webHidden/>
          </w:rPr>
          <w:t>206</w:t>
        </w:r>
        <w:r>
          <w:rPr>
            <w:noProof/>
            <w:webHidden/>
          </w:rPr>
          <w:fldChar w:fldCharType="end"/>
        </w:r>
      </w:hyperlink>
    </w:p>
    <w:p w14:paraId="01E43A66" w14:textId="205D401D" w:rsidR="00926282" w:rsidRDefault="00926282">
      <w:pPr>
        <w:pStyle w:val="TOC3"/>
        <w:rPr>
          <w:rFonts w:asciiTheme="minorHAnsi" w:eastAsiaTheme="minorEastAsia" w:hAnsiTheme="minorHAnsi" w:cstheme="minorBidi"/>
          <w:color w:val="auto"/>
          <w:sz w:val="22"/>
          <w:szCs w:val="22"/>
        </w:rPr>
      </w:pPr>
      <w:hyperlink w:anchor="_Toc93659547" w:history="1">
        <w:r w:rsidRPr="006D3A22">
          <w:rPr>
            <w:rStyle w:val="Hyperlink"/>
          </w:rPr>
          <w:t>Priority Area: Climate change</w:t>
        </w:r>
        <w:r>
          <w:rPr>
            <w:webHidden/>
          </w:rPr>
          <w:tab/>
        </w:r>
        <w:r>
          <w:rPr>
            <w:webHidden/>
          </w:rPr>
          <w:fldChar w:fldCharType="begin"/>
        </w:r>
        <w:r>
          <w:rPr>
            <w:webHidden/>
          </w:rPr>
          <w:instrText xml:space="preserve"> PAGEREF _Toc93659547 \h </w:instrText>
        </w:r>
        <w:r>
          <w:rPr>
            <w:webHidden/>
          </w:rPr>
        </w:r>
        <w:r>
          <w:rPr>
            <w:webHidden/>
          </w:rPr>
          <w:fldChar w:fldCharType="separate"/>
        </w:r>
        <w:r>
          <w:rPr>
            <w:webHidden/>
          </w:rPr>
          <w:t>206</w:t>
        </w:r>
        <w:r>
          <w:rPr>
            <w:webHidden/>
          </w:rPr>
          <w:fldChar w:fldCharType="end"/>
        </w:r>
      </w:hyperlink>
    </w:p>
    <w:p w14:paraId="2BA103BE" w14:textId="17957A7E" w:rsidR="00926282" w:rsidRDefault="00926282">
      <w:pPr>
        <w:pStyle w:val="TOC3"/>
        <w:rPr>
          <w:rFonts w:asciiTheme="minorHAnsi" w:eastAsiaTheme="minorEastAsia" w:hAnsiTheme="minorHAnsi" w:cstheme="minorBidi"/>
          <w:color w:val="auto"/>
          <w:sz w:val="22"/>
          <w:szCs w:val="22"/>
        </w:rPr>
      </w:pPr>
      <w:hyperlink w:anchor="_Toc93659548" w:history="1">
        <w:r w:rsidRPr="006D3A22">
          <w:rPr>
            <w:rStyle w:val="Hyperlink"/>
          </w:rPr>
          <w:t>Priority Area: Customer and community outcomes</w:t>
        </w:r>
        <w:r>
          <w:rPr>
            <w:webHidden/>
          </w:rPr>
          <w:tab/>
        </w:r>
        <w:r>
          <w:rPr>
            <w:webHidden/>
          </w:rPr>
          <w:fldChar w:fldCharType="begin"/>
        </w:r>
        <w:r>
          <w:rPr>
            <w:webHidden/>
          </w:rPr>
          <w:instrText xml:space="preserve"> PAGEREF _Toc93659548 \h </w:instrText>
        </w:r>
        <w:r>
          <w:rPr>
            <w:webHidden/>
          </w:rPr>
        </w:r>
        <w:r>
          <w:rPr>
            <w:webHidden/>
          </w:rPr>
          <w:fldChar w:fldCharType="separate"/>
        </w:r>
        <w:r>
          <w:rPr>
            <w:webHidden/>
          </w:rPr>
          <w:t>206</w:t>
        </w:r>
        <w:r>
          <w:rPr>
            <w:webHidden/>
          </w:rPr>
          <w:fldChar w:fldCharType="end"/>
        </w:r>
      </w:hyperlink>
    </w:p>
    <w:p w14:paraId="5B195BB4" w14:textId="4E964421" w:rsidR="00926282" w:rsidRDefault="00926282">
      <w:pPr>
        <w:pStyle w:val="TOC3"/>
        <w:rPr>
          <w:rFonts w:asciiTheme="minorHAnsi" w:eastAsiaTheme="minorEastAsia" w:hAnsiTheme="minorHAnsi" w:cstheme="minorBidi"/>
          <w:color w:val="auto"/>
          <w:sz w:val="22"/>
          <w:szCs w:val="22"/>
        </w:rPr>
      </w:pPr>
      <w:hyperlink w:anchor="_Toc93659549" w:history="1">
        <w:r w:rsidRPr="006D3A22">
          <w:rPr>
            <w:rStyle w:val="Hyperlink"/>
          </w:rPr>
          <w:t>Priority Area: Water for Aboriginal cultural, spiritual and economic values</w:t>
        </w:r>
        <w:r>
          <w:rPr>
            <w:webHidden/>
          </w:rPr>
          <w:tab/>
        </w:r>
        <w:r>
          <w:rPr>
            <w:webHidden/>
          </w:rPr>
          <w:fldChar w:fldCharType="begin"/>
        </w:r>
        <w:r>
          <w:rPr>
            <w:webHidden/>
          </w:rPr>
          <w:instrText xml:space="preserve"> PAGEREF _Toc93659549 \h </w:instrText>
        </w:r>
        <w:r>
          <w:rPr>
            <w:webHidden/>
          </w:rPr>
        </w:r>
        <w:r>
          <w:rPr>
            <w:webHidden/>
          </w:rPr>
          <w:fldChar w:fldCharType="separate"/>
        </w:r>
        <w:r>
          <w:rPr>
            <w:webHidden/>
          </w:rPr>
          <w:t>206</w:t>
        </w:r>
        <w:r>
          <w:rPr>
            <w:webHidden/>
          </w:rPr>
          <w:fldChar w:fldCharType="end"/>
        </w:r>
      </w:hyperlink>
    </w:p>
    <w:p w14:paraId="76DFE466" w14:textId="35FA6A9B" w:rsidR="00926282" w:rsidRDefault="00926282">
      <w:pPr>
        <w:pStyle w:val="TOC3"/>
        <w:rPr>
          <w:rFonts w:asciiTheme="minorHAnsi" w:eastAsiaTheme="minorEastAsia" w:hAnsiTheme="minorHAnsi" w:cstheme="minorBidi"/>
          <w:color w:val="auto"/>
          <w:sz w:val="22"/>
          <w:szCs w:val="22"/>
        </w:rPr>
      </w:pPr>
      <w:hyperlink w:anchor="_Toc93659550" w:history="1">
        <w:r w:rsidRPr="006D3A22">
          <w:rPr>
            <w:rStyle w:val="Hyperlink"/>
          </w:rPr>
          <w:t>Priority Area: Resilient and liveable cities and towns</w:t>
        </w:r>
        <w:r>
          <w:rPr>
            <w:webHidden/>
          </w:rPr>
          <w:tab/>
        </w:r>
        <w:r>
          <w:rPr>
            <w:webHidden/>
          </w:rPr>
          <w:fldChar w:fldCharType="begin"/>
        </w:r>
        <w:r>
          <w:rPr>
            <w:webHidden/>
          </w:rPr>
          <w:instrText xml:space="preserve"> PAGEREF _Toc93659550 \h </w:instrText>
        </w:r>
        <w:r>
          <w:rPr>
            <w:webHidden/>
          </w:rPr>
        </w:r>
        <w:r>
          <w:rPr>
            <w:webHidden/>
          </w:rPr>
          <w:fldChar w:fldCharType="separate"/>
        </w:r>
        <w:r>
          <w:rPr>
            <w:webHidden/>
          </w:rPr>
          <w:t>206</w:t>
        </w:r>
        <w:r>
          <w:rPr>
            <w:webHidden/>
          </w:rPr>
          <w:fldChar w:fldCharType="end"/>
        </w:r>
      </w:hyperlink>
    </w:p>
    <w:p w14:paraId="064A1F5C" w14:textId="305589B8" w:rsidR="00926282" w:rsidRDefault="00926282">
      <w:pPr>
        <w:pStyle w:val="TOC3"/>
        <w:rPr>
          <w:rFonts w:asciiTheme="minorHAnsi" w:eastAsiaTheme="minorEastAsia" w:hAnsiTheme="minorHAnsi" w:cstheme="minorBidi"/>
          <w:color w:val="auto"/>
          <w:sz w:val="22"/>
          <w:szCs w:val="22"/>
        </w:rPr>
      </w:pPr>
      <w:hyperlink w:anchor="_Toc93659551" w:history="1">
        <w:r w:rsidRPr="006D3A22">
          <w:rPr>
            <w:rStyle w:val="Hyperlink"/>
          </w:rPr>
          <w:t>Priority Area: Recognising recreational values</w:t>
        </w:r>
        <w:r>
          <w:rPr>
            <w:webHidden/>
          </w:rPr>
          <w:tab/>
        </w:r>
        <w:r>
          <w:rPr>
            <w:webHidden/>
          </w:rPr>
          <w:fldChar w:fldCharType="begin"/>
        </w:r>
        <w:r>
          <w:rPr>
            <w:webHidden/>
          </w:rPr>
          <w:instrText xml:space="preserve"> PAGEREF _Toc93659551 \h </w:instrText>
        </w:r>
        <w:r>
          <w:rPr>
            <w:webHidden/>
          </w:rPr>
        </w:r>
        <w:r>
          <w:rPr>
            <w:webHidden/>
          </w:rPr>
          <w:fldChar w:fldCharType="separate"/>
        </w:r>
        <w:r>
          <w:rPr>
            <w:webHidden/>
          </w:rPr>
          <w:t>206</w:t>
        </w:r>
        <w:r>
          <w:rPr>
            <w:webHidden/>
          </w:rPr>
          <w:fldChar w:fldCharType="end"/>
        </w:r>
      </w:hyperlink>
    </w:p>
    <w:p w14:paraId="64A1BB1A" w14:textId="20EDC1B6" w:rsidR="00926282" w:rsidRDefault="00926282">
      <w:pPr>
        <w:pStyle w:val="TOC3"/>
        <w:rPr>
          <w:rFonts w:asciiTheme="minorHAnsi" w:eastAsiaTheme="minorEastAsia" w:hAnsiTheme="minorHAnsi" w:cstheme="minorBidi"/>
          <w:color w:val="auto"/>
          <w:sz w:val="22"/>
          <w:szCs w:val="22"/>
        </w:rPr>
      </w:pPr>
      <w:hyperlink w:anchor="_Toc93659552" w:history="1">
        <w:r w:rsidRPr="006D3A22">
          <w:rPr>
            <w:rStyle w:val="Hyperlink"/>
          </w:rPr>
          <w:t>Priority Area: Leadership and culture</w:t>
        </w:r>
        <w:r>
          <w:rPr>
            <w:webHidden/>
          </w:rPr>
          <w:tab/>
        </w:r>
        <w:r>
          <w:rPr>
            <w:webHidden/>
          </w:rPr>
          <w:fldChar w:fldCharType="begin"/>
        </w:r>
        <w:r>
          <w:rPr>
            <w:webHidden/>
          </w:rPr>
          <w:instrText xml:space="preserve"> PAGEREF _Toc93659552 \h </w:instrText>
        </w:r>
        <w:r>
          <w:rPr>
            <w:webHidden/>
          </w:rPr>
        </w:r>
        <w:r>
          <w:rPr>
            <w:webHidden/>
          </w:rPr>
          <w:fldChar w:fldCharType="separate"/>
        </w:r>
        <w:r>
          <w:rPr>
            <w:webHidden/>
          </w:rPr>
          <w:t>207</w:t>
        </w:r>
        <w:r>
          <w:rPr>
            <w:webHidden/>
          </w:rPr>
          <w:fldChar w:fldCharType="end"/>
        </w:r>
      </w:hyperlink>
    </w:p>
    <w:p w14:paraId="2B93B481" w14:textId="4C31B7B8" w:rsidR="00926282" w:rsidRDefault="00926282">
      <w:pPr>
        <w:pStyle w:val="TOC3"/>
        <w:rPr>
          <w:rFonts w:asciiTheme="minorHAnsi" w:eastAsiaTheme="minorEastAsia" w:hAnsiTheme="minorHAnsi" w:cstheme="minorBidi"/>
          <w:color w:val="auto"/>
          <w:sz w:val="22"/>
          <w:szCs w:val="22"/>
        </w:rPr>
      </w:pPr>
      <w:hyperlink w:anchor="_Toc93659553" w:history="1">
        <w:r w:rsidRPr="006D3A22">
          <w:rPr>
            <w:rStyle w:val="Hyperlink"/>
          </w:rPr>
          <w:t>Priority Area: Financial sustainability</w:t>
        </w:r>
        <w:r>
          <w:rPr>
            <w:webHidden/>
          </w:rPr>
          <w:tab/>
        </w:r>
        <w:r>
          <w:rPr>
            <w:webHidden/>
          </w:rPr>
          <w:fldChar w:fldCharType="begin"/>
        </w:r>
        <w:r>
          <w:rPr>
            <w:webHidden/>
          </w:rPr>
          <w:instrText xml:space="preserve"> PAGEREF _Toc93659553 \h </w:instrText>
        </w:r>
        <w:r>
          <w:rPr>
            <w:webHidden/>
          </w:rPr>
        </w:r>
        <w:r>
          <w:rPr>
            <w:webHidden/>
          </w:rPr>
          <w:fldChar w:fldCharType="separate"/>
        </w:r>
        <w:r>
          <w:rPr>
            <w:webHidden/>
          </w:rPr>
          <w:t>207</w:t>
        </w:r>
        <w:r>
          <w:rPr>
            <w:webHidden/>
          </w:rPr>
          <w:fldChar w:fldCharType="end"/>
        </w:r>
      </w:hyperlink>
    </w:p>
    <w:p w14:paraId="292FFB0F" w14:textId="5C808D75" w:rsidR="000F2E97" w:rsidRDefault="00E5679C" w:rsidP="000F2E97">
      <w:pPr>
        <w:rPr>
          <w:rFonts w:ascii="Arial Bold" w:hAnsi="Arial Bold"/>
          <w:noProof/>
          <w:lang w:eastAsia="en-US"/>
        </w:rPr>
      </w:pPr>
      <w:r>
        <w:rPr>
          <w:lang w:eastAsia="en-US"/>
        </w:rPr>
        <w:fldChar w:fldCharType="end"/>
      </w:r>
      <w:r w:rsidR="000F2E97">
        <w:rPr>
          <w:lang w:eastAsia="en-US"/>
        </w:rPr>
        <w:br w:type="page"/>
      </w:r>
    </w:p>
    <w:p w14:paraId="5E2F8F21" w14:textId="4A044357" w:rsidR="00AD5FE9" w:rsidRPr="00444EBF" w:rsidRDefault="00AC2B9C" w:rsidP="005E3CDB">
      <w:pPr>
        <w:pStyle w:val="Heading1"/>
      </w:pPr>
      <w:bookmarkStart w:id="8" w:name="_Toc88809482"/>
      <w:bookmarkStart w:id="9" w:name="_Ref89719072"/>
      <w:bookmarkStart w:id="10" w:name="_Toc89722945"/>
      <w:bookmarkStart w:id="11" w:name="_Toc89723203"/>
      <w:bookmarkStart w:id="12" w:name="_Toc89723263"/>
      <w:bookmarkStart w:id="13" w:name="_Toc89860527"/>
      <w:bookmarkStart w:id="14" w:name="_Toc89860671"/>
      <w:bookmarkStart w:id="15" w:name="_Toc90325888"/>
      <w:bookmarkStart w:id="16" w:name="_Toc93659294"/>
      <w:r>
        <w:lastRenderedPageBreak/>
        <w:t>The Year in Review</w:t>
      </w:r>
      <w:bookmarkEnd w:id="8"/>
      <w:bookmarkEnd w:id="9"/>
      <w:bookmarkEnd w:id="10"/>
      <w:bookmarkEnd w:id="11"/>
      <w:bookmarkEnd w:id="12"/>
      <w:bookmarkEnd w:id="13"/>
      <w:bookmarkEnd w:id="14"/>
      <w:bookmarkEnd w:id="15"/>
      <w:bookmarkEnd w:id="16"/>
    </w:p>
    <w:p w14:paraId="7DE26B28" w14:textId="5D79FA59" w:rsidR="007441E2" w:rsidRDefault="007441E2" w:rsidP="007441E2">
      <w:pPr>
        <w:pStyle w:val="Heading2"/>
      </w:pPr>
      <w:bookmarkStart w:id="17" w:name="_Toc89722946"/>
      <w:bookmarkStart w:id="18" w:name="_Toc89723204"/>
      <w:bookmarkStart w:id="19" w:name="_Toc89723264"/>
      <w:bookmarkStart w:id="20" w:name="_Toc89860528"/>
      <w:bookmarkStart w:id="21" w:name="_Toc89860672"/>
      <w:bookmarkStart w:id="22" w:name="_Toc90325889"/>
      <w:bookmarkStart w:id="23" w:name="_Toc88809483"/>
      <w:bookmarkStart w:id="24" w:name="_Toc93659295"/>
      <w:r w:rsidRPr="00234701">
        <w:t>Report from the Chair and Managing Director</w:t>
      </w:r>
      <w:bookmarkEnd w:id="17"/>
      <w:bookmarkEnd w:id="18"/>
      <w:bookmarkEnd w:id="19"/>
      <w:bookmarkEnd w:id="20"/>
      <w:bookmarkEnd w:id="21"/>
      <w:bookmarkEnd w:id="22"/>
      <w:bookmarkEnd w:id="24"/>
    </w:p>
    <w:p w14:paraId="60823694" w14:textId="61C25E24" w:rsidR="007441E2" w:rsidRDefault="007441E2" w:rsidP="007441E2">
      <w:pPr>
        <w:pStyle w:val="BodyText"/>
      </w:pPr>
      <w:r>
        <w:t>The exceptional circumstances of the past year have changed our society in unprecedented ways. In the face of such challenges as the coronavirus (</w:t>
      </w:r>
      <w:r w:rsidR="0030196D">
        <w:t>COVID</w:t>
      </w:r>
      <w:r w:rsidR="0030196D">
        <w:noBreakHyphen/>
        <w:t>19</w:t>
      </w:r>
      <w:r>
        <w:t>) pandemic and significant storm events, our people have risen and excelled, continuing to deliver Melbourne Water’s essential services to our customers and the community. While our strategy remains on course, we strive to deliver new value and support the State of Victoria to ‘build back better’ in a post-</w:t>
      </w:r>
      <w:r w:rsidR="0030196D">
        <w:t>COVID</w:t>
      </w:r>
      <w:r w:rsidR="0030196D">
        <w:noBreakHyphen/>
        <w:t>19</w:t>
      </w:r>
      <w:r>
        <w:t xml:space="preserve"> society.</w:t>
      </w:r>
    </w:p>
    <w:p w14:paraId="1806F55D" w14:textId="2963A287" w:rsidR="007441E2" w:rsidRDefault="007441E2" w:rsidP="007441E2">
      <w:pPr>
        <w:pStyle w:val="BodyText"/>
      </w:pPr>
      <w:r>
        <w:t>Driven by an ambition to be bolder and more innovative in our approach to the way we work, Melbourne Water is incorporating new technologies, behavioural research, expanded digital engagement and sector collaboration to deliver on our vision to enhance life and liveability.</w:t>
      </w:r>
    </w:p>
    <w:p w14:paraId="5DFFB15F" w14:textId="77777777" w:rsidR="007441E2" w:rsidRPr="00234701" w:rsidRDefault="007441E2" w:rsidP="00234701">
      <w:pPr>
        <w:pStyle w:val="BodyText"/>
        <w:rPr>
          <w:rStyle w:val="Bold"/>
        </w:rPr>
      </w:pPr>
      <w:r w:rsidRPr="000331C0">
        <w:rPr>
          <w:rStyle w:val="Bold"/>
        </w:rPr>
        <w:t>Enhancing life and liveability for greater Melbourne</w:t>
      </w:r>
    </w:p>
    <w:p w14:paraId="1E35B142" w14:textId="6736E5F8" w:rsidR="007441E2" w:rsidRDefault="007441E2" w:rsidP="007441E2">
      <w:pPr>
        <w:pStyle w:val="BodyText"/>
      </w:pPr>
      <w:r>
        <w:t xml:space="preserve">Visitation to all publicly accessible Melbourne Water spaces tripled, and in some cases quadrupled, during Melbourne’s 2020 </w:t>
      </w:r>
      <w:r w:rsidR="0030196D">
        <w:t>COVID</w:t>
      </w:r>
      <w:r w:rsidR="0030196D">
        <w:noBreakHyphen/>
        <w:t>19</w:t>
      </w:r>
      <w:r>
        <w:t xml:space="preserve"> lockdown, with more people visiting parks and waterways for their physical and mental health than ever before. Community satisfaction with local waterways in 2020 was also the highest ever recorded, confirming their essential contribution to liveability values in Melbourne and their role in shaping a sense of place and space in suburbia.</w:t>
      </w:r>
    </w:p>
    <w:p w14:paraId="021F9C06" w14:textId="77777777" w:rsidR="007441E2" w:rsidRDefault="007441E2" w:rsidP="007441E2">
      <w:pPr>
        <w:pStyle w:val="BodyText"/>
      </w:pPr>
      <w:r>
        <w:t>Through our Pricing Submission engagement, the community told us they wanted increased efforts to promote waterway health. We responded to this need with commitments to protect water quality through increased stormwater capture and investments in vegetation. Planned enhancements to our sewerage service and contributions to the circular economy will further protect bay health with reduced contaminants from wastewater released to the bay, even as Melbourne grows.</w:t>
      </w:r>
    </w:p>
    <w:p w14:paraId="5A69BAAC" w14:textId="59DAEE3D" w:rsidR="007441E2" w:rsidRDefault="007441E2" w:rsidP="007441E2">
      <w:pPr>
        <w:pStyle w:val="BodyText"/>
      </w:pPr>
      <w:r>
        <w:t xml:space="preserve">We have collaborated with project partners, community representatives and residents to transform creeks and stormwater drains into natural waterways and improve accessibility to our land, thereby enhancing open space across Melbourne. The Waterway Blitz program had a significant impact on improving the health of Melbourne’s waterways, while creating more than 100 jobs for people and businesses impacted by </w:t>
      </w:r>
      <w:r w:rsidR="0030196D">
        <w:t>COVID</w:t>
      </w:r>
      <w:r w:rsidR="0030196D">
        <w:noBreakHyphen/>
        <w:t>19</w:t>
      </w:r>
      <w:r>
        <w:t>. Our urban cooling plantings have added thousands of native shrubs, trees and grasses in vegetation, providing shade for regional parks and trails as well as improving habitat, community engagement and appreciation of waterways.</w:t>
      </w:r>
    </w:p>
    <w:p w14:paraId="0C9966FC" w14:textId="6D286394" w:rsidR="00AC2B9C" w:rsidRDefault="007441E2" w:rsidP="007441E2">
      <w:pPr>
        <w:pStyle w:val="BodyText"/>
      </w:pPr>
      <w:r>
        <w:t>We have invested in the sustainability of Melbourne’s critical infrastructure with a total capital expenditure of $627.8 million for the year across all our services.</w:t>
      </w:r>
    </w:p>
    <w:p w14:paraId="6460794D" w14:textId="77777777" w:rsidR="007441E2" w:rsidRPr="00234701" w:rsidRDefault="007441E2" w:rsidP="00234701">
      <w:pPr>
        <w:pStyle w:val="BodyText"/>
        <w:rPr>
          <w:rStyle w:val="Bold"/>
        </w:rPr>
      </w:pPr>
      <w:r w:rsidRPr="00234701">
        <w:rPr>
          <w:rStyle w:val="Bold"/>
        </w:rPr>
        <w:t>Collaborating for the future</w:t>
      </w:r>
    </w:p>
    <w:p w14:paraId="57E0D85D" w14:textId="505C175D" w:rsidR="007441E2" w:rsidRDefault="007441E2" w:rsidP="007441E2">
      <w:pPr>
        <w:pStyle w:val="BodyText"/>
      </w:pPr>
      <w:r>
        <w:t xml:space="preserve">A significant focus this year has been Melbourne Water’s work with partners in the Victorian water sector to set our collective future direction in water security and flood management. The </w:t>
      </w:r>
      <w:r w:rsidRPr="007441E2">
        <w:rPr>
          <w:rStyle w:val="ItalicText"/>
        </w:rPr>
        <w:t xml:space="preserve">Central and Gippsland Region Sustainable Water Strategy </w:t>
      </w:r>
      <w:r>
        <w:t xml:space="preserve">and the </w:t>
      </w:r>
      <w:r w:rsidRPr="007441E2">
        <w:rPr>
          <w:rStyle w:val="ItalicText"/>
        </w:rPr>
        <w:t>Greater Melbourne Urban Water System Strategy</w:t>
      </w:r>
      <w:r>
        <w:t xml:space="preserve"> outline significant opportunities for the water sector in our region to advance sustainable water outcomes for future generations. Delivering on the </w:t>
      </w:r>
      <w:r w:rsidRPr="007441E2">
        <w:rPr>
          <w:rStyle w:val="ItalicText"/>
        </w:rPr>
        <w:t>Central and Gippsland Region Sustainable Water Strategy</w:t>
      </w:r>
      <w:r>
        <w:t xml:space="preserve"> over the next 10 years will provide ongoing water security as our climate becomes drier, and improve the environment and health of our rivers and waterways.</w:t>
      </w:r>
    </w:p>
    <w:p w14:paraId="20A07BC4" w14:textId="69651FD9" w:rsidR="007441E2" w:rsidRDefault="007441E2" w:rsidP="007441E2">
      <w:pPr>
        <w:pStyle w:val="BodyText"/>
      </w:pPr>
      <w:r>
        <w:t xml:space="preserve">The refreshed </w:t>
      </w:r>
      <w:r w:rsidRPr="007441E2">
        <w:rPr>
          <w:rStyle w:val="ItalicText"/>
        </w:rPr>
        <w:t>Flood Management Strategy for Port Philip and Westernport</w:t>
      </w:r>
      <w:r>
        <w:t xml:space="preserve"> underscores the broader benefits that integrated water management can bring to liveability and draws on contributions from 62 organisations, with Melbourne Water leading its development. The strategy confirms the commitment of partners to continue working together, alongside the community, on flood management solutions that manage climate change and achieve multiple benefits.</w:t>
      </w:r>
    </w:p>
    <w:p w14:paraId="47B8C906" w14:textId="77777777" w:rsidR="007441E2" w:rsidRPr="00234701" w:rsidRDefault="007441E2" w:rsidP="00234701">
      <w:pPr>
        <w:pStyle w:val="BodyText"/>
        <w:rPr>
          <w:rStyle w:val="Bold"/>
        </w:rPr>
      </w:pPr>
      <w:r w:rsidRPr="00234701">
        <w:rPr>
          <w:rStyle w:val="Bold"/>
        </w:rPr>
        <w:lastRenderedPageBreak/>
        <w:t>Delivering value through innovation</w:t>
      </w:r>
    </w:p>
    <w:p w14:paraId="0D874803" w14:textId="15F61F0E" w:rsidR="007441E2" w:rsidRDefault="007441E2" w:rsidP="007441E2">
      <w:pPr>
        <w:pStyle w:val="BodyText"/>
      </w:pPr>
      <w:r>
        <w:t xml:space="preserve">Innovation is entrenched in Melbourne Water’s culture, and our digital transformation program is helping us find new ways to deliver better value for our customers. Melbourne Water was again named in the top 10 most innovative government, education and not-for-profit firms in the 2020 </w:t>
      </w:r>
      <w:r w:rsidRPr="007441E2">
        <w:rPr>
          <w:rStyle w:val="ItalicText"/>
        </w:rPr>
        <w:t>Australian Financial Review BOSS</w:t>
      </w:r>
      <w:r>
        <w:t xml:space="preserve"> Most Innovative Companies list. In partnership with Deakin University, we designed and built a world-first Confined Space Entry Simulator which enables employees to fully experience the confined space of a sewer from the safety of the office.</w:t>
      </w:r>
    </w:p>
    <w:p w14:paraId="5F8F5CA5" w14:textId="09256925" w:rsidR="007441E2" w:rsidRDefault="007441E2" w:rsidP="007441E2">
      <w:pPr>
        <w:pStyle w:val="BodyText"/>
      </w:pPr>
      <w:r>
        <w:t>Our ambitious program to automate our water transfer network continued this year. As part of this program, we are deploying artificial intelligence across our network for a more reliable system, delivering cost and environmental benefits through reduced pumping costs and chemical usage.</w:t>
      </w:r>
    </w:p>
    <w:p w14:paraId="43BCA828" w14:textId="0DA41B54" w:rsidR="007441E2" w:rsidRDefault="007441E2" w:rsidP="007441E2">
      <w:pPr>
        <w:pStyle w:val="BodyText"/>
      </w:pPr>
      <w:r>
        <w:t>We also advanced our solar energy program, with contracts awarded for solar electricity plants at both our Eastern and Winneke treatment plants. Once commissioned, these solar projects will reduce our greenhouse footprint and energy costs, supporting downward pressure on prices. We are also improving the way we use energy by adopting artificial intelligence technology that maximises the value of variable electricity tariffs. This project is in collaboration with the energy sector and supports a smarter, more efficient energy grid for greater Melbourne.</w:t>
      </w:r>
    </w:p>
    <w:p w14:paraId="378BE312" w14:textId="77777777" w:rsidR="007441E2" w:rsidRPr="00234701" w:rsidRDefault="007441E2" w:rsidP="00234701">
      <w:pPr>
        <w:pStyle w:val="BodyText"/>
        <w:rPr>
          <w:rStyle w:val="Bold"/>
        </w:rPr>
      </w:pPr>
      <w:r w:rsidRPr="00234701">
        <w:rPr>
          <w:rStyle w:val="Bold"/>
        </w:rPr>
        <w:t>Customer engagement</w:t>
      </w:r>
    </w:p>
    <w:p w14:paraId="4181203F" w14:textId="37372AC1" w:rsidR="007441E2" w:rsidRDefault="007441E2" w:rsidP="007441E2">
      <w:pPr>
        <w:pStyle w:val="BodyText"/>
      </w:pPr>
      <w:r>
        <w:t xml:space="preserve">Our Next Generation Community Engagement Program (NextGen) ensures our services and the way we deliver them is informed by community input, increasing the value delivered to our customers. </w:t>
      </w:r>
      <w:r w:rsidR="0030196D">
        <w:t>Next Generation Community Engagement Program</w:t>
      </w:r>
      <w:r>
        <w:t xml:space="preserve"> supported engagement in significant projects including development of the 2021 Pricing Submission, Waterways Drainage and Investment Plan and strategies for our water and flooding services. Online participation across our engagement program increased by 72 per cent, reflecting increased community acceptance and uptake of online engagement as a way to provide feedback.</w:t>
      </w:r>
    </w:p>
    <w:p w14:paraId="565491C0" w14:textId="3186EA4A" w:rsidR="00545B81" w:rsidRDefault="00545B81" w:rsidP="00545B81">
      <w:pPr>
        <w:pStyle w:val="BodyText"/>
      </w:pPr>
      <w:r>
        <w:t>Water literacy campaigns, new digital resources and engagement tools have helped broaden community knowledge of the water cycle and encourage water efficient behaviours. Further campaigns have supported enhanced liveability outcomes for communities, including participation in litter management on waterways and launching Melbourne Water’s Path to Net Zero commitment to reducing our greenhouse gas impact.</w:t>
      </w:r>
    </w:p>
    <w:p w14:paraId="05685210" w14:textId="1FD6F832" w:rsidR="00545B81" w:rsidRPr="00234701" w:rsidRDefault="00545B81" w:rsidP="00234701">
      <w:pPr>
        <w:pStyle w:val="BodyText"/>
        <w:rPr>
          <w:rStyle w:val="Bold"/>
        </w:rPr>
      </w:pPr>
      <w:r w:rsidRPr="00234701">
        <w:rPr>
          <w:rStyle w:val="Bold"/>
        </w:rPr>
        <w:t>Investing in our people</w:t>
      </w:r>
    </w:p>
    <w:p w14:paraId="5D1C3E0D" w14:textId="36C2988F" w:rsidR="00545B81" w:rsidRDefault="00545B81" w:rsidP="00545B81">
      <w:pPr>
        <w:pStyle w:val="BodyText"/>
      </w:pPr>
      <w:r>
        <w:t>Our ambition to be a learning organisation remains one of Melbourne Water’s main priorities. As an example, we have partnered with BehaviourWorks Australia on a behavioural research project exploring the societal benefits for new ways of working that embrace flexibility and collaboration, with the vision to prove that flexible and blended work enhances life and liveability for us all.</w:t>
      </w:r>
    </w:p>
    <w:p w14:paraId="1516312D" w14:textId="1346ED2F" w:rsidR="00545B81" w:rsidRDefault="00545B81" w:rsidP="00545B81">
      <w:pPr>
        <w:pStyle w:val="BodyText"/>
      </w:pPr>
      <w:r>
        <w:t>Our employee engagement score of 77 (out of 100) has highlighted our organisation’s resilience and commitment to purpose, underlined by our inclusion in the top 10 of Australia and New Zealand’s Best Places to Work on the 2021 AFR BOSS Best Places to Work List.</w:t>
      </w:r>
    </w:p>
    <w:p w14:paraId="5855FEA3" w14:textId="77D74478" w:rsidR="00545B81" w:rsidRDefault="00545B81" w:rsidP="00545B81">
      <w:pPr>
        <w:pStyle w:val="BodyText"/>
      </w:pPr>
      <w:r>
        <w:t xml:space="preserve">During </w:t>
      </w:r>
      <w:r w:rsidR="0030196D">
        <w:t>COVID</w:t>
      </w:r>
      <w:r w:rsidR="0030196D">
        <w:noBreakHyphen/>
        <w:t>19</w:t>
      </w:r>
      <w:r>
        <w:t xml:space="preserve"> restrictions over the past year we supported the wellbeing of our people through a series of virtual mental health sessions with medical experts, and personal home delivery of care packs. Our New Beginnings Forest project in Altona saw a quarter of our employees planting over 10,000 trees and plants, coming together as restrictions eased to celebrate new beginnings, and leaving a legacy of hope and a sustainable environment for the future.</w:t>
      </w:r>
    </w:p>
    <w:p w14:paraId="76168782" w14:textId="77777777" w:rsidR="00545B81" w:rsidRPr="00234701" w:rsidRDefault="00545B81" w:rsidP="00554ADD">
      <w:pPr>
        <w:pStyle w:val="BodyText"/>
        <w:keepNext/>
        <w:keepLines/>
        <w:rPr>
          <w:rStyle w:val="Bold"/>
        </w:rPr>
      </w:pPr>
      <w:r w:rsidRPr="00234701">
        <w:rPr>
          <w:rStyle w:val="Bold"/>
        </w:rPr>
        <w:lastRenderedPageBreak/>
        <w:t>Supporting a sustainable society</w:t>
      </w:r>
    </w:p>
    <w:p w14:paraId="6A40DD30" w14:textId="17022BD0" w:rsidR="00545B81" w:rsidRDefault="00545B81" w:rsidP="00554ADD">
      <w:pPr>
        <w:pStyle w:val="BodyText"/>
        <w:keepNext/>
        <w:keepLines/>
      </w:pPr>
      <w:r>
        <w:t xml:space="preserve">Melbourne Water continues to support the United Nations (UN) Global Compact – the world’s largest corporate sustainability initiative. As a signatory to the Compact, we continued our commitment to embed the 17 </w:t>
      </w:r>
      <w:r w:rsidR="0030196D">
        <w:t>United Nations</w:t>
      </w:r>
      <w:r>
        <w:t xml:space="preserve"> Sustainable Development Goals (SDGs) into our operations. In response to community concern about climate change and government policy, our Path to Net Zero program for carbon reduction continues through established practices and planned initiatives.</w:t>
      </w:r>
    </w:p>
    <w:p w14:paraId="213FB520" w14:textId="0CDC8878" w:rsidR="00545B81" w:rsidRPr="00234701" w:rsidRDefault="00545B81" w:rsidP="00234701">
      <w:pPr>
        <w:pStyle w:val="BodyText"/>
        <w:rPr>
          <w:rStyle w:val="Bold"/>
        </w:rPr>
      </w:pPr>
      <w:bookmarkStart w:id="25" w:name="Attestation"/>
      <w:r w:rsidRPr="00234701">
        <w:rPr>
          <w:rStyle w:val="Bold"/>
        </w:rPr>
        <w:t>We are committed to keeping prices low and supporting the Victorian economy</w:t>
      </w:r>
    </w:p>
    <w:bookmarkEnd w:id="25"/>
    <w:p w14:paraId="35998F72" w14:textId="4E2F2AB8" w:rsidR="00545B81" w:rsidRDefault="00545B81" w:rsidP="00545B81">
      <w:pPr>
        <w:pStyle w:val="BodyText"/>
      </w:pPr>
      <w:r>
        <w:t xml:space="preserve">Despite the financial impacts and uncertainties resulting from </w:t>
      </w:r>
      <w:r w:rsidR="0030196D">
        <w:t>COVID</w:t>
      </w:r>
      <w:r w:rsidR="0030196D">
        <w:noBreakHyphen/>
        <w:t>19</w:t>
      </w:r>
      <w:r>
        <w:t>, Melbourne Water has remained a financially strong and viable business, keeping customer bills affordable and delivering strong dividends to the Victorian Government.</w:t>
      </w:r>
    </w:p>
    <w:p w14:paraId="6F65E6DA" w14:textId="286F4F62" w:rsidR="007441E2" w:rsidRDefault="00545B81" w:rsidP="00545B81">
      <w:pPr>
        <w:pStyle w:val="BodyText"/>
      </w:pPr>
      <w:r>
        <w:t xml:space="preserve">In June we finalised our five-year Price Submission to the Essential Services Commission (ESC). As a result of the final </w:t>
      </w:r>
      <w:r w:rsidR="00965CBF">
        <w:t>Essential Services Commission</w:t>
      </w:r>
      <w:r>
        <w:t xml:space="preserve"> decision, water prices will fall, with an average water bill reduction of around $20 in the 2021-22 financial year for a typical residential household.</w:t>
      </w:r>
    </w:p>
    <w:p w14:paraId="1BC44979" w14:textId="6BB91F0F" w:rsidR="00545B81" w:rsidRDefault="00545B81" w:rsidP="00545B81">
      <w:pPr>
        <w:pStyle w:val="BodyText"/>
      </w:pPr>
      <w:r>
        <w:t>We take this opportunity to thank our government stakeholders, partners, suppliers and the community for their part in helping us to provide valued services to all Melburnians. We also extend our appreciation to every individual working at Melbourne Water, whose resilience and commitment to making Melbourne a great place to live is the foundation of our success.</w:t>
      </w:r>
    </w:p>
    <w:p w14:paraId="7432036E" w14:textId="3055458B" w:rsidR="004F67FC" w:rsidRDefault="00545B81" w:rsidP="00545B81">
      <w:pPr>
        <w:pStyle w:val="BodyText"/>
      </w:pPr>
      <w:r>
        <w:t xml:space="preserve">In accordance with the </w:t>
      </w:r>
      <w:r w:rsidRPr="00545B81">
        <w:rPr>
          <w:rStyle w:val="ItalicText"/>
        </w:rPr>
        <w:t>Financial Management Act 1994</w:t>
      </w:r>
      <w:r>
        <w:t>, we are pleased to present Melbourne Water’s Annual Report for the year ended 30 June 2021.</w:t>
      </w:r>
    </w:p>
    <w:p w14:paraId="2CE4DF06" w14:textId="634CBC20" w:rsidR="004F67FC" w:rsidRDefault="004F67FC" w:rsidP="00545B81">
      <w:pPr>
        <w:pStyle w:val="BodyText"/>
        <w:sectPr w:rsidR="004F67FC" w:rsidSect="00CF70F9">
          <w:endnotePr>
            <w:numFmt w:val="decimal"/>
          </w:endnotePr>
          <w:type w:val="continuous"/>
          <w:pgSz w:w="11900" w:h="16840"/>
          <w:pgMar w:top="1134" w:right="851" w:bottom="1134" w:left="1418" w:header="709" w:footer="709" w:gutter="0"/>
          <w:cols w:space="289"/>
          <w:docGrid w:linePitch="360"/>
        </w:sectPr>
      </w:pPr>
    </w:p>
    <w:p w14:paraId="6C239F46" w14:textId="77777777" w:rsidR="00545B81" w:rsidRPr="004F67FC" w:rsidRDefault="00545B81" w:rsidP="004F67FC">
      <w:bookmarkStart w:id="26" w:name="YearinReviewend"/>
      <w:r>
        <w:t xml:space="preserve">John </w:t>
      </w:r>
      <w:r w:rsidRPr="004F67FC">
        <w:t>Thwaites</w:t>
      </w:r>
    </w:p>
    <w:bookmarkEnd w:id="26"/>
    <w:p w14:paraId="2DA23F82" w14:textId="77777777" w:rsidR="00545B81" w:rsidRPr="004F67FC" w:rsidRDefault="00545B81" w:rsidP="004F67FC">
      <w:r w:rsidRPr="004F67FC">
        <w:t>Chair</w:t>
      </w:r>
    </w:p>
    <w:p w14:paraId="63C03EF9" w14:textId="591C9646" w:rsidR="00545B81" w:rsidRDefault="00545B81" w:rsidP="004F67FC">
      <w:r w:rsidRPr="004F67FC">
        <w:t>27 August</w:t>
      </w:r>
      <w:r>
        <w:t xml:space="preserve"> 2021</w:t>
      </w:r>
    </w:p>
    <w:p w14:paraId="5476DF34" w14:textId="01BDA080" w:rsidR="004F67FC" w:rsidRDefault="004F67FC" w:rsidP="004F67FC">
      <w:r>
        <w:t>Michael Wandmaker</w:t>
      </w:r>
    </w:p>
    <w:p w14:paraId="6F5DC194" w14:textId="77777777" w:rsidR="004F67FC" w:rsidRDefault="004F67FC" w:rsidP="004F67FC">
      <w:r>
        <w:t>Managing Director</w:t>
      </w:r>
    </w:p>
    <w:p w14:paraId="2C48D91B" w14:textId="77777777" w:rsidR="004F67FC" w:rsidRDefault="004F67FC" w:rsidP="004F67FC">
      <w:r>
        <w:t>27 August 2021</w:t>
      </w:r>
    </w:p>
    <w:p w14:paraId="32CB3849" w14:textId="393B2009" w:rsidR="004F67FC" w:rsidRDefault="004F67FC" w:rsidP="004F67FC">
      <w:pPr>
        <w:sectPr w:rsidR="004F67FC" w:rsidSect="00CF70F9">
          <w:endnotePr>
            <w:numFmt w:val="decimal"/>
          </w:endnotePr>
          <w:type w:val="continuous"/>
          <w:pgSz w:w="11900" w:h="16840"/>
          <w:pgMar w:top="1134" w:right="851" w:bottom="1134" w:left="1418" w:header="709" w:footer="709" w:gutter="0"/>
          <w:cols w:num="2" w:space="289" w:equalWidth="0">
            <w:col w:w="3119" w:space="289"/>
            <w:col w:w="6223"/>
          </w:cols>
          <w:docGrid w:linePitch="360"/>
        </w:sectPr>
      </w:pPr>
    </w:p>
    <w:p w14:paraId="38BDE527" w14:textId="40E7DE5D" w:rsidR="004F67FC" w:rsidRPr="00AB43E6" w:rsidRDefault="004F67FC" w:rsidP="00AB43E6">
      <w:pPr>
        <w:pStyle w:val="BodyText"/>
        <w:rPr>
          <w:rStyle w:val="Bold"/>
        </w:rPr>
      </w:pPr>
      <w:r w:rsidRPr="00AB43E6">
        <w:rPr>
          <w:rStyle w:val="Bold"/>
        </w:rPr>
        <w:t>Melbourne Water’s Operating Area</w:t>
      </w:r>
    </w:p>
    <w:p w14:paraId="1A4A7E17" w14:textId="201E6810" w:rsidR="00586D59" w:rsidRPr="00586D59" w:rsidRDefault="00AB43E6" w:rsidP="00AB43E6">
      <w:pPr>
        <w:rPr>
          <w:lang w:eastAsia="en-US"/>
        </w:rPr>
      </w:pPr>
      <w:r w:rsidRPr="00AB43E6">
        <w:rPr>
          <w:noProof/>
        </w:rPr>
        <w:drawing>
          <wp:inline distT="0" distB="0" distL="0" distR="0" wp14:anchorId="498AE5A2" wp14:editId="44737676">
            <wp:extent cx="6116400" cy="3938400"/>
            <wp:effectExtent l="0" t="0" r="0" b="5080"/>
            <wp:docPr id="3" name="Picture 3" descr="A map of Melbourne Water's operating area, highlighting the catchments of Werribee, Maribyrnong, Yarra River, Dandenong and Western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Melbourne Water's operating area, highlighting the catchments of Werribee, Maribyrnong, Yarra River, Dandenong and Westernpor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6400" cy="3938400"/>
                    </a:xfrm>
                    <a:prstGeom prst="rect">
                      <a:avLst/>
                    </a:prstGeom>
                  </pic:spPr>
                </pic:pic>
              </a:graphicData>
            </a:graphic>
          </wp:inline>
        </w:drawing>
      </w:r>
    </w:p>
    <w:p w14:paraId="3F6D6553" w14:textId="571BAD6F" w:rsidR="00586D59" w:rsidRDefault="00586D59" w:rsidP="00586D59">
      <w:pPr>
        <w:pStyle w:val="Heading1"/>
      </w:pPr>
      <w:bookmarkStart w:id="27" w:name="_Ref89719289"/>
      <w:bookmarkStart w:id="28" w:name="_Toc89722947"/>
      <w:bookmarkStart w:id="29" w:name="_Toc89723205"/>
      <w:bookmarkStart w:id="30" w:name="_Toc89723265"/>
      <w:bookmarkStart w:id="31" w:name="_Toc89860529"/>
      <w:bookmarkStart w:id="32" w:name="_Toc89860673"/>
      <w:bookmarkStart w:id="33" w:name="_Toc90325890"/>
      <w:bookmarkStart w:id="34" w:name="_Toc93659296"/>
      <w:r>
        <w:lastRenderedPageBreak/>
        <w:t>Who We Are and How We Work</w:t>
      </w:r>
      <w:bookmarkEnd w:id="27"/>
      <w:bookmarkEnd w:id="28"/>
      <w:bookmarkEnd w:id="29"/>
      <w:bookmarkEnd w:id="30"/>
      <w:bookmarkEnd w:id="31"/>
      <w:bookmarkEnd w:id="32"/>
      <w:bookmarkEnd w:id="33"/>
      <w:bookmarkEnd w:id="34"/>
    </w:p>
    <w:p w14:paraId="25566DEF" w14:textId="34C33C2A" w:rsidR="008F0BCE" w:rsidRDefault="00586D59" w:rsidP="00586D59">
      <w:pPr>
        <w:pStyle w:val="BodyText"/>
        <w:rPr>
          <w:lang w:eastAsia="en-US"/>
        </w:rPr>
      </w:pPr>
      <w:r>
        <w:rPr>
          <w:lang w:eastAsia="en-US"/>
        </w:rPr>
        <w:t>Melbourne Water is owned by the Victorian Government and is the supplier of wholesale water, sewerage, drainage and waterway management services for greater Melbourne.</w:t>
      </w:r>
    </w:p>
    <w:p w14:paraId="21A83A47" w14:textId="13C544AA" w:rsidR="00586D59" w:rsidRDefault="00586D59" w:rsidP="00586D59">
      <w:pPr>
        <w:pStyle w:val="Heading2"/>
      </w:pPr>
      <w:bookmarkStart w:id="35" w:name="_Ref89719984"/>
      <w:bookmarkStart w:id="36" w:name="_Toc89722948"/>
      <w:bookmarkStart w:id="37" w:name="_Toc89723206"/>
      <w:bookmarkStart w:id="38" w:name="_Toc89723266"/>
      <w:bookmarkStart w:id="39" w:name="_Toc89860530"/>
      <w:bookmarkStart w:id="40" w:name="_Toc89860674"/>
      <w:bookmarkStart w:id="41" w:name="_Toc90325891"/>
      <w:bookmarkStart w:id="42" w:name="_Toc93659297"/>
      <w:r>
        <w:t>About Melbourne Water</w:t>
      </w:r>
      <w:bookmarkEnd w:id="35"/>
      <w:bookmarkEnd w:id="36"/>
      <w:bookmarkEnd w:id="37"/>
      <w:bookmarkEnd w:id="38"/>
      <w:bookmarkEnd w:id="39"/>
      <w:bookmarkEnd w:id="40"/>
      <w:bookmarkEnd w:id="41"/>
      <w:bookmarkEnd w:id="42"/>
    </w:p>
    <w:p w14:paraId="54C5FB1E" w14:textId="42C92AEC" w:rsidR="00586D59" w:rsidRDefault="00586D59" w:rsidP="008D22CF">
      <w:pPr>
        <w:pStyle w:val="PullBox"/>
      </w:pPr>
      <w:r>
        <w:t>For over 130 years, Melbourne Water has been serving the community by planning and building for our future.</w:t>
      </w:r>
    </w:p>
    <w:p w14:paraId="520FE274" w14:textId="70D62B7B" w:rsidR="00586D59" w:rsidRDefault="00586D59" w:rsidP="00586D59">
      <w:pPr>
        <w:pStyle w:val="BodyText"/>
        <w:rPr>
          <w:lang w:eastAsia="en-US"/>
        </w:rPr>
      </w:pPr>
      <w:r>
        <w:rPr>
          <w:lang w:eastAsia="en-US"/>
        </w:rPr>
        <w:t>Melbourne Water manages water supply catchments, treats and supplies drinking and recycled water, removes and treats most of Melbourne’s sewage, and manages waterways and major drainage systems in the Port Phillip and Westernport regions.</w:t>
      </w:r>
    </w:p>
    <w:p w14:paraId="3F72904C" w14:textId="360FED06" w:rsidR="00586D59" w:rsidRDefault="00586D59" w:rsidP="00586D59">
      <w:pPr>
        <w:pStyle w:val="BodyText"/>
        <w:rPr>
          <w:lang w:eastAsia="en-US"/>
        </w:rPr>
      </w:pPr>
      <w:r>
        <w:rPr>
          <w:lang w:eastAsia="en-US"/>
        </w:rPr>
        <w:t>Much of the infrastructure created over that time is still in use today – a testament to the ingenuity and foresight of those who came before us. We are continuing this legacy by building new and resilient infrastructure to meet the challenges of today and the future, while providing valued services for our customers and the community.</w:t>
      </w:r>
    </w:p>
    <w:p w14:paraId="6484DE84" w14:textId="01CAC712" w:rsidR="00586D59" w:rsidRDefault="00586D59" w:rsidP="00586D59">
      <w:pPr>
        <w:pStyle w:val="BodyText"/>
        <w:rPr>
          <w:lang w:eastAsia="en-US"/>
        </w:rPr>
      </w:pPr>
      <w:r>
        <w:rPr>
          <w:lang w:eastAsia="en-US"/>
        </w:rPr>
        <w:t>Guided by our vision of creating Healthy People, Healthy Places and a Healthy Environment, Melbourne Water’s passionate team of experts helps make greater Melbourne a fantastic place to live. We work hard to deliver sustainable public health, financial and environmental solutions such as providing affordable, clean water for homes, gardens and businesses, keeping our city clean and people healthy with effective sewerage services, and creating opportunities for community recreation and enjoyment of the land Melbourne Water owns and waterways we manage.</w:t>
      </w:r>
    </w:p>
    <w:p w14:paraId="19D30B31" w14:textId="77777777" w:rsidR="00586D59" w:rsidRDefault="00586D59" w:rsidP="00586D59">
      <w:pPr>
        <w:pStyle w:val="BodyText"/>
        <w:rPr>
          <w:lang w:eastAsia="en-US"/>
        </w:rPr>
      </w:pPr>
      <w:r>
        <w:rPr>
          <w:lang w:eastAsia="en-US"/>
        </w:rPr>
        <w:t>Melbourne Water does not work alone. We engage and collaborate with a wide range of partners that include Melbourne’s retail water companies, councils, developers, contractors, Traditional Owners, the community and government agencies to deliver services our customers value. We build strong relationships with our customers, stakeholders and suppliers in community, government and industry, and care for the health and wellbeing of our people.</w:t>
      </w:r>
    </w:p>
    <w:p w14:paraId="10A76082" w14:textId="033EC332" w:rsidR="00586D59" w:rsidRDefault="00586D59" w:rsidP="00586D59">
      <w:pPr>
        <w:pStyle w:val="BodyText"/>
        <w:rPr>
          <w:lang w:eastAsia="en-US"/>
        </w:rPr>
      </w:pPr>
      <w:r>
        <w:rPr>
          <w:lang w:eastAsia="en-US"/>
        </w:rPr>
        <w:t>With the ever-present challenges of a changing population, urbanisation and an increasingly changing and variable climate, Melbourne Water is also working hard to build a more resilient and water-sensitive city, one with a smart and sustainable water supply.</w:t>
      </w:r>
    </w:p>
    <w:p w14:paraId="26F76759" w14:textId="007E1281" w:rsidR="008F0BCE" w:rsidRDefault="00586D59" w:rsidP="00586D59">
      <w:pPr>
        <w:pStyle w:val="BodyText"/>
        <w:rPr>
          <w:lang w:eastAsia="en-US"/>
        </w:rPr>
      </w:pPr>
      <w:r>
        <w:rPr>
          <w:lang w:eastAsia="en-US"/>
        </w:rPr>
        <w:t>We are responsible for the management of critical infrastructure and the delivery of essential services that support our customers and communities. We are committed to providing greater Melbourne communities and businesses with the high levels of service they expect from us.</w:t>
      </w:r>
    </w:p>
    <w:p w14:paraId="3CE679C0" w14:textId="565BEDFF" w:rsidR="00586D59" w:rsidRDefault="00586D59" w:rsidP="00586D59">
      <w:pPr>
        <w:pStyle w:val="BodyText"/>
        <w:rPr>
          <w:lang w:eastAsia="en-US"/>
        </w:rPr>
      </w:pPr>
      <w:r>
        <w:rPr>
          <w:lang w:eastAsia="en-US"/>
        </w:rPr>
        <w:t>Melbourne Water has a team of diverse and capable people from a broad range of specialised professions. Our people are skilled in delivering on the immediate needs of the community and the long-term requirements of the environment and future generations.</w:t>
      </w:r>
    </w:p>
    <w:p w14:paraId="435E764F" w14:textId="212947DB" w:rsidR="00586D59" w:rsidRDefault="00586D59" w:rsidP="00586D59">
      <w:pPr>
        <w:pStyle w:val="BodyText"/>
        <w:rPr>
          <w:lang w:eastAsia="en-US"/>
        </w:rPr>
      </w:pPr>
      <w:r>
        <w:rPr>
          <w:lang w:eastAsia="en-US"/>
        </w:rPr>
        <w:t>Our focus is not only to deliver exceptional and affordable essential services to the people of greater Melbourne today, but help secure a sustainable and healthy community for the generations to come.</w:t>
      </w:r>
    </w:p>
    <w:p w14:paraId="4A2E8E0B" w14:textId="065CAA6D" w:rsidR="00586D59" w:rsidRDefault="00586D59" w:rsidP="008D22CF">
      <w:pPr>
        <w:pStyle w:val="Heading3"/>
      </w:pPr>
      <w:bookmarkStart w:id="43" w:name="_Toc89722949"/>
      <w:bookmarkStart w:id="44" w:name="_Toc90325892"/>
      <w:bookmarkStart w:id="45" w:name="_Toc93659298"/>
      <w:r>
        <w:t>Our Vision and Strategic Direction</w:t>
      </w:r>
      <w:bookmarkEnd w:id="43"/>
      <w:bookmarkEnd w:id="44"/>
      <w:bookmarkEnd w:id="45"/>
    </w:p>
    <w:p w14:paraId="16651D24" w14:textId="2DDEA533" w:rsidR="00586D59" w:rsidRDefault="00586D59" w:rsidP="00586D59">
      <w:pPr>
        <w:pStyle w:val="BodyText"/>
        <w:rPr>
          <w:lang w:eastAsia="en-US"/>
        </w:rPr>
      </w:pPr>
      <w:r>
        <w:rPr>
          <w:lang w:eastAsia="en-US"/>
        </w:rPr>
        <w:t>Melbourne Water’s vision is to enhance life and liveability across greater Melbourne and the surrounding region. We know that water is central to life. It sustains the natural environment we live in, the communities we value, and the economy we depend on.</w:t>
      </w:r>
    </w:p>
    <w:p w14:paraId="401BBBDB" w14:textId="77777777" w:rsidR="00586D59" w:rsidRPr="008D22CF" w:rsidRDefault="00586D59" w:rsidP="008D22CF">
      <w:pPr>
        <w:pStyle w:val="BodyText"/>
        <w:rPr>
          <w:rStyle w:val="Bold"/>
        </w:rPr>
      </w:pPr>
      <w:r w:rsidRPr="008D22CF">
        <w:rPr>
          <w:rStyle w:val="Bold"/>
        </w:rPr>
        <w:lastRenderedPageBreak/>
        <w:t>We do this by focusing on three pillars:</w:t>
      </w:r>
    </w:p>
    <w:p w14:paraId="742AB725" w14:textId="39B0ADB3" w:rsidR="00586D59" w:rsidRDefault="00586D59" w:rsidP="008D22CF">
      <w:pPr>
        <w:pStyle w:val="BodyText"/>
        <w:rPr>
          <w:lang w:eastAsia="en-US"/>
        </w:rPr>
      </w:pPr>
      <w:r>
        <w:rPr>
          <w:lang w:eastAsia="en-US"/>
        </w:rPr>
        <w:t>Healthy People: by providing safe, affordable, world-class drinking water and sewage treatment, and supporting Melburnians to live healthy lifestyles, we protect public health and strengthen the wellbeing of our community.</w:t>
      </w:r>
    </w:p>
    <w:p w14:paraId="7311EE85" w14:textId="484998DA" w:rsidR="00586D59" w:rsidRDefault="00586D59" w:rsidP="008D22CF">
      <w:pPr>
        <w:pStyle w:val="BodyText"/>
        <w:rPr>
          <w:lang w:eastAsia="en-US"/>
        </w:rPr>
      </w:pPr>
      <w:r>
        <w:rPr>
          <w:lang w:eastAsia="en-US"/>
        </w:rPr>
        <w:t>Healthy Places: by managing the impacts of climate change, building our resilience to flooding across the region, and partnering to deliver sustainable land and water management, we create more desirable places to live.</w:t>
      </w:r>
    </w:p>
    <w:p w14:paraId="493CC807" w14:textId="66ABD9F8" w:rsidR="00586D59" w:rsidRDefault="00586D59" w:rsidP="008D22CF">
      <w:pPr>
        <w:pStyle w:val="BodyText"/>
        <w:rPr>
          <w:lang w:eastAsia="en-US"/>
        </w:rPr>
      </w:pPr>
      <w:r>
        <w:rPr>
          <w:lang w:eastAsia="en-US"/>
        </w:rPr>
        <w:t>Healthy Environment: by being innovative with resource recovery, reducing our emissions, improving the quality of waterways and engaging with the community, we enhance biodiversity and help protect our natural assets.</w:t>
      </w:r>
    </w:p>
    <w:p w14:paraId="1AE055F3" w14:textId="3117BA71" w:rsidR="00586D59" w:rsidRDefault="00586D59" w:rsidP="00586D59">
      <w:pPr>
        <w:pStyle w:val="BodyText"/>
        <w:rPr>
          <w:lang w:eastAsia="en-US"/>
        </w:rPr>
      </w:pPr>
      <w:r>
        <w:rPr>
          <w:lang w:eastAsia="en-US"/>
        </w:rPr>
        <w:t>Our values of care, integrity and courage are integral to the way we do business and treat one another. They are intrinsically linked to our vision of enhancing life and liveability, and guide all that we do.</w:t>
      </w:r>
    </w:p>
    <w:p w14:paraId="6CF591AB" w14:textId="43254CA9" w:rsidR="00586D59" w:rsidRDefault="00586D59" w:rsidP="008D22CF">
      <w:pPr>
        <w:pStyle w:val="BodyText"/>
        <w:rPr>
          <w:lang w:eastAsia="en-US"/>
        </w:rPr>
      </w:pPr>
      <w:r>
        <w:rPr>
          <w:lang w:eastAsia="en-US"/>
        </w:rPr>
        <w:t>Care: we put safety and wellbeing first at all times, and seek the best for our colleagues, community, customers and environment.</w:t>
      </w:r>
    </w:p>
    <w:p w14:paraId="3EC4E9FE" w14:textId="3CCF5161" w:rsidR="00586D59" w:rsidRDefault="00586D59" w:rsidP="008D22CF">
      <w:pPr>
        <w:pStyle w:val="BodyText"/>
        <w:rPr>
          <w:lang w:eastAsia="en-US"/>
        </w:rPr>
      </w:pPr>
      <w:r>
        <w:rPr>
          <w:lang w:eastAsia="en-US"/>
        </w:rPr>
        <w:t>Integrity: we are open and transparent in everything we do, treating people with respect and taking full responsibility for our words and actions.</w:t>
      </w:r>
    </w:p>
    <w:p w14:paraId="69A97637" w14:textId="642DE022" w:rsidR="008F0BCE" w:rsidRDefault="00586D59" w:rsidP="008D22CF">
      <w:pPr>
        <w:pStyle w:val="BodyText"/>
        <w:rPr>
          <w:lang w:eastAsia="en-US"/>
        </w:rPr>
      </w:pPr>
      <w:r>
        <w:rPr>
          <w:lang w:eastAsia="en-US"/>
        </w:rPr>
        <w:t>Courage: we empower each other to believe in ourselves, speak up, innovate and learn from our mistakes to continuously improve how we do things and achieve the best possible outcomes.</w:t>
      </w:r>
    </w:p>
    <w:p w14:paraId="60058DC7" w14:textId="6562FA89" w:rsidR="00586D59" w:rsidRDefault="00586D59" w:rsidP="008D22CF">
      <w:pPr>
        <w:pStyle w:val="Heading3"/>
      </w:pPr>
      <w:bookmarkStart w:id="46" w:name="_Toc89722950"/>
      <w:bookmarkStart w:id="47" w:name="_Toc90325893"/>
      <w:bookmarkStart w:id="48" w:name="_Toc93659299"/>
      <w:r>
        <w:t>Delivering the Victorian Government’s plan for water</w:t>
      </w:r>
      <w:bookmarkEnd w:id="46"/>
      <w:bookmarkEnd w:id="47"/>
      <w:bookmarkEnd w:id="48"/>
    </w:p>
    <w:p w14:paraId="41FF0DA4" w14:textId="224214B5" w:rsidR="00586D59" w:rsidRDefault="00586D59" w:rsidP="00586D59">
      <w:pPr>
        <w:pStyle w:val="BodyText"/>
        <w:rPr>
          <w:lang w:eastAsia="en-US"/>
        </w:rPr>
      </w:pPr>
      <w:r w:rsidRPr="002B5BE2">
        <w:rPr>
          <w:rStyle w:val="ItalicText"/>
        </w:rPr>
        <w:t>Water for Victoria</w:t>
      </w:r>
      <w:r>
        <w:rPr>
          <w:lang w:eastAsia="en-US"/>
        </w:rPr>
        <w:t xml:space="preserve"> is the Victorian Government’s statewide water plan. It identifies priorities for managing water across the state, including the Melbourne region. The plan drives improved outcomes for communities in the way water is managed and delivers shared benefits, while addressing challenges such as climate change and population growth.</w:t>
      </w:r>
    </w:p>
    <w:p w14:paraId="0B4D846A" w14:textId="727D8A4A" w:rsidR="00586D59" w:rsidRDefault="00586D59" w:rsidP="00586D59">
      <w:pPr>
        <w:pStyle w:val="BodyText"/>
        <w:rPr>
          <w:lang w:eastAsia="en-US"/>
        </w:rPr>
      </w:pPr>
      <w:r>
        <w:rPr>
          <w:lang w:eastAsia="en-US"/>
        </w:rPr>
        <w:t xml:space="preserve">We work closely with government to deliver our services, which have been crucial in supporting Melbourne to grow into the city it is today. This Annual Report outlines our achievements in 2020-21 to meet the changing needs of the Melbourne region and addresses priorities detailed in </w:t>
      </w:r>
      <w:r w:rsidRPr="00586D59">
        <w:rPr>
          <w:rStyle w:val="ItalicText"/>
          <w:lang w:eastAsia="en-US"/>
        </w:rPr>
        <w:t>Water for Victoria</w:t>
      </w:r>
      <w:r>
        <w:rPr>
          <w:lang w:eastAsia="en-US"/>
        </w:rPr>
        <w:t>.</w:t>
      </w:r>
    </w:p>
    <w:p w14:paraId="37DD7EAC" w14:textId="77777777" w:rsidR="00586D59" w:rsidRDefault="00586D59" w:rsidP="00586D59">
      <w:pPr>
        <w:pStyle w:val="Heading2"/>
      </w:pPr>
      <w:bookmarkStart w:id="49" w:name="_Toc89722951"/>
      <w:bookmarkStart w:id="50" w:name="_Toc89723207"/>
      <w:bookmarkStart w:id="51" w:name="_Toc89723267"/>
      <w:bookmarkStart w:id="52" w:name="_Toc89860531"/>
      <w:bookmarkStart w:id="53" w:name="_Toc89860675"/>
      <w:bookmarkStart w:id="54" w:name="_Toc90325894"/>
      <w:bookmarkStart w:id="55" w:name="_Toc93659300"/>
      <w:r>
        <w:t>Our strategic performance</w:t>
      </w:r>
      <w:bookmarkEnd w:id="49"/>
      <w:bookmarkEnd w:id="50"/>
      <w:bookmarkEnd w:id="51"/>
      <w:bookmarkEnd w:id="52"/>
      <w:bookmarkEnd w:id="53"/>
      <w:bookmarkEnd w:id="54"/>
      <w:bookmarkEnd w:id="55"/>
    </w:p>
    <w:p w14:paraId="57C04C6E" w14:textId="256CC955" w:rsidR="00586D59" w:rsidRDefault="00586D59" w:rsidP="00586D59">
      <w:pPr>
        <w:pStyle w:val="BodyText"/>
        <w:rPr>
          <w:lang w:eastAsia="en-US"/>
        </w:rPr>
      </w:pPr>
      <w:r>
        <w:rPr>
          <w:lang w:eastAsia="en-US"/>
        </w:rPr>
        <w:t>We track our performance through a set of key performance indicators (KPIs) aligned to our strategic direction. The key performance indicators provide us with a framework for setting performance targets in the long term beyond our statutory requirements.</w:t>
      </w:r>
    </w:p>
    <w:p w14:paraId="607243B0" w14:textId="731833A3" w:rsidR="00586D59" w:rsidRDefault="00586D59" w:rsidP="00586D59">
      <w:pPr>
        <w:pStyle w:val="BodyText"/>
        <w:rPr>
          <w:lang w:eastAsia="en-US"/>
        </w:rPr>
      </w:pPr>
      <w:r>
        <w:rPr>
          <w:lang w:eastAsia="en-US"/>
        </w:rPr>
        <w:t xml:space="preserve">See our statutory Performance Report </w:t>
      </w:r>
      <w:r w:rsidRPr="009402BE">
        <w:rPr>
          <w:lang w:eastAsia="en-US"/>
        </w:rPr>
        <w:t>(pages</w:t>
      </w:r>
      <w:r w:rsidR="009402BE" w:rsidRPr="009402BE">
        <w:rPr>
          <w:lang w:eastAsia="en-US"/>
        </w:rPr>
        <w:t xml:space="preserve"> </w:t>
      </w:r>
      <w:r w:rsidR="009402BE" w:rsidRPr="009402BE">
        <w:rPr>
          <w:lang w:eastAsia="en-US"/>
        </w:rPr>
        <w:fldChar w:fldCharType="begin"/>
      </w:r>
      <w:r w:rsidR="009402BE" w:rsidRPr="009402BE">
        <w:rPr>
          <w:lang w:eastAsia="en-US"/>
        </w:rPr>
        <w:instrText xml:space="preserve"> PAGEREF _Ref89718080 \h </w:instrText>
      </w:r>
      <w:r w:rsidR="009402BE" w:rsidRPr="009402BE">
        <w:rPr>
          <w:lang w:eastAsia="en-US"/>
        </w:rPr>
      </w:r>
      <w:r w:rsidR="009402BE" w:rsidRPr="009402BE">
        <w:rPr>
          <w:lang w:eastAsia="en-US"/>
        </w:rPr>
        <w:fldChar w:fldCharType="separate"/>
      </w:r>
      <w:r w:rsidR="00472151">
        <w:rPr>
          <w:noProof/>
          <w:lang w:eastAsia="en-US"/>
        </w:rPr>
        <w:t>93</w:t>
      </w:r>
      <w:r w:rsidR="009402BE" w:rsidRPr="009402BE">
        <w:rPr>
          <w:lang w:eastAsia="en-US"/>
        </w:rPr>
        <w:fldChar w:fldCharType="end"/>
      </w:r>
      <w:r w:rsidR="009402BE">
        <w:rPr>
          <w:lang w:eastAsia="en-US"/>
        </w:rPr>
        <w:t xml:space="preserve"> to </w:t>
      </w:r>
      <w:r w:rsidR="009402BE">
        <w:rPr>
          <w:lang w:eastAsia="en-US"/>
        </w:rPr>
        <w:fldChar w:fldCharType="begin"/>
      </w:r>
      <w:r w:rsidR="009402BE">
        <w:rPr>
          <w:lang w:eastAsia="en-US"/>
        </w:rPr>
        <w:instrText xml:space="preserve"> PAGEREF NotestoPerformanceReport \h </w:instrText>
      </w:r>
      <w:r w:rsidR="009402BE">
        <w:rPr>
          <w:lang w:eastAsia="en-US"/>
        </w:rPr>
      </w:r>
      <w:r w:rsidR="009402BE">
        <w:rPr>
          <w:lang w:eastAsia="en-US"/>
        </w:rPr>
        <w:fldChar w:fldCharType="separate"/>
      </w:r>
      <w:r w:rsidR="00472151">
        <w:rPr>
          <w:noProof/>
          <w:lang w:eastAsia="en-US"/>
        </w:rPr>
        <w:t>93</w:t>
      </w:r>
      <w:r w:rsidR="009402BE">
        <w:rPr>
          <w:lang w:eastAsia="en-US"/>
        </w:rPr>
        <w:fldChar w:fldCharType="end"/>
      </w:r>
      <w:r>
        <w:rPr>
          <w:lang w:eastAsia="en-US"/>
        </w:rPr>
        <w:t>) for details of our operational performance for 2020-21.</w:t>
      </w:r>
    </w:p>
    <w:p w14:paraId="1A9BA070" w14:textId="77777777" w:rsidR="00586D59" w:rsidRDefault="00586D59" w:rsidP="008D22CF">
      <w:pPr>
        <w:pStyle w:val="Heading3"/>
      </w:pPr>
      <w:bookmarkStart w:id="56" w:name="_Toc89722952"/>
      <w:bookmarkStart w:id="57" w:name="_Toc90325895"/>
      <w:bookmarkStart w:id="58" w:name="_Toc93659301"/>
      <w:r>
        <w:t>The Sustainable Development Goals</w:t>
      </w:r>
      <w:bookmarkEnd w:id="56"/>
      <w:bookmarkEnd w:id="57"/>
      <w:bookmarkEnd w:id="58"/>
    </w:p>
    <w:p w14:paraId="42A0DE26" w14:textId="77777777" w:rsidR="00561B8A" w:rsidRDefault="00586D59" w:rsidP="00586D59">
      <w:pPr>
        <w:pStyle w:val="BodyText"/>
        <w:rPr>
          <w:lang w:eastAsia="en-US"/>
        </w:rPr>
      </w:pPr>
      <w:r>
        <w:rPr>
          <w:lang w:eastAsia="en-US"/>
        </w:rPr>
        <w:t>Melbourne Water is a signatory to the United Nations Global Compact, the world’s largest sustainability initiative, which includes 17 Sustainable Development Goals (SDGs).</w:t>
      </w:r>
    </w:p>
    <w:p w14:paraId="302342AF" w14:textId="342EB302" w:rsidR="008F0BCE" w:rsidRDefault="00586D59" w:rsidP="00586D59">
      <w:pPr>
        <w:pStyle w:val="BodyText"/>
        <w:rPr>
          <w:lang w:eastAsia="en-US"/>
        </w:rPr>
      </w:pPr>
      <w:r>
        <w:rPr>
          <w:lang w:eastAsia="en-US"/>
        </w:rPr>
        <w:t xml:space="preserve">The </w:t>
      </w:r>
      <w:r w:rsidR="0030196D">
        <w:rPr>
          <w:lang w:eastAsia="en-US"/>
        </w:rPr>
        <w:t>Sustainable Development Goals</w:t>
      </w:r>
      <w:r>
        <w:rPr>
          <w:lang w:eastAsia="en-US"/>
        </w:rPr>
        <w:t xml:space="preserve"> provide an additional lens to support our</w:t>
      </w:r>
      <w:r w:rsidR="00561B8A">
        <w:rPr>
          <w:lang w:eastAsia="en-US"/>
        </w:rPr>
        <w:t xml:space="preserve"> </w:t>
      </w:r>
      <w:r>
        <w:rPr>
          <w:lang w:eastAsia="en-US"/>
        </w:rPr>
        <w:t>organisational decision making and offer an insight into how to</w:t>
      </w:r>
      <w:r w:rsidR="00561B8A">
        <w:rPr>
          <w:lang w:eastAsia="en-US"/>
        </w:rPr>
        <w:t xml:space="preserve"> </w:t>
      </w:r>
      <w:r>
        <w:rPr>
          <w:lang w:eastAsia="en-US"/>
        </w:rPr>
        <w:t>deliver greater sustainability outcomes through our work.</w:t>
      </w:r>
    </w:p>
    <w:p w14:paraId="4B13D294" w14:textId="7E54C808" w:rsidR="00561B8A" w:rsidRDefault="00561B8A" w:rsidP="00554ADD">
      <w:pPr>
        <w:pStyle w:val="BodyText"/>
        <w:keepLines/>
        <w:rPr>
          <w:lang w:eastAsia="en-US"/>
        </w:rPr>
      </w:pPr>
      <w:r>
        <w:rPr>
          <w:lang w:eastAsia="en-US"/>
        </w:rPr>
        <w:lastRenderedPageBreak/>
        <w:t>The vital role of water in maintaining environmental sustainability and supporting thriving communities means that Melbourne Water is well positioned to contribute to this global effort. We recognise our ability to contribute to advancing each of the goals, both directly through our own work and indirectly through partnerships with customers, stakeholders and suppliers.</w:t>
      </w:r>
    </w:p>
    <w:p w14:paraId="1BC56BED" w14:textId="5DF8180B" w:rsidR="00561B8A" w:rsidRDefault="00561B8A" w:rsidP="00561B8A">
      <w:pPr>
        <w:pStyle w:val="BodyText"/>
        <w:rPr>
          <w:lang w:eastAsia="en-US"/>
        </w:rPr>
      </w:pPr>
      <w:r>
        <w:rPr>
          <w:lang w:eastAsia="en-US"/>
        </w:rPr>
        <w:t xml:space="preserve">The </w:t>
      </w:r>
      <w:r w:rsidR="0030196D">
        <w:rPr>
          <w:lang w:eastAsia="en-US"/>
        </w:rPr>
        <w:t>Sustainable Development Goals</w:t>
      </w:r>
      <w:r>
        <w:rPr>
          <w:lang w:eastAsia="en-US"/>
        </w:rPr>
        <w:t xml:space="preserve"> provide Melbourne Water, our customers, the community and our key stakeholders with a common framework to work together to deliver ongoing community wellbeing and a sustainable, well-managed environment for future generations.</w:t>
      </w:r>
    </w:p>
    <w:p w14:paraId="7FCA2841" w14:textId="77777777" w:rsidR="00561B8A" w:rsidRDefault="00561B8A" w:rsidP="00561B8A">
      <w:pPr>
        <w:pStyle w:val="Heading3"/>
      </w:pPr>
      <w:bookmarkStart w:id="59" w:name="_Toc89722953"/>
      <w:bookmarkStart w:id="60" w:name="_Toc90325896"/>
      <w:bookmarkStart w:id="61" w:name="_Toc93659302"/>
      <w:r>
        <w:t>Our future focus</w:t>
      </w:r>
      <w:bookmarkEnd w:id="59"/>
      <w:bookmarkEnd w:id="60"/>
      <w:bookmarkEnd w:id="61"/>
    </w:p>
    <w:p w14:paraId="4A3B5421" w14:textId="706357B0" w:rsidR="00561B8A" w:rsidRDefault="00561B8A" w:rsidP="00561B8A">
      <w:pPr>
        <w:pStyle w:val="BodyText"/>
        <w:rPr>
          <w:lang w:eastAsia="en-US"/>
        </w:rPr>
      </w:pPr>
      <w:r>
        <w:rPr>
          <w:lang w:eastAsia="en-US"/>
        </w:rPr>
        <w:t xml:space="preserve">During 2020-21 our SDG Champions worked together to develop an in-depth understanding of Melbourne Water’s current impact on the </w:t>
      </w:r>
      <w:r w:rsidR="0030196D">
        <w:rPr>
          <w:lang w:eastAsia="en-US"/>
        </w:rPr>
        <w:t>Sustainable Development Goals</w:t>
      </w:r>
      <w:r>
        <w:rPr>
          <w:lang w:eastAsia="en-US"/>
        </w:rPr>
        <w:t>. Using the approach recommended by the Global Compact Network Australia, the SDG Champion cohort conducted an assessment of how our operations, supply chain and business model create positive and negative impacts against each SDG.</w:t>
      </w:r>
    </w:p>
    <w:p w14:paraId="28FE8C87" w14:textId="120FF10C" w:rsidR="00561B8A" w:rsidRDefault="00561B8A" w:rsidP="00561B8A">
      <w:pPr>
        <w:pStyle w:val="BodyText"/>
        <w:rPr>
          <w:lang w:eastAsia="en-US"/>
        </w:rPr>
      </w:pPr>
      <w:r>
        <w:rPr>
          <w:lang w:eastAsia="en-US"/>
        </w:rPr>
        <w:t xml:space="preserve">The SDG Champion cohort also conducted a materiality assessment in late 2020, with findings highlighting those </w:t>
      </w:r>
      <w:r w:rsidR="0030196D">
        <w:rPr>
          <w:lang w:eastAsia="en-US"/>
        </w:rPr>
        <w:t>Sustainable Development Goals</w:t>
      </w:r>
      <w:r>
        <w:rPr>
          <w:lang w:eastAsia="en-US"/>
        </w:rPr>
        <w:t xml:space="preserve"> on which Melbourne Water was able to have the greatest impact. In 2021 Melbourne Water’s approach evolved further to determine how consideration for all 17 </w:t>
      </w:r>
      <w:r w:rsidR="0030196D">
        <w:rPr>
          <w:lang w:eastAsia="en-US"/>
        </w:rPr>
        <w:t>Sustainable Development Goals</w:t>
      </w:r>
      <w:r>
        <w:rPr>
          <w:lang w:eastAsia="en-US"/>
        </w:rPr>
        <w:t xml:space="preserve"> can be integrated into all aspects of strategic and business-as-usual decision making. Our goal in pursuing this approach is to embed </w:t>
      </w:r>
      <w:r w:rsidR="0030196D">
        <w:rPr>
          <w:lang w:eastAsia="en-US"/>
        </w:rPr>
        <w:t>Sustainable Development Goals</w:t>
      </w:r>
      <w:r>
        <w:rPr>
          <w:lang w:eastAsia="en-US"/>
        </w:rPr>
        <w:t xml:space="preserve"> as a decision-making lens that will promote their early consideration throughout our whole value chain, thereby allowing the </w:t>
      </w:r>
      <w:r w:rsidR="0030196D">
        <w:rPr>
          <w:lang w:eastAsia="en-US"/>
        </w:rPr>
        <w:t>Sustainable Development Goals</w:t>
      </w:r>
      <w:r>
        <w:rPr>
          <w:lang w:eastAsia="en-US"/>
        </w:rPr>
        <w:t xml:space="preserve"> to drive new thinking about the fundamentals of how Melbourne Water does business.</w:t>
      </w:r>
    </w:p>
    <w:p w14:paraId="5264474F" w14:textId="59F2B172" w:rsidR="00561B8A" w:rsidRDefault="00561B8A" w:rsidP="00561B8A">
      <w:pPr>
        <w:pStyle w:val="BodyText"/>
        <w:rPr>
          <w:lang w:eastAsia="en-US"/>
        </w:rPr>
      </w:pPr>
      <w:r>
        <w:rPr>
          <w:lang w:eastAsia="en-US"/>
        </w:rPr>
        <w:t xml:space="preserve">This Annual Report provides information on how Melbourne Water is contributing across all the </w:t>
      </w:r>
      <w:r w:rsidR="0030196D">
        <w:rPr>
          <w:lang w:eastAsia="en-US"/>
        </w:rPr>
        <w:t>Sustainable Development Goals</w:t>
      </w:r>
      <w:r>
        <w:rPr>
          <w:lang w:eastAsia="en-US"/>
        </w:rPr>
        <w:t>.</w:t>
      </w:r>
    </w:p>
    <w:p w14:paraId="3B99C333" w14:textId="77777777" w:rsidR="00561B8A" w:rsidRDefault="00561B8A" w:rsidP="008D22CF">
      <w:pPr>
        <w:pStyle w:val="Heading3"/>
      </w:pPr>
      <w:bookmarkStart w:id="62" w:name="_Toc89722954"/>
      <w:bookmarkStart w:id="63" w:name="_Toc90325897"/>
      <w:bookmarkStart w:id="64" w:name="_Toc93659303"/>
      <w:r>
        <w:t>Sustainable Development Goals</w:t>
      </w:r>
      <w:bookmarkEnd w:id="62"/>
      <w:bookmarkEnd w:id="63"/>
      <w:bookmarkEnd w:id="64"/>
    </w:p>
    <w:p w14:paraId="14E24D5A" w14:textId="77777777" w:rsidR="00561B8A" w:rsidRDefault="00561B8A" w:rsidP="00561B8A">
      <w:pPr>
        <w:pStyle w:val="ListNumber"/>
        <w:contextualSpacing/>
      </w:pPr>
      <w:r>
        <w:t>No Poverty</w:t>
      </w:r>
    </w:p>
    <w:p w14:paraId="48BE421F" w14:textId="77777777" w:rsidR="00561B8A" w:rsidRDefault="00561B8A" w:rsidP="00561B8A">
      <w:pPr>
        <w:pStyle w:val="ListNumber"/>
        <w:contextualSpacing/>
      </w:pPr>
      <w:r>
        <w:t>Zero Hunger</w:t>
      </w:r>
    </w:p>
    <w:p w14:paraId="45FB8397" w14:textId="77777777" w:rsidR="00561B8A" w:rsidRDefault="00561B8A" w:rsidP="00561B8A">
      <w:pPr>
        <w:pStyle w:val="ListNumber"/>
        <w:contextualSpacing/>
      </w:pPr>
      <w:r>
        <w:t>Good Health and Well-being</w:t>
      </w:r>
    </w:p>
    <w:p w14:paraId="5CF41A03" w14:textId="77777777" w:rsidR="00561B8A" w:rsidRDefault="00561B8A" w:rsidP="00561B8A">
      <w:pPr>
        <w:pStyle w:val="ListNumber"/>
        <w:contextualSpacing/>
      </w:pPr>
      <w:r>
        <w:t>Quality Education</w:t>
      </w:r>
    </w:p>
    <w:p w14:paraId="1B96BCFC" w14:textId="77777777" w:rsidR="00561B8A" w:rsidRDefault="00561B8A" w:rsidP="00561B8A">
      <w:pPr>
        <w:pStyle w:val="ListNumber"/>
        <w:contextualSpacing/>
      </w:pPr>
      <w:r>
        <w:t>Gender Equality</w:t>
      </w:r>
    </w:p>
    <w:p w14:paraId="00DCC580" w14:textId="77777777" w:rsidR="00561B8A" w:rsidRDefault="00561B8A" w:rsidP="00561B8A">
      <w:pPr>
        <w:pStyle w:val="ListNumber"/>
        <w:contextualSpacing/>
      </w:pPr>
      <w:r>
        <w:t>Clean Water and Sanitation</w:t>
      </w:r>
    </w:p>
    <w:p w14:paraId="30916A96" w14:textId="77777777" w:rsidR="00561B8A" w:rsidRDefault="00561B8A" w:rsidP="00561B8A">
      <w:pPr>
        <w:pStyle w:val="ListNumber"/>
        <w:contextualSpacing/>
      </w:pPr>
      <w:r>
        <w:t>Affordable and Clean Energy</w:t>
      </w:r>
    </w:p>
    <w:p w14:paraId="55B2C0FA" w14:textId="77777777" w:rsidR="00561B8A" w:rsidRDefault="00561B8A" w:rsidP="00561B8A">
      <w:pPr>
        <w:pStyle w:val="ListNumber"/>
        <w:contextualSpacing/>
      </w:pPr>
      <w:r>
        <w:t>Decent Work and Economic Growth</w:t>
      </w:r>
    </w:p>
    <w:p w14:paraId="45A21CE9" w14:textId="77777777" w:rsidR="00561B8A" w:rsidRDefault="00561B8A" w:rsidP="00561B8A">
      <w:pPr>
        <w:pStyle w:val="ListNumber"/>
        <w:contextualSpacing/>
      </w:pPr>
      <w:r>
        <w:t>Industry, Innovation and Infrastructure</w:t>
      </w:r>
    </w:p>
    <w:p w14:paraId="773BEFF5" w14:textId="77777777" w:rsidR="00561B8A" w:rsidRDefault="00561B8A" w:rsidP="00561B8A">
      <w:pPr>
        <w:pStyle w:val="ListNumber"/>
        <w:contextualSpacing/>
      </w:pPr>
      <w:r>
        <w:t>Reduced Inequalities</w:t>
      </w:r>
    </w:p>
    <w:p w14:paraId="517177A0" w14:textId="77777777" w:rsidR="00561B8A" w:rsidRDefault="00561B8A" w:rsidP="00561B8A">
      <w:pPr>
        <w:pStyle w:val="ListNumber"/>
        <w:contextualSpacing/>
      </w:pPr>
      <w:r>
        <w:t>Sustainable Cities and Communities</w:t>
      </w:r>
    </w:p>
    <w:p w14:paraId="09070514" w14:textId="77777777" w:rsidR="00561B8A" w:rsidRDefault="00561B8A" w:rsidP="00561B8A">
      <w:pPr>
        <w:pStyle w:val="ListNumber"/>
        <w:contextualSpacing/>
      </w:pPr>
      <w:r>
        <w:t>Responsible Consumption and Production</w:t>
      </w:r>
    </w:p>
    <w:p w14:paraId="6D5A7C79" w14:textId="77777777" w:rsidR="00561B8A" w:rsidRDefault="00561B8A" w:rsidP="00561B8A">
      <w:pPr>
        <w:pStyle w:val="ListNumber"/>
        <w:contextualSpacing/>
      </w:pPr>
      <w:r>
        <w:t>Climate Action</w:t>
      </w:r>
    </w:p>
    <w:p w14:paraId="43660E3D" w14:textId="77777777" w:rsidR="00561B8A" w:rsidRDefault="00561B8A" w:rsidP="00561B8A">
      <w:pPr>
        <w:pStyle w:val="ListNumber"/>
        <w:contextualSpacing/>
      </w:pPr>
      <w:r>
        <w:t>Life Below Water</w:t>
      </w:r>
    </w:p>
    <w:p w14:paraId="3D3D23BC" w14:textId="77777777" w:rsidR="00561B8A" w:rsidRPr="0034076F" w:rsidRDefault="00561B8A" w:rsidP="00561B8A">
      <w:pPr>
        <w:pStyle w:val="ListNumber"/>
        <w:contextualSpacing/>
      </w:pPr>
      <w:r w:rsidRPr="0034076F">
        <w:t>Life On Land</w:t>
      </w:r>
    </w:p>
    <w:p w14:paraId="6D90BA83" w14:textId="77777777" w:rsidR="00561B8A" w:rsidRDefault="00561B8A" w:rsidP="00561B8A">
      <w:pPr>
        <w:pStyle w:val="ListNumber"/>
        <w:contextualSpacing/>
      </w:pPr>
      <w:r>
        <w:t>Peace, Justice and Strong Institutions</w:t>
      </w:r>
    </w:p>
    <w:p w14:paraId="64501DE9" w14:textId="77777777" w:rsidR="00561B8A" w:rsidRDefault="00561B8A" w:rsidP="00561B8A">
      <w:pPr>
        <w:pStyle w:val="ListNumber"/>
        <w:contextualSpacing/>
      </w:pPr>
      <w:r>
        <w:t>Partnerships for the Goals</w:t>
      </w:r>
    </w:p>
    <w:p w14:paraId="60989956" w14:textId="02AEEF59" w:rsidR="00561B8A" w:rsidRDefault="00561B8A" w:rsidP="00561B8A">
      <w:pPr>
        <w:pStyle w:val="Heading2"/>
      </w:pPr>
      <w:bookmarkStart w:id="65" w:name="_Ref89720232"/>
      <w:bookmarkStart w:id="66" w:name="_Toc89722955"/>
      <w:bookmarkStart w:id="67" w:name="_Toc89723208"/>
      <w:bookmarkStart w:id="68" w:name="_Toc89723268"/>
      <w:bookmarkStart w:id="69" w:name="_Toc89860532"/>
      <w:bookmarkStart w:id="70" w:name="_Toc89860676"/>
      <w:bookmarkStart w:id="71" w:name="_Toc90325898"/>
      <w:bookmarkStart w:id="72" w:name="_Toc93659304"/>
      <w:r w:rsidRPr="00561B8A">
        <w:t xml:space="preserve">Operating Environment: </w:t>
      </w:r>
      <w:bookmarkEnd w:id="65"/>
      <w:bookmarkEnd w:id="66"/>
      <w:bookmarkEnd w:id="67"/>
      <w:bookmarkEnd w:id="68"/>
      <w:bookmarkEnd w:id="69"/>
      <w:bookmarkEnd w:id="70"/>
      <w:r w:rsidR="0030196D">
        <w:t>COVID</w:t>
      </w:r>
      <w:r w:rsidR="0030196D">
        <w:noBreakHyphen/>
        <w:t>19</w:t>
      </w:r>
      <w:bookmarkEnd w:id="71"/>
      <w:bookmarkEnd w:id="72"/>
    </w:p>
    <w:p w14:paraId="58A82E32" w14:textId="62064DEA" w:rsidR="00561B8A" w:rsidRDefault="00561B8A" w:rsidP="00561B8A">
      <w:pPr>
        <w:pStyle w:val="BodyText"/>
        <w:rPr>
          <w:lang w:eastAsia="en-US"/>
        </w:rPr>
      </w:pPr>
      <w:r>
        <w:rPr>
          <w:lang w:eastAsia="en-US"/>
        </w:rPr>
        <w:t xml:space="preserve">In early 2020 Melbourne Water acted swiftly to assess the risk of </w:t>
      </w:r>
      <w:r w:rsidR="0030196D">
        <w:t>COVID</w:t>
      </w:r>
      <w:r w:rsidR="0030196D">
        <w:noBreakHyphen/>
        <w:t>19</w:t>
      </w:r>
      <w:r>
        <w:rPr>
          <w:lang w:eastAsia="en-US"/>
        </w:rPr>
        <w:t xml:space="preserve"> to staff health and safety, customers and the community. Our established Flexible Working policy, and previous investments in online collaboration tools and remote working technologies, enabled our office-based staff to continue to work </w:t>
      </w:r>
      <w:r>
        <w:rPr>
          <w:lang w:eastAsia="en-US"/>
        </w:rPr>
        <w:lastRenderedPageBreak/>
        <w:t>remotely. Melbourne Water’s Safety, Health, Environment and Quality Team played a critical role in coordinating our business-wide response.</w:t>
      </w:r>
    </w:p>
    <w:p w14:paraId="4EEED1AD" w14:textId="2A487801" w:rsidR="00561B8A" w:rsidRDefault="00561B8A" w:rsidP="00561B8A">
      <w:pPr>
        <w:pStyle w:val="BodyText"/>
        <w:rPr>
          <w:lang w:eastAsia="en-US"/>
        </w:rPr>
      </w:pPr>
      <w:r>
        <w:rPr>
          <w:lang w:eastAsia="en-US"/>
        </w:rPr>
        <w:t xml:space="preserve">Throughout the entirety of the pandemic, Melbourne Water has continued to provide uninterrupted service to our customers and community. As the pandemic evolved, we adapted our operations and emergency management response to ensure we continued to provide our valued services. Segregation arrangements for our field-based staff were put in place, which, along with the wider lockdown rules that Victorians adhered to, limited the risk of transmission to our essential workers. Melbourne Water’s research relationships and in-house expertise enabled us to play a critical role in the national </w:t>
      </w:r>
      <w:r w:rsidR="0030196D">
        <w:t>COVID</w:t>
      </w:r>
      <w:r w:rsidR="0030196D">
        <w:noBreakHyphen/>
        <w:t>19</w:t>
      </w:r>
      <w:r>
        <w:rPr>
          <w:lang w:eastAsia="en-US"/>
        </w:rPr>
        <w:t xml:space="preserve"> wastewater testing project (coordinated by Water Research Australia), which continues to support our understanding of disease prevalence in the community.</w:t>
      </w:r>
    </w:p>
    <w:p w14:paraId="591A7A6E" w14:textId="16D34582" w:rsidR="008F0BCE" w:rsidRDefault="00561B8A" w:rsidP="00561B8A">
      <w:pPr>
        <w:pStyle w:val="BodyText"/>
        <w:rPr>
          <w:lang w:eastAsia="en-US"/>
        </w:rPr>
      </w:pPr>
      <w:r>
        <w:rPr>
          <w:lang w:eastAsia="en-US"/>
        </w:rPr>
        <w:t xml:space="preserve">Our commitment to our people’s wellbeing has never been a higher priority, and we arranged a multitude of mental health, physical health and wellbeing initiatives such as hand-delivered care packages, arranging remote exercise and support through mental health and wellbeing seminars and via our employee assistance program. During this time, we also employed in excess of 100 Victorians who had lost their job as a result of the </w:t>
      </w:r>
      <w:r w:rsidR="0030196D">
        <w:t>COVID</w:t>
      </w:r>
      <w:r w:rsidR="0030196D">
        <w:noBreakHyphen/>
        <w:t>19</w:t>
      </w:r>
      <w:r>
        <w:rPr>
          <w:lang w:eastAsia="en-US"/>
        </w:rPr>
        <w:t xml:space="preserve"> pandemic, through the Victorian Government’s ‘Working for Victoria’ initiative. This initiative helps lessen the social impact of the pandemic and supports the broader Victorian economy.</w:t>
      </w:r>
    </w:p>
    <w:p w14:paraId="21562D40" w14:textId="4AF587CC" w:rsidR="00096532" w:rsidRDefault="00096532" w:rsidP="00096532">
      <w:pPr>
        <w:pStyle w:val="BodyText"/>
        <w:rPr>
          <w:lang w:eastAsia="en-US"/>
        </w:rPr>
      </w:pPr>
      <w:r>
        <w:rPr>
          <w:lang w:eastAsia="en-US"/>
        </w:rPr>
        <w:t xml:space="preserve">Innovations delivered through our community engagement program in digital engagement and education tools were pivotal in supporting our customers, and ensured that complex, multi-stage strategic projects were completed with significant collaboration and engagement, including the 2021 Price Submission (see page </w:t>
      </w:r>
      <w:r w:rsidR="009402BE">
        <w:rPr>
          <w:lang w:eastAsia="en-US"/>
        </w:rPr>
        <w:fldChar w:fldCharType="begin"/>
      </w:r>
      <w:r w:rsidR="009402BE">
        <w:rPr>
          <w:lang w:eastAsia="en-US"/>
        </w:rPr>
        <w:instrText xml:space="preserve"> PAGEREF _Ref89718212 \h </w:instrText>
      </w:r>
      <w:r w:rsidR="009402BE">
        <w:rPr>
          <w:lang w:eastAsia="en-US"/>
        </w:rPr>
      </w:r>
      <w:r w:rsidR="009402BE">
        <w:rPr>
          <w:lang w:eastAsia="en-US"/>
        </w:rPr>
        <w:fldChar w:fldCharType="separate"/>
      </w:r>
      <w:r w:rsidR="00472151">
        <w:rPr>
          <w:noProof/>
          <w:lang w:eastAsia="en-US"/>
        </w:rPr>
        <w:t>46</w:t>
      </w:r>
      <w:r w:rsidR="009402BE">
        <w:rPr>
          <w:lang w:eastAsia="en-US"/>
        </w:rPr>
        <w:fldChar w:fldCharType="end"/>
      </w:r>
      <w:r>
        <w:rPr>
          <w:lang w:eastAsia="en-US"/>
        </w:rPr>
        <w:t>).</w:t>
      </w:r>
    </w:p>
    <w:p w14:paraId="5A175FC5" w14:textId="45C3C003" w:rsidR="00096532" w:rsidRDefault="00096532" w:rsidP="00096532">
      <w:pPr>
        <w:pStyle w:val="BodyText"/>
        <w:rPr>
          <w:lang w:eastAsia="en-US"/>
        </w:rPr>
      </w:pPr>
      <w:r>
        <w:rPr>
          <w:lang w:eastAsia="en-US"/>
        </w:rPr>
        <w:t xml:space="preserve">As a learning organisation, we are also taking the opportunity to apply what we have learned about working differently during </w:t>
      </w:r>
      <w:r w:rsidR="0030196D">
        <w:t>COVID</w:t>
      </w:r>
      <w:r w:rsidR="0030196D">
        <w:noBreakHyphen/>
        <w:t>19</w:t>
      </w:r>
      <w:r>
        <w:rPr>
          <w:lang w:eastAsia="en-US"/>
        </w:rPr>
        <w:t xml:space="preserve">, to reimagine what work could look like beyond the pandemic and successfully embed opportunities for continuous improvement. This involves researching current practices, attitudes and beliefs and systematically testing and measuring potential approaches for our new ‘work normal’ (see page </w:t>
      </w:r>
      <w:r w:rsidR="009402BE">
        <w:rPr>
          <w:lang w:eastAsia="en-US"/>
        </w:rPr>
        <w:fldChar w:fldCharType="begin"/>
      </w:r>
      <w:r w:rsidR="009402BE">
        <w:rPr>
          <w:lang w:eastAsia="en-US"/>
        </w:rPr>
        <w:instrText xml:space="preserve"> PAGEREF NewWaysofWorking \h </w:instrText>
      </w:r>
      <w:r w:rsidR="009402BE">
        <w:rPr>
          <w:lang w:eastAsia="en-US"/>
        </w:rPr>
      </w:r>
      <w:r w:rsidR="009402BE">
        <w:rPr>
          <w:lang w:eastAsia="en-US"/>
        </w:rPr>
        <w:fldChar w:fldCharType="separate"/>
      </w:r>
      <w:r w:rsidR="00472151">
        <w:rPr>
          <w:noProof/>
          <w:lang w:eastAsia="en-US"/>
        </w:rPr>
        <w:t>67</w:t>
      </w:r>
      <w:r w:rsidR="009402BE">
        <w:rPr>
          <w:lang w:eastAsia="en-US"/>
        </w:rPr>
        <w:fldChar w:fldCharType="end"/>
      </w:r>
      <w:r>
        <w:rPr>
          <w:lang w:eastAsia="en-US"/>
        </w:rPr>
        <w:t xml:space="preserve"> for more).</w:t>
      </w:r>
    </w:p>
    <w:p w14:paraId="4D25AC24" w14:textId="442B20EA" w:rsidR="00D933DC" w:rsidRPr="00D933DC" w:rsidRDefault="00D933DC" w:rsidP="00D933DC">
      <w:pPr>
        <w:pStyle w:val="BodyText"/>
        <w:rPr>
          <w:rStyle w:val="Bold"/>
        </w:rPr>
      </w:pPr>
      <w:bookmarkStart w:id="73" w:name="EnhancingLifeandLiveability"/>
      <w:r w:rsidRPr="00D933DC">
        <w:rPr>
          <w:rStyle w:val="Bold"/>
        </w:rPr>
        <w:t>Enhancing Life and Liveability</w:t>
      </w:r>
    </w:p>
    <w:bookmarkEnd w:id="73"/>
    <w:p w14:paraId="67871307" w14:textId="2263AB6B" w:rsidR="00D933DC" w:rsidRDefault="00D933DC" w:rsidP="00D933DC">
      <w:pPr>
        <w:pStyle w:val="BodyText"/>
        <w:rPr>
          <w:lang w:eastAsia="en-US"/>
        </w:rPr>
      </w:pPr>
      <w:r>
        <w:rPr>
          <w:lang w:eastAsia="en-US"/>
        </w:rPr>
        <w:t>Our strategic pillars: Healthy People, Healthy Places, Healthy Environment</w:t>
      </w:r>
    </w:p>
    <w:tbl>
      <w:tblPr>
        <w:tblStyle w:val="TableGrid"/>
        <w:tblW w:w="5000" w:type="pct"/>
        <w:tblLook w:val="04A0" w:firstRow="1" w:lastRow="0" w:firstColumn="1" w:lastColumn="0" w:noHBand="0" w:noVBand="1"/>
      </w:tblPr>
      <w:tblGrid>
        <w:gridCol w:w="1418"/>
        <w:gridCol w:w="2267"/>
        <w:gridCol w:w="1703"/>
        <w:gridCol w:w="4243"/>
      </w:tblGrid>
      <w:tr w:rsidR="00724571" w:rsidRPr="002C1E65" w14:paraId="78BC1567"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736" w:type="pct"/>
            <w:vAlign w:val="bottom"/>
          </w:tcPr>
          <w:p w14:paraId="034E9C36" w14:textId="03C57353" w:rsidR="00724571" w:rsidRPr="002C1E65" w:rsidRDefault="00724571" w:rsidP="00C772B0">
            <w:bookmarkStart w:id="74" w:name="ColumnTitle_1"/>
            <w:r w:rsidRPr="002C1E65">
              <w:t>What We Do:</w:t>
            </w:r>
          </w:p>
        </w:tc>
        <w:tc>
          <w:tcPr>
            <w:tcW w:w="1177" w:type="pct"/>
            <w:vAlign w:val="bottom"/>
          </w:tcPr>
          <w:p w14:paraId="5A02CF03" w14:textId="43E381AE" w:rsidR="00724571" w:rsidRPr="002C1E65" w:rsidRDefault="00724571" w:rsidP="00C772B0">
            <w:r w:rsidRPr="002C1E65">
              <w:t xml:space="preserve">Delivering on the </w:t>
            </w:r>
            <w:r w:rsidR="0030196D">
              <w:t>Sustainable Development Goals</w:t>
            </w:r>
          </w:p>
        </w:tc>
        <w:tc>
          <w:tcPr>
            <w:tcW w:w="884" w:type="pct"/>
            <w:vAlign w:val="bottom"/>
          </w:tcPr>
          <w:p w14:paraId="38CC8998" w14:textId="1330B9E3" w:rsidR="00724571" w:rsidRPr="002C1E65" w:rsidRDefault="00724571" w:rsidP="00C772B0">
            <w:r w:rsidRPr="002C1E65">
              <w:t>Our results</w:t>
            </w:r>
          </w:p>
        </w:tc>
        <w:tc>
          <w:tcPr>
            <w:tcW w:w="2203" w:type="pct"/>
            <w:vAlign w:val="bottom"/>
          </w:tcPr>
          <w:p w14:paraId="12E510A4" w14:textId="6D20BDC7" w:rsidR="00724571" w:rsidRPr="002C1E65" w:rsidRDefault="00724571" w:rsidP="00C772B0">
            <w:r w:rsidRPr="002C1E65">
              <w:t>Key initiatives and projects</w:t>
            </w:r>
          </w:p>
        </w:tc>
      </w:tr>
      <w:bookmarkEnd w:id="74"/>
      <w:tr w:rsidR="00724571" w:rsidRPr="002C1E65" w14:paraId="452B94C4" w14:textId="77777777" w:rsidTr="00724571">
        <w:tc>
          <w:tcPr>
            <w:tcW w:w="736" w:type="pct"/>
          </w:tcPr>
          <w:p w14:paraId="0E16504F" w14:textId="428AA6E2" w:rsidR="00724571" w:rsidRPr="002C1E65" w:rsidRDefault="00724571" w:rsidP="00724571">
            <w:pPr>
              <w:pStyle w:val="TableBodyText"/>
              <w:rPr>
                <w:szCs w:val="20"/>
                <w:highlight w:val="yellow"/>
              </w:rPr>
            </w:pPr>
            <w:r w:rsidRPr="002C1E65">
              <w:rPr>
                <w:szCs w:val="20"/>
              </w:rPr>
              <w:t>Water</w:t>
            </w:r>
          </w:p>
        </w:tc>
        <w:tc>
          <w:tcPr>
            <w:tcW w:w="1177" w:type="pct"/>
          </w:tcPr>
          <w:p w14:paraId="06006E9D" w14:textId="7926ECF2" w:rsidR="00C84043" w:rsidRPr="002C1E65" w:rsidRDefault="00C84043" w:rsidP="00C84043">
            <w:pPr>
              <w:pStyle w:val="TableBodyText"/>
              <w:rPr>
                <w:szCs w:val="20"/>
              </w:rPr>
            </w:pPr>
            <w:r w:rsidRPr="002C1E65">
              <w:rPr>
                <w:szCs w:val="20"/>
              </w:rPr>
              <w:t>2. Zero Hunger</w:t>
            </w:r>
          </w:p>
          <w:p w14:paraId="59A04245" w14:textId="5B2924F6" w:rsidR="00C84043" w:rsidRPr="002C1E65" w:rsidRDefault="00C84043" w:rsidP="00C84043">
            <w:pPr>
              <w:pStyle w:val="TableBodyText"/>
              <w:rPr>
                <w:szCs w:val="20"/>
              </w:rPr>
            </w:pPr>
            <w:r w:rsidRPr="002C1E65">
              <w:rPr>
                <w:szCs w:val="20"/>
              </w:rPr>
              <w:t>3. Good Health and Well-being</w:t>
            </w:r>
          </w:p>
          <w:p w14:paraId="69D3C65D" w14:textId="22EB79BB" w:rsidR="00C84043" w:rsidRPr="002C1E65" w:rsidRDefault="00C84043" w:rsidP="00C84043">
            <w:pPr>
              <w:pStyle w:val="TableBodyText"/>
              <w:rPr>
                <w:szCs w:val="20"/>
              </w:rPr>
            </w:pPr>
            <w:r w:rsidRPr="002C1E65">
              <w:rPr>
                <w:szCs w:val="20"/>
              </w:rPr>
              <w:t>6. Clean Water and Sanitation</w:t>
            </w:r>
          </w:p>
          <w:p w14:paraId="24BFBA21" w14:textId="26F868D7" w:rsidR="00C84043" w:rsidRPr="002C1E65" w:rsidRDefault="00C84043" w:rsidP="00C84043">
            <w:pPr>
              <w:pStyle w:val="TableBodyText"/>
              <w:rPr>
                <w:szCs w:val="20"/>
              </w:rPr>
            </w:pPr>
            <w:r w:rsidRPr="002C1E65">
              <w:rPr>
                <w:szCs w:val="20"/>
              </w:rPr>
              <w:t>9. Industry, Innovation and Infrastructure</w:t>
            </w:r>
          </w:p>
          <w:p w14:paraId="628E089A" w14:textId="08AAFBB3" w:rsidR="00724571" w:rsidRPr="002C1E65" w:rsidRDefault="00C84043" w:rsidP="00C84043">
            <w:pPr>
              <w:pStyle w:val="TableBodyText"/>
              <w:rPr>
                <w:szCs w:val="20"/>
              </w:rPr>
            </w:pPr>
            <w:r w:rsidRPr="002C1E65">
              <w:rPr>
                <w:szCs w:val="20"/>
              </w:rPr>
              <w:t>11. Sustainable Cities and Communities</w:t>
            </w:r>
          </w:p>
        </w:tc>
        <w:tc>
          <w:tcPr>
            <w:tcW w:w="884" w:type="pct"/>
          </w:tcPr>
          <w:p w14:paraId="7A6F81E5" w14:textId="1EDBF8BD" w:rsidR="00724571" w:rsidRPr="002C1E65" w:rsidRDefault="00724571" w:rsidP="00724571">
            <w:pPr>
              <w:pStyle w:val="TableBodyText"/>
              <w:rPr>
                <w:szCs w:val="20"/>
              </w:rPr>
            </w:pPr>
            <w:r w:rsidRPr="002C1E65">
              <w:rPr>
                <w:szCs w:val="20"/>
              </w:rPr>
              <w:t>439 billion litres delivered</w:t>
            </w:r>
          </w:p>
          <w:p w14:paraId="7DECE345" w14:textId="38BDC7A3" w:rsidR="00724571" w:rsidRPr="002C1E65" w:rsidRDefault="00724571" w:rsidP="00724571">
            <w:pPr>
              <w:pStyle w:val="TableBodyText"/>
              <w:rPr>
                <w:szCs w:val="20"/>
              </w:rPr>
            </w:pPr>
            <w:r w:rsidRPr="002C1E65">
              <w:rPr>
                <w:szCs w:val="20"/>
              </w:rPr>
              <w:t>41 billion litres recycled water delivered</w:t>
            </w:r>
          </w:p>
        </w:tc>
        <w:tc>
          <w:tcPr>
            <w:tcW w:w="2203" w:type="pct"/>
          </w:tcPr>
          <w:p w14:paraId="2CB113D5" w14:textId="52F45A7D" w:rsidR="00724571" w:rsidRPr="002C1E65" w:rsidRDefault="00724571" w:rsidP="00D21B9A">
            <w:pPr>
              <w:pStyle w:val="TableBullet"/>
              <w:spacing w:before="60" w:after="60"/>
              <w:rPr>
                <w:rStyle w:val="ItalicText"/>
                <w:szCs w:val="20"/>
              </w:rPr>
            </w:pPr>
            <w:r w:rsidRPr="002C1E65">
              <w:rPr>
                <w:szCs w:val="20"/>
              </w:rPr>
              <w:t xml:space="preserve">played a substantial role in development of significant water strategies that will set the direction of our long-term water security for the next 10 years and beyond, with the </w:t>
            </w:r>
            <w:r w:rsidRPr="002C1E65">
              <w:rPr>
                <w:rStyle w:val="ItalicText"/>
                <w:szCs w:val="20"/>
              </w:rPr>
              <w:t>Central and Gippsland Region Sustainable Water Strategy</w:t>
            </w:r>
            <w:r w:rsidRPr="002C1E65">
              <w:rPr>
                <w:szCs w:val="20"/>
              </w:rPr>
              <w:t xml:space="preserve"> and </w:t>
            </w:r>
            <w:r w:rsidRPr="002C1E65">
              <w:rPr>
                <w:rStyle w:val="ItalicText"/>
                <w:szCs w:val="20"/>
              </w:rPr>
              <w:t>Greater Melbourne Urban Water and System Strategy</w:t>
            </w:r>
          </w:p>
          <w:p w14:paraId="0828D6EF" w14:textId="647B1469" w:rsidR="00724571" w:rsidRPr="002C1E65" w:rsidRDefault="00724571" w:rsidP="00D21B9A">
            <w:pPr>
              <w:pStyle w:val="TableBullet"/>
              <w:spacing w:before="60" w:after="60"/>
              <w:rPr>
                <w:szCs w:val="20"/>
              </w:rPr>
            </w:pPr>
            <w:r w:rsidRPr="002C1E65">
              <w:rPr>
                <w:szCs w:val="20"/>
              </w:rPr>
              <w:t>finalised construction on the $22 million Holden Reservoir Inlet Pipeline, providing vital and reliable water supplies to Melbourne's growing outer north-west</w:t>
            </w:r>
          </w:p>
          <w:p w14:paraId="06852BD4" w14:textId="44EE08B0" w:rsidR="00724571" w:rsidRPr="002C1E65" w:rsidRDefault="00724571" w:rsidP="00D21B9A">
            <w:pPr>
              <w:pStyle w:val="TableBullet"/>
              <w:spacing w:before="60" w:after="60"/>
              <w:rPr>
                <w:szCs w:val="20"/>
              </w:rPr>
            </w:pPr>
            <w:r w:rsidRPr="002C1E65">
              <w:rPr>
                <w:szCs w:val="20"/>
              </w:rPr>
              <w:t>upgraded Upper Yarra Dam, supporting continued critical supply security for Melbourne’s system storage</w:t>
            </w:r>
          </w:p>
          <w:p w14:paraId="1057722C" w14:textId="243C9F3E" w:rsidR="00724571" w:rsidRPr="002C1E65" w:rsidRDefault="00724571" w:rsidP="00D21B9A">
            <w:pPr>
              <w:pStyle w:val="TableBullet"/>
              <w:spacing w:before="60" w:after="60"/>
              <w:rPr>
                <w:szCs w:val="20"/>
              </w:rPr>
            </w:pPr>
            <w:r w:rsidRPr="002C1E65">
              <w:rPr>
                <w:szCs w:val="20"/>
              </w:rPr>
              <w:t>commenced construction of the Yan Yean Water Treatment Plant upgrade, which will enable water from Yan Yean Reservoir to be supplied on a routine basis, improving the resilience of the water supply system, and enabling greater community recreational use of the site</w:t>
            </w:r>
          </w:p>
          <w:p w14:paraId="2B83ABE4" w14:textId="016A76D9" w:rsidR="00724571" w:rsidRPr="002C1E65" w:rsidRDefault="00724571" w:rsidP="00D21B9A">
            <w:pPr>
              <w:pStyle w:val="TableBullet"/>
              <w:spacing w:before="60" w:after="60"/>
              <w:rPr>
                <w:szCs w:val="20"/>
              </w:rPr>
            </w:pPr>
            <w:r w:rsidRPr="002C1E65">
              <w:rPr>
                <w:szCs w:val="20"/>
              </w:rPr>
              <w:lastRenderedPageBreak/>
              <w:t>investigated the economic viability of city-scale alternative water networks, to contribute towards targets for alternative water uptake, and a more liveable and resilient Melbourne</w:t>
            </w:r>
          </w:p>
          <w:p w14:paraId="0617412A" w14:textId="66F01669" w:rsidR="00724571" w:rsidRPr="002C1E65" w:rsidRDefault="00724571" w:rsidP="00554ADD">
            <w:pPr>
              <w:pStyle w:val="TableBullet"/>
              <w:keepLines/>
              <w:spacing w:before="60" w:after="60"/>
              <w:rPr>
                <w:szCs w:val="20"/>
              </w:rPr>
            </w:pPr>
            <w:r w:rsidRPr="002C1E65">
              <w:rPr>
                <w:szCs w:val="20"/>
              </w:rPr>
              <w:t>delivered an assessment of the resilience of our water supply system to the potential impacts of future bushfires on water quality, identifying potential investment pathways to ensure resilience is maintained through catastrophic events.</w:t>
            </w:r>
          </w:p>
        </w:tc>
      </w:tr>
      <w:tr w:rsidR="00724571" w:rsidRPr="002C1E65" w14:paraId="35BAE3C1" w14:textId="77777777" w:rsidTr="00724571">
        <w:tc>
          <w:tcPr>
            <w:tcW w:w="736" w:type="pct"/>
          </w:tcPr>
          <w:p w14:paraId="6F244C99" w14:textId="6EC58550" w:rsidR="00724571" w:rsidRPr="002C1E65" w:rsidRDefault="00724571" w:rsidP="00724571">
            <w:pPr>
              <w:pStyle w:val="TableBodyText"/>
              <w:rPr>
                <w:szCs w:val="20"/>
              </w:rPr>
            </w:pPr>
            <w:r w:rsidRPr="002C1E65">
              <w:rPr>
                <w:szCs w:val="20"/>
              </w:rPr>
              <w:lastRenderedPageBreak/>
              <w:t>Sewerage</w:t>
            </w:r>
          </w:p>
        </w:tc>
        <w:tc>
          <w:tcPr>
            <w:tcW w:w="1177" w:type="pct"/>
          </w:tcPr>
          <w:p w14:paraId="79B51180" w14:textId="61ACCDA7" w:rsidR="00C84043" w:rsidRPr="002C1E65" w:rsidRDefault="00D21B9A" w:rsidP="00D21B9A">
            <w:pPr>
              <w:pStyle w:val="TableBodyText"/>
              <w:rPr>
                <w:szCs w:val="20"/>
              </w:rPr>
            </w:pPr>
            <w:r w:rsidRPr="002C1E65">
              <w:rPr>
                <w:szCs w:val="20"/>
              </w:rPr>
              <w:t xml:space="preserve">3. </w:t>
            </w:r>
            <w:r w:rsidR="00C84043" w:rsidRPr="002C1E65">
              <w:rPr>
                <w:szCs w:val="20"/>
              </w:rPr>
              <w:t>Good Health and Well-being</w:t>
            </w:r>
          </w:p>
          <w:p w14:paraId="117C56E8" w14:textId="53BDBA50" w:rsidR="00C84043" w:rsidRPr="002C1E65" w:rsidRDefault="00D21B9A" w:rsidP="00D21B9A">
            <w:pPr>
              <w:pStyle w:val="TableBodyText"/>
              <w:rPr>
                <w:szCs w:val="20"/>
              </w:rPr>
            </w:pPr>
            <w:r w:rsidRPr="002C1E65">
              <w:rPr>
                <w:szCs w:val="20"/>
              </w:rPr>
              <w:t xml:space="preserve">6. </w:t>
            </w:r>
            <w:r w:rsidR="00C84043" w:rsidRPr="002C1E65">
              <w:rPr>
                <w:szCs w:val="20"/>
              </w:rPr>
              <w:t>Clean Water and Sanitation</w:t>
            </w:r>
          </w:p>
          <w:p w14:paraId="6A1EB11C" w14:textId="4EFB63CB" w:rsidR="00C84043" w:rsidRPr="002C1E65" w:rsidRDefault="00D21B9A" w:rsidP="00D21B9A">
            <w:pPr>
              <w:pStyle w:val="TableBodyText"/>
              <w:rPr>
                <w:szCs w:val="20"/>
              </w:rPr>
            </w:pPr>
            <w:r w:rsidRPr="002C1E65">
              <w:rPr>
                <w:szCs w:val="20"/>
              </w:rPr>
              <w:t xml:space="preserve">7. </w:t>
            </w:r>
            <w:r w:rsidR="00C84043" w:rsidRPr="002C1E65">
              <w:rPr>
                <w:szCs w:val="20"/>
              </w:rPr>
              <w:t>Affordable and Clean Energy</w:t>
            </w:r>
          </w:p>
          <w:p w14:paraId="04D1D6FA" w14:textId="41E3F141" w:rsidR="00C84043" w:rsidRPr="002C1E65" w:rsidRDefault="00D21B9A" w:rsidP="00D21B9A">
            <w:pPr>
              <w:pStyle w:val="TableBodyText"/>
              <w:rPr>
                <w:szCs w:val="20"/>
              </w:rPr>
            </w:pPr>
            <w:r w:rsidRPr="002C1E65">
              <w:rPr>
                <w:szCs w:val="20"/>
              </w:rPr>
              <w:t xml:space="preserve">9. </w:t>
            </w:r>
            <w:r w:rsidR="00C84043" w:rsidRPr="002C1E65">
              <w:rPr>
                <w:szCs w:val="20"/>
              </w:rPr>
              <w:t>Industry, Innovation and Infrastructure</w:t>
            </w:r>
          </w:p>
          <w:p w14:paraId="4CD39734" w14:textId="51E0EFFD" w:rsidR="00C84043" w:rsidRPr="002C1E65" w:rsidRDefault="00D21B9A" w:rsidP="00D21B9A">
            <w:pPr>
              <w:pStyle w:val="TableBodyText"/>
              <w:rPr>
                <w:szCs w:val="20"/>
              </w:rPr>
            </w:pPr>
            <w:r w:rsidRPr="002C1E65">
              <w:rPr>
                <w:szCs w:val="20"/>
              </w:rPr>
              <w:t xml:space="preserve">11. </w:t>
            </w:r>
            <w:r w:rsidR="00C84043" w:rsidRPr="002C1E65">
              <w:rPr>
                <w:szCs w:val="20"/>
              </w:rPr>
              <w:t>Sustainable Cities and Communities</w:t>
            </w:r>
          </w:p>
          <w:p w14:paraId="6C5C7D68" w14:textId="6EF13302" w:rsidR="00C84043" w:rsidRPr="002C1E65" w:rsidRDefault="00D21B9A" w:rsidP="00D21B9A">
            <w:pPr>
              <w:pStyle w:val="TableBodyText"/>
              <w:rPr>
                <w:szCs w:val="20"/>
              </w:rPr>
            </w:pPr>
            <w:r w:rsidRPr="002C1E65">
              <w:rPr>
                <w:szCs w:val="20"/>
              </w:rPr>
              <w:t xml:space="preserve">12. </w:t>
            </w:r>
            <w:r w:rsidR="00C84043" w:rsidRPr="002C1E65">
              <w:rPr>
                <w:szCs w:val="20"/>
              </w:rPr>
              <w:t>Responsible Consumption and Production</w:t>
            </w:r>
          </w:p>
          <w:p w14:paraId="33F6F8FF" w14:textId="37574022" w:rsidR="00724571" w:rsidRPr="002C1E65" w:rsidRDefault="00D21B9A" w:rsidP="00D21B9A">
            <w:pPr>
              <w:pStyle w:val="TableBodyText"/>
              <w:rPr>
                <w:szCs w:val="20"/>
              </w:rPr>
            </w:pPr>
            <w:r w:rsidRPr="002C1E65">
              <w:rPr>
                <w:szCs w:val="20"/>
              </w:rPr>
              <w:t xml:space="preserve">13. </w:t>
            </w:r>
            <w:r w:rsidR="00C84043" w:rsidRPr="002C1E65">
              <w:rPr>
                <w:szCs w:val="20"/>
              </w:rPr>
              <w:t>Climate Action</w:t>
            </w:r>
          </w:p>
        </w:tc>
        <w:tc>
          <w:tcPr>
            <w:tcW w:w="884" w:type="pct"/>
          </w:tcPr>
          <w:p w14:paraId="7BB0CE2D" w14:textId="77777777" w:rsidR="00724571" w:rsidRPr="002C1E65" w:rsidRDefault="00724571" w:rsidP="00724571">
            <w:pPr>
              <w:pStyle w:val="TableBodyText"/>
              <w:rPr>
                <w:szCs w:val="20"/>
              </w:rPr>
            </w:pPr>
            <w:r w:rsidRPr="002C1E65">
              <w:rPr>
                <w:szCs w:val="20"/>
              </w:rPr>
              <w:t>343 billion litres of sewage treated</w:t>
            </w:r>
          </w:p>
          <w:p w14:paraId="24BB27A7" w14:textId="2A87207A" w:rsidR="00724571" w:rsidRPr="002C1E65" w:rsidRDefault="00724571" w:rsidP="00724571">
            <w:pPr>
              <w:pStyle w:val="TableBodyText"/>
              <w:rPr>
                <w:szCs w:val="20"/>
              </w:rPr>
            </w:pPr>
            <w:r w:rsidRPr="002C1E65">
              <w:rPr>
                <w:szCs w:val="20"/>
              </w:rPr>
              <w:t xml:space="preserve">$340 million commitment for primary treatment expansion at </w:t>
            </w:r>
            <w:r w:rsidR="0030196D">
              <w:rPr>
                <w:szCs w:val="20"/>
              </w:rPr>
              <w:t>Western Treatment Plant</w:t>
            </w:r>
          </w:p>
        </w:tc>
        <w:tc>
          <w:tcPr>
            <w:tcW w:w="2203" w:type="pct"/>
          </w:tcPr>
          <w:p w14:paraId="07774A79" w14:textId="73D4C424" w:rsidR="00724571" w:rsidRPr="002C1E65" w:rsidRDefault="00724571" w:rsidP="00D21B9A">
            <w:pPr>
              <w:pStyle w:val="TableBullet"/>
              <w:spacing w:before="60" w:after="60"/>
              <w:rPr>
                <w:szCs w:val="20"/>
              </w:rPr>
            </w:pPr>
            <w:r w:rsidRPr="002C1E65">
              <w:rPr>
                <w:szCs w:val="20"/>
              </w:rPr>
              <w:t>contributed to the circular economy through re-use of almost 48,000 dry tonnes of biosolids from Western Treatment Plant at 14 farms in Western Victoria. This represents over 90 per cent of the biosolids produced from the plant over the year.</w:t>
            </w:r>
          </w:p>
          <w:p w14:paraId="2099CC26" w14:textId="4602A057" w:rsidR="00724571" w:rsidRPr="002C1E65" w:rsidRDefault="00724571" w:rsidP="00D21B9A">
            <w:pPr>
              <w:pStyle w:val="TableBullet"/>
              <w:spacing w:before="60" w:after="60"/>
              <w:rPr>
                <w:szCs w:val="20"/>
              </w:rPr>
            </w:pPr>
            <w:r w:rsidRPr="002C1E65">
              <w:rPr>
                <w:szCs w:val="20"/>
              </w:rPr>
              <w:t>maintained the ability of our sewage transfer system to safely manage the sewage generated by a growing city. This includes detailed design and construction of the Yarra River crossing of the Hobson’s Bay sewer, which is a critical element in Melbourne’s sewerage network</w:t>
            </w:r>
          </w:p>
          <w:p w14:paraId="06D97B56" w14:textId="7C0C8123" w:rsidR="00724571" w:rsidRPr="002C1E65" w:rsidRDefault="00724571" w:rsidP="00D21B9A">
            <w:pPr>
              <w:pStyle w:val="TableBullet"/>
              <w:spacing w:before="60" w:after="60"/>
              <w:rPr>
                <w:szCs w:val="20"/>
              </w:rPr>
            </w:pPr>
            <w:r w:rsidRPr="002C1E65">
              <w:rPr>
                <w:szCs w:val="20"/>
              </w:rPr>
              <w:t>delivered an internationally significant wastewater treatment innovation at our Western Treatment Plant, which optimises nitrogen removal and renewable energy production onsite, providing cost savings to customers</w:t>
            </w:r>
          </w:p>
          <w:p w14:paraId="33E8BA17" w14:textId="4004A234" w:rsidR="00724571" w:rsidRPr="002C1E65" w:rsidRDefault="00724571" w:rsidP="00D21B9A">
            <w:pPr>
              <w:pStyle w:val="TableBullet"/>
              <w:spacing w:before="60" w:after="60"/>
              <w:rPr>
                <w:szCs w:val="20"/>
              </w:rPr>
            </w:pPr>
            <w:r w:rsidRPr="002C1E65">
              <w:rPr>
                <w:szCs w:val="20"/>
              </w:rPr>
              <w:t>commitment to expand the primary (or first stage) treatment at the Western Treatment Plant, catering for population growth and increasing treatment resilience</w:t>
            </w:r>
          </w:p>
          <w:p w14:paraId="31A8D9DE" w14:textId="11C4A473" w:rsidR="00724571" w:rsidRPr="002C1E65" w:rsidRDefault="00724571" w:rsidP="00D21B9A">
            <w:pPr>
              <w:pStyle w:val="TableBullet"/>
              <w:spacing w:before="60" w:after="60"/>
              <w:rPr>
                <w:szCs w:val="20"/>
              </w:rPr>
            </w:pPr>
            <w:r w:rsidRPr="002C1E65">
              <w:rPr>
                <w:szCs w:val="20"/>
              </w:rPr>
              <w:t xml:space="preserve">implemented our </w:t>
            </w:r>
            <w:r w:rsidRPr="002C1E65">
              <w:rPr>
                <w:rStyle w:val="ItalicText"/>
                <w:szCs w:val="20"/>
              </w:rPr>
              <w:t>Sewerage Strategy</w:t>
            </w:r>
            <w:r w:rsidRPr="002C1E65">
              <w:rPr>
                <w:szCs w:val="20"/>
              </w:rPr>
              <w:t>, playing a key industry role in the circular economy of waste management and utilising sewage as a resource.</w:t>
            </w:r>
          </w:p>
        </w:tc>
      </w:tr>
      <w:tr w:rsidR="00724571" w:rsidRPr="002C1E65" w14:paraId="74EB0AF8" w14:textId="77777777" w:rsidTr="00724571">
        <w:tc>
          <w:tcPr>
            <w:tcW w:w="736" w:type="pct"/>
          </w:tcPr>
          <w:p w14:paraId="79D36A2A" w14:textId="4113D17A" w:rsidR="00724571" w:rsidRPr="002C1E65" w:rsidRDefault="00724571" w:rsidP="00724571">
            <w:pPr>
              <w:pStyle w:val="TableBodyText"/>
              <w:rPr>
                <w:szCs w:val="20"/>
              </w:rPr>
            </w:pPr>
            <w:r w:rsidRPr="002C1E65">
              <w:rPr>
                <w:szCs w:val="20"/>
              </w:rPr>
              <w:t>Drainage</w:t>
            </w:r>
          </w:p>
        </w:tc>
        <w:tc>
          <w:tcPr>
            <w:tcW w:w="1177" w:type="pct"/>
          </w:tcPr>
          <w:p w14:paraId="3F3A137C" w14:textId="7842FE98" w:rsidR="00C84043" w:rsidRPr="002C1E65" w:rsidRDefault="00D21B9A" w:rsidP="00D21B9A">
            <w:pPr>
              <w:pStyle w:val="TableBodyText"/>
              <w:rPr>
                <w:szCs w:val="20"/>
              </w:rPr>
            </w:pPr>
            <w:r w:rsidRPr="002C1E65">
              <w:rPr>
                <w:szCs w:val="20"/>
              </w:rPr>
              <w:t xml:space="preserve">6. </w:t>
            </w:r>
            <w:r w:rsidR="00C84043" w:rsidRPr="002C1E65">
              <w:rPr>
                <w:szCs w:val="20"/>
              </w:rPr>
              <w:t>Clean Water and Sanitation</w:t>
            </w:r>
          </w:p>
          <w:p w14:paraId="68A733C0" w14:textId="2ADC222C" w:rsidR="00C84043" w:rsidRPr="002C1E65" w:rsidRDefault="00D21B9A" w:rsidP="00D21B9A">
            <w:pPr>
              <w:pStyle w:val="TableBodyText"/>
              <w:rPr>
                <w:szCs w:val="20"/>
              </w:rPr>
            </w:pPr>
            <w:r w:rsidRPr="002C1E65">
              <w:rPr>
                <w:szCs w:val="20"/>
              </w:rPr>
              <w:t xml:space="preserve">9. </w:t>
            </w:r>
            <w:r w:rsidR="00C84043" w:rsidRPr="002C1E65">
              <w:rPr>
                <w:szCs w:val="20"/>
              </w:rPr>
              <w:t>Industry, Innovation and Infrastructure</w:t>
            </w:r>
          </w:p>
          <w:p w14:paraId="50965758" w14:textId="706892B4" w:rsidR="00C84043" w:rsidRPr="002C1E65" w:rsidRDefault="00D21B9A" w:rsidP="00D21B9A">
            <w:pPr>
              <w:pStyle w:val="TableBodyText"/>
              <w:rPr>
                <w:szCs w:val="20"/>
              </w:rPr>
            </w:pPr>
            <w:r w:rsidRPr="002C1E65">
              <w:rPr>
                <w:szCs w:val="20"/>
              </w:rPr>
              <w:t xml:space="preserve">11. </w:t>
            </w:r>
            <w:r w:rsidR="00C84043" w:rsidRPr="002C1E65">
              <w:rPr>
                <w:szCs w:val="20"/>
              </w:rPr>
              <w:t>Sustainable Cities and Communities</w:t>
            </w:r>
          </w:p>
          <w:p w14:paraId="005312D2" w14:textId="5F48CB15" w:rsidR="00C84043" w:rsidRPr="002C1E65" w:rsidRDefault="00D21B9A" w:rsidP="00D21B9A">
            <w:pPr>
              <w:pStyle w:val="TableBodyText"/>
              <w:rPr>
                <w:szCs w:val="20"/>
              </w:rPr>
            </w:pPr>
            <w:r w:rsidRPr="002C1E65">
              <w:rPr>
                <w:szCs w:val="20"/>
              </w:rPr>
              <w:t xml:space="preserve">13. </w:t>
            </w:r>
            <w:r w:rsidR="00C84043" w:rsidRPr="002C1E65">
              <w:rPr>
                <w:szCs w:val="20"/>
              </w:rPr>
              <w:t>Climate Action</w:t>
            </w:r>
          </w:p>
          <w:p w14:paraId="3E9CBC87" w14:textId="64C899C2" w:rsidR="00724571" w:rsidRPr="002C1E65" w:rsidRDefault="00D21B9A" w:rsidP="00D21B9A">
            <w:pPr>
              <w:pStyle w:val="TableBodyText"/>
              <w:rPr>
                <w:szCs w:val="20"/>
              </w:rPr>
            </w:pPr>
            <w:r w:rsidRPr="002C1E65">
              <w:rPr>
                <w:szCs w:val="20"/>
              </w:rPr>
              <w:t xml:space="preserve">17. </w:t>
            </w:r>
            <w:r w:rsidR="00C84043" w:rsidRPr="002C1E65">
              <w:rPr>
                <w:szCs w:val="20"/>
              </w:rPr>
              <w:t>Partnerships for the Goals</w:t>
            </w:r>
          </w:p>
        </w:tc>
        <w:tc>
          <w:tcPr>
            <w:tcW w:w="884" w:type="pct"/>
          </w:tcPr>
          <w:p w14:paraId="39DEDD63" w14:textId="77777777" w:rsidR="00724571" w:rsidRPr="002C1E65" w:rsidRDefault="00724571" w:rsidP="00724571">
            <w:pPr>
              <w:pStyle w:val="TableBodyText"/>
              <w:rPr>
                <w:szCs w:val="20"/>
              </w:rPr>
            </w:pPr>
            <w:r w:rsidRPr="002C1E65">
              <w:rPr>
                <w:szCs w:val="20"/>
              </w:rPr>
              <w:t>23,000 new homes delivered by the development industry supported by Melbourne Water</w:t>
            </w:r>
          </w:p>
          <w:p w14:paraId="1DF956D8" w14:textId="3CA81239" w:rsidR="00724571" w:rsidRPr="002C1E65" w:rsidRDefault="00724571" w:rsidP="00724571">
            <w:pPr>
              <w:pStyle w:val="TableBodyText"/>
              <w:rPr>
                <w:szCs w:val="20"/>
              </w:rPr>
            </w:pPr>
            <w:r w:rsidRPr="002C1E65">
              <w:rPr>
                <w:szCs w:val="20"/>
              </w:rPr>
              <w:t>102 catchments mapped for flood management program</w:t>
            </w:r>
          </w:p>
        </w:tc>
        <w:tc>
          <w:tcPr>
            <w:tcW w:w="2203" w:type="pct"/>
          </w:tcPr>
          <w:p w14:paraId="24E9B6CB" w14:textId="459BC802" w:rsidR="00724571" w:rsidRPr="002C1E65" w:rsidRDefault="00724571" w:rsidP="00634CF5">
            <w:pPr>
              <w:pStyle w:val="TableBullet"/>
              <w:spacing w:before="60" w:after="60"/>
              <w:rPr>
                <w:szCs w:val="20"/>
              </w:rPr>
            </w:pPr>
            <w:r w:rsidRPr="002C1E65">
              <w:rPr>
                <w:szCs w:val="20"/>
              </w:rPr>
              <w:t xml:space="preserve">refreshed the </w:t>
            </w:r>
            <w:r w:rsidRPr="002C1E65">
              <w:rPr>
                <w:rStyle w:val="ItalicText"/>
                <w:szCs w:val="20"/>
              </w:rPr>
              <w:t>Flood Management Strategy</w:t>
            </w:r>
            <w:r w:rsidRPr="002C1E65">
              <w:rPr>
                <w:szCs w:val="20"/>
              </w:rPr>
              <w:t xml:space="preserve"> in collaboration with our regional partners to ensure we are delivering outcomes that maximise value to the community</w:t>
            </w:r>
          </w:p>
          <w:p w14:paraId="148BA03F" w14:textId="527E30EB" w:rsidR="00724571" w:rsidRPr="002C1E65" w:rsidRDefault="00724571" w:rsidP="00634CF5">
            <w:pPr>
              <w:pStyle w:val="TableBullet"/>
              <w:spacing w:before="60" w:after="60"/>
              <w:rPr>
                <w:szCs w:val="20"/>
              </w:rPr>
            </w:pPr>
            <w:r w:rsidRPr="002C1E65">
              <w:rPr>
                <w:szCs w:val="20"/>
              </w:rPr>
              <w:t>worked with state and local government, to review shared roles and responsibilities for drainage infrastructure and improve system management across the region, including the Melbourne Urban Stormwater Institutional Arrangements</w:t>
            </w:r>
          </w:p>
          <w:p w14:paraId="3CFED27A" w14:textId="2122BA3E" w:rsidR="00724571" w:rsidRPr="002C1E65" w:rsidRDefault="00724571" w:rsidP="00634CF5">
            <w:pPr>
              <w:pStyle w:val="TableBullet"/>
              <w:spacing w:before="60" w:after="60"/>
              <w:rPr>
                <w:szCs w:val="20"/>
              </w:rPr>
            </w:pPr>
            <w:r w:rsidRPr="002C1E65">
              <w:rPr>
                <w:szCs w:val="20"/>
              </w:rPr>
              <w:t>significantly improved the quality and availability of flood information, and doubled the number of catchments flood mapped from 2019-20. Our collaboration with councils and improved data quality and standards have played a key role in driving these results</w:t>
            </w:r>
          </w:p>
          <w:p w14:paraId="42B1AF3E" w14:textId="77777777" w:rsidR="00724571" w:rsidRPr="002C1E65" w:rsidRDefault="00724571" w:rsidP="00634CF5">
            <w:pPr>
              <w:pStyle w:val="TableBullet"/>
              <w:spacing w:before="60" w:after="60"/>
              <w:rPr>
                <w:szCs w:val="20"/>
              </w:rPr>
            </w:pPr>
            <w:r w:rsidRPr="002C1E65">
              <w:rPr>
                <w:szCs w:val="20"/>
              </w:rPr>
              <w:t>completed upgrades to essential retarding basins to help reduce flood impacts</w:t>
            </w:r>
          </w:p>
          <w:p w14:paraId="5523CAC5" w14:textId="77777777" w:rsidR="00724571" w:rsidRPr="002C1E65" w:rsidRDefault="00724571" w:rsidP="00634CF5">
            <w:pPr>
              <w:pStyle w:val="TableBullet"/>
              <w:spacing w:before="60" w:after="60"/>
              <w:rPr>
                <w:szCs w:val="20"/>
              </w:rPr>
            </w:pPr>
            <w:r w:rsidRPr="002C1E65">
              <w:rPr>
                <w:szCs w:val="20"/>
              </w:rPr>
              <w:t>facilitated a sense of community and connection through the renewal of the Shakespeare Grove main drain beach outfall in St Kilda</w:t>
            </w:r>
          </w:p>
          <w:p w14:paraId="7089A4F6" w14:textId="7BD27665" w:rsidR="00724571" w:rsidRPr="002C1E65" w:rsidRDefault="00724571" w:rsidP="00634CF5">
            <w:pPr>
              <w:pStyle w:val="TableBullet"/>
              <w:spacing w:before="60" w:after="60"/>
              <w:rPr>
                <w:szCs w:val="20"/>
              </w:rPr>
            </w:pPr>
            <w:r w:rsidRPr="002C1E65">
              <w:rPr>
                <w:szCs w:val="20"/>
              </w:rPr>
              <w:t xml:space="preserve">worked closely with the Victorian Planning Authority (VPA), retail water companies and local councils to progress integrated water management (IWM) planning for key development sites across Melbourne, winning the </w:t>
            </w:r>
            <w:r w:rsidR="00A52F94">
              <w:rPr>
                <w:szCs w:val="20"/>
              </w:rPr>
              <w:lastRenderedPageBreak/>
              <w:t>Australian Institute of Landscape Architects</w:t>
            </w:r>
            <w:r w:rsidRPr="002C1E65">
              <w:rPr>
                <w:szCs w:val="20"/>
              </w:rPr>
              <w:t xml:space="preserve"> Victoria Award of Excellence in Infrastructure for this program</w:t>
            </w:r>
          </w:p>
          <w:p w14:paraId="0185611B" w14:textId="6C5E1BC6" w:rsidR="00724571" w:rsidRPr="002C1E65" w:rsidRDefault="00724571" w:rsidP="00634CF5">
            <w:pPr>
              <w:pStyle w:val="TableBullet"/>
              <w:spacing w:before="60" w:after="60"/>
              <w:rPr>
                <w:szCs w:val="20"/>
              </w:rPr>
            </w:pPr>
            <w:r w:rsidRPr="002C1E65">
              <w:rPr>
                <w:szCs w:val="20"/>
              </w:rPr>
              <w:t>collaborated with project partners, community representatives and residents to reimagine creeks, improve accessibility to our land and enhance their open space across Melbourne.</w:t>
            </w:r>
          </w:p>
        </w:tc>
      </w:tr>
      <w:tr w:rsidR="00724571" w:rsidRPr="002C1E65" w14:paraId="7CBC7F88" w14:textId="77777777" w:rsidTr="00724571">
        <w:tc>
          <w:tcPr>
            <w:tcW w:w="736" w:type="pct"/>
          </w:tcPr>
          <w:p w14:paraId="3376C261" w14:textId="27403A98" w:rsidR="00724571" w:rsidRPr="002C1E65" w:rsidRDefault="00724571" w:rsidP="00724571">
            <w:pPr>
              <w:pStyle w:val="TableBodyText"/>
              <w:rPr>
                <w:szCs w:val="20"/>
              </w:rPr>
            </w:pPr>
            <w:r w:rsidRPr="002C1E65">
              <w:rPr>
                <w:szCs w:val="20"/>
              </w:rPr>
              <w:lastRenderedPageBreak/>
              <w:t>Waterways</w:t>
            </w:r>
          </w:p>
        </w:tc>
        <w:tc>
          <w:tcPr>
            <w:tcW w:w="1177" w:type="pct"/>
          </w:tcPr>
          <w:p w14:paraId="0BC2F47C" w14:textId="31B59190" w:rsidR="00C84043" w:rsidRPr="002C1E65" w:rsidRDefault="00D21B9A" w:rsidP="00D21B9A">
            <w:pPr>
              <w:pStyle w:val="TableBodyText"/>
              <w:rPr>
                <w:szCs w:val="20"/>
              </w:rPr>
            </w:pPr>
            <w:r w:rsidRPr="002C1E65">
              <w:rPr>
                <w:szCs w:val="20"/>
              </w:rPr>
              <w:t xml:space="preserve">3. </w:t>
            </w:r>
            <w:r w:rsidR="00C84043" w:rsidRPr="002C1E65">
              <w:rPr>
                <w:szCs w:val="20"/>
              </w:rPr>
              <w:t>Good Health and Well-being</w:t>
            </w:r>
          </w:p>
          <w:p w14:paraId="6BC6FE03" w14:textId="430B892A" w:rsidR="00C84043" w:rsidRPr="002C1E65" w:rsidRDefault="00D21B9A" w:rsidP="00D21B9A">
            <w:pPr>
              <w:pStyle w:val="TableBodyText"/>
              <w:rPr>
                <w:szCs w:val="20"/>
              </w:rPr>
            </w:pPr>
            <w:r w:rsidRPr="002C1E65">
              <w:rPr>
                <w:szCs w:val="20"/>
              </w:rPr>
              <w:t xml:space="preserve">6. </w:t>
            </w:r>
            <w:r w:rsidR="00C84043" w:rsidRPr="002C1E65">
              <w:rPr>
                <w:szCs w:val="20"/>
              </w:rPr>
              <w:t>Clean Water and Sanitation</w:t>
            </w:r>
          </w:p>
          <w:p w14:paraId="48B04A0A" w14:textId="4A9A555B" w:rsidR="00C84043" w:rsidRPr="002C1E65" w:rsidRDefault="00D21B9A" w:rsidP="00D21B9A">
            <w:pPr>
              <w:pStyle w:val="TableBodyText"/>
              <w:rPr>
                <w:szCs w:val="20"/>
              </w:rPr>
            </w:pPr>
            <w:r w:rsidRPr="002C1E65">
              <w:rPr>
                <w:szCs w:val="20"/>
              </w:rPr>
              <w:t xml:space="preserve">11. </w:t>
            </w:r>
            <w:r w:rsidR="00C84043" w:rsidRPr="002C1E65">
              <w:rPr>
                <w:szCs w:val="20"/>
              </w:rPr>
              <w:t>Sustainable Cities and Communities</w:t>
            </w:r>
          </w:p>
          <w:p w14:paraId="1347DE61" w14:textId="4D89C8EA" w:rsidR="00C84043" w:rsidRPr="002C1E65" w:rsidRDefault="00D21B9A" w:rsidP="00D21B9A">
            <w:pPr>
              <w:pStyle w:val="TableBodyText"/>
              <w:rPr>
                <w:szCs w:val="20"/>
              </w:rPr>
            </w:pPr>
            <w:r w:rsidRPr="002C1E65">
              <w:rPr>
                <w:szCs w:val="20"/>
              </w:rPr>
              <w:t xml:space="preserve">14. </w:t>
            </w:r>
            <w:r w:rsidR="00C84043" w:rsidRPr="002C1E65">
              <w:rPr>
                <w:szCs w:val="20"/>
              </w:rPr>
              <w:t>Life Below Water</w:t>
            </w:r>
          </w:p>
          <w:p w14:paraId="472AD993" w14:textId="4FDEE9F8" w:rsidR="00C84043" w:rsidRPr="002C1E65" w:rsidRDefault="00D21B9A" w:rsidP="00D21B9A">
            <w:pPr>
              <w:pStyle w:val="TableBodyText"/>
              <w:rPr>
                <w:szCs w:val="20"/>
              </w:rPr>
            </w:pPr>
            <w:r w:rsidRPr="002C1E65">
              <w:rPr>
                <w:szCs w:val="20"/>
              </w:rPr>
              <w:t xml:space="preserve">15. </w:t>
            </w:r>
            <w:r w:rsidR="00C84043" w:rsidRPr="002C1E65">
              <w:rPr>
                <w:szCs w:val="20"/>
              </w:rPr>
              <w:t>Life On Land</w:t>
            </w:r>
          </w:p>
          <w:p w14:paraId="6E0BC074" w14:textId="016B7B23" w:rsidR="00724571" w:rsidRPr="002C1E65" w:rsidRDefault="00D21B9A" w:rsidP="00D21B9A">
            <w:pPr>
              <w:pStyle w:val="TableBodyText"/>
              <w:rPr>
                <w:szCs w:val="20"/>
              </w:rPr>
            </w:pPr>
            <w:r w:rsidRPr="002C1E65">
              <w:rPr>
                <w:szCs w:val="20"/>
              </w:rPr>
              <w:t xml:space="preserve">17. </w:t>
            </w:r>
            <w:r w:rsidR="00C84043" w:rsidRPr="002C1E65">
              <w:rPr>
                <w:szCs w:val="20"/>
              </w:rPr>
              <w:t>Partnerships for the Goals</w:t>
            </w:r>
          </w:p>
        </w:tc>
        <w:tc>
          <w:tcPr>
            <w:tcW w:w="884" w:type="pct"/>
          </w:tcPr>
          <w:p w14:paraId="11729316" w14:textId="2C0753C0" w:rsidR="00724571" w:rsidRPr="002C1E65" w:rsidRDefault="00724571" w:rsidP="00724571">
            <w:pPr>
              <w:pStyle w:val="TableBodyText"/>
              <w:rPr>
                <w:szCs w:val="20"/>
              </w:rPr>
            </w:pPr>
            <w:r w:rsidRPr="002C1E65">
              <w:rPr>
                <w:szCs w:val="20"/>
              </w:rPr>
              <w:t>$8.8 million in grants funding provided to create great outcomes for waterways across the region</w:t>
            </w:r>
          </w:p>
          <w:p w14:paraId="53E30B57" w14:textId="085E9090" w:rsidR="00724571" w:rsidRPr="002C1E65" w:rsidRDefault="00724571" w:rsidP="00724571">
            <w:pPr>
              <w:pStyle w:val="TableBodyText"/>
              <w:rPr>
                <w:szCs w:val="20"/>
              </w:rPr>
            </w:pPr>
            <w:r w:rsidRPr="002C1E65">
              <w:rPr>
                <w:szCs w:val="20"/>
              </w:rPr>
              <w:t>10.25 billion litres of water released for the environment</w:t>
            </w:r>
          </w:p>
        </w:tc>
        <w:tc>
          <w:tcPr>
            <w:tcW w:w="2203" w:type="pct"/>
          </w:tcPr>
          <w:p w14:paraId="2FDBC0F3" w14:textId="4AE5CC15" w:rsidR="00724571" w:rsidRPr="002C1E65" w:rsidRDefault="00724571" w:rsidP="00634CF5">
            <w:pPr>
              <w:pStyle w:val="TableBullet"/>
              <w:spacing w:before="60" w:after="60"/>
              <w:rPr>
                <w:szCs w:val="20"/>
              </w:rPr>
            </w:pPr>
            <w:r w:rsidRPr="002C1E65">
              <w:rPr>
                <w:szCs w:val="20"/>
              </w:rPr>
              <w:t xml:space="preserve">provided over 100 jobs through the State Government’s Working for Victoria initiative for important projects across greater Melbourne supporting our waterways and catchment teams and in administration through the Waterway Blitz program </w:t>
            </w:r>
          </w:p>
          <w:p w14:paraId="0F2947F3" w14:textId="64F0840E" w:rsidR="00724571" w:rsidRPr="002C1E65" w:rsidRDefault="00724571" w:rsidP="00634CF5">
            <w:pPr>
              <w:pStyle w:val="TableBullet"/>
              <w:spacing w:before="60" w:after="60"/>
              <w:rPr>
                <w:szCs w:val="20"/>
              </w:rPr>
            </w:pPr>
            <w:r w:rsidRPr="002C1E65">
              <w:rPr>
                <w:szCs w:val="20"/>
              </w:rPr>
              <w:t>delivered priority watering actions in Yarra, Werribee and Tarago rivers as described in the Victorian Environmental Water Holder’s Seasonal Watering Plan, including cultural watering of Annulus billabong</w:t>
            </w:r>
          </w:p>
          <w:p w14:paraId="4DE79830" w14:textId="347B29BF" w:rsidR="00E65B86" w:rsidRPr="002C1E65" w:rsidRDefault="00724571" w:rsidP="00634CF5">
            <w:pPr>
              <w:pStyle w:val="TableBullet"/>
              <w:spacing w:before="60" w:after="60"/>
              <w:rPr>
                <w:szCs w:val="20"/>
              </w:rPr>
            </w:pPr>
            <w:r w:rsidRPr="002C1E65">
              <w:rPr>
                <w:szCs w:val="20"/>
              </w:rPr>
              <w:t xml:space="preserve">launched the </w:t>
            </w:r>
            <w:r w:rsidRPr="002C1E65">
              <w:rPr>
                <w:rStyle w:val="ItalicText"/>
                <w:szCs w:val="20"/>
              </w:rPr>
              <w:t>Healthy Waterways Strategy</w:t>
            </w:r>
            <w:r w:rsidRPr="002C1E65">
              <w:rPr>
                <w:szCs w:val="20"/>
              </w:rPr>
              <w:t xml:space="preserve"> Annual Reporting </w:t>
            </w:r>
            <w:hyperlink r:id="rId17" w:history="1">
              <w:r w:rsidR="00325446" w:rsidRPr="002C1E65">
                <w:rPr>
                  <w:rStyle w:val="Hyperlink"/>
                  <w:szCs w:val="20"/>
                </w:rPr>
                <w:t>website</w:t>
              </w:r>
            </w:hyperlink>
            <w:r w:rsidR="00325446" w:rsidRPr="002C1E65">
              <w:rPr>
                <w:rStyle w:val="FootnoteReference"/>
                <w:szCs w:val="20"/>
              </w:rPr>
              <w:footnoteReference w:id="3"/>
            </w:r>
            <w:r w:rsidR="00325446" w:rsidRPr="002C1E65">
              <w:rPr>
                <w:szCs w:val="20"/>
              </w:rPr>
              <w:t xml:space="preserve">. </w:t>
            </w:r>
            <w:r w:rsidRPr="002C1E65">
              <w:rPr>
                <w:szCs w:val="20"/>
              </w:rPr>
              <w:t>This is a community resource, providing access to contextual</w:t>
            </w:r>
            <w:r w:rsidR="00E65B86" w:rsidRPr="002C1E65">
              <w:rPr>
                <w:szCs w:val="20"/>
              </w:rPr>
              <w:t xml:space="preserve"> </w:t>
            </w:r>
            <w:r w:rsidRPr="002C1E65">
              <w:rPr>
                <w:szCs w:val="20"/>
              </w:rPr>
              <w:t>information and data</w:t>
            </w:r>
          </w:p>
          <w:p w14:paraId="4BF69B8C" w14:textId="17D883A7" w:rsidR="00724571" w:rsidRPr="002C1E65" w:rsidRDefault="00724571" w:rsidP="00634CF5">
            <w:pPr>
              <w:pStyle w:val="TableBullet"/>
              <w:spacing w:before="60" w:after="60"/>
              <w:rPr>
                <w:szCs w:val="20"/>
              </w:rPr>
            </w:pPr>
            <w:r w:rsidRPr="002C1E65">
              <w:rPr>
                <w:szCs w:val="20"/>
              </w:rPr>
              <w:t>continued the third year of the</w:t>
            </w:r>
            <w:r w:rsidR="00E65B86" w:rsidRPr="002C1E65">
              <w:rPr>
                <w:szCs w:val="20"/>
              </w:rPr>
              <w:t xml:space="preserve"> </w:t>
            </w:r>
            <w:r w:rsidRPr="002C1E65">
              <w:rPr>
                <w:szCs w:val="20"/>
              </w:rPr>
              <w:t>Litter Action project, which has</w:t>
            </w:r>
            <w:r w:rsidR="00E65B86" w:rsidRPr="002C1E65">
              <w:rPr>
                <w:szCs w:val="20"/>
              </w:rPr>
              <w:t xml:space="preserve"> </w:t>
            </w:r>
            <w:r w:rsidRPr="002C1E65">
              <w:rPr>
                <w:szCs w:val="20"/>
              </w:rPr>
              <w:t>prevented more than 39,000</w:t>
            </w:r>
            <w:r w:rsidR="00E65B86" w:rsidRPr="002C1E65">
              <w:rPr>
                <w:szCs w:val="20"/>
              </w:rPr>
              <w:t xml:space="preserve"> </w:t>
            </w:r>
            <w:r w:rsidRPr="002C1E65">
              <w:rPr>
                <w:szCs w:val="20"/>
              </w:rPr>
              <w:t>pieces of litter from entering</w:t>
            </w:r>
            <w:r w:rsidR="00E65B86" w:rsidRPr="002C1E65">
              <w:rPr>
                <w:szCs w:val="20"/>
              </w:rPr>
              <w:t xml:space="preserve"> </w:t>
            </w:r>
            <w:r w:rsidRPr="002C1E65">
              <w:rPr>
                <w:szCs w:val="20"/>
              </w:rPr>
              <w:t>waterways and Port Philip Bay</w:t>
            </w:r>
          </w:p>
          <w:p w14:paraId="4836E358" w14:textId="091AADD7" w:rsidR="00724571" w:rsidRPr="002C1E65" w:rsidRDefault="00724571" w:rsidP="00634CF5">
            <w:pPr>
              <w:pStyle w:val="TableBullet"/>
              <w:spacing w:before="60" w:after="60"/>
              <w:rPr>
                <w:szCs w:val="20"/>
              </w:rPr>
            </w:pPr>
            <w:r w:rsidRPr="002C1E65">
              <w:rPr>
                <w:szCs w:val="20"/>
              </w:rPr>
              <w:t>led the way in collaborating with community and agencies</w:t>
            </w:r>
            <w:r w:rsidR="00E65B86" w:rsidRPr="002C1E65">
              <w:rPr>
                <w:szCs w:val="20"/>
              </w:rPr>
              <w:t xml:space="preserve"> </w:t>
            </w:r>
            <w:r w:rsidRPr="002C1E65">
              <w:rPr>
                <w:szCs w:val="20"/>
              </w:rPr>
              <w:t>on local waterways. The ‘Chain</w:t>
            </w:r>
            <w:r w:rsidR="00E65B86" w:rsidRPr="002C1E65">
              <w:rPr>
                <w:szCs w:val="20"/>
              </w:rPr>
              <w:t xml:space="preserve"> </w:t>
            </w:r>
            <w:r w:rsidRPr="002C1E65">
              <w:rPr>
                <w:szCs w:val="20"/>
              </w:rPr>
              <w:t>of Ponds' Moonee Ponds Creek</w:t>
            </w:r>
            <w:r w:rsidR="00E65B86" w:rsidRPr="002C1E65">
              <w:rPr>
                <w:szCs w:val="20"/>
              </w:rPr>
              <w:t xml:space="preserve"> </w:t>
            </w:r>
            <w:r w:rsidRPr="002C1E65">
              <w:rPr>
                <w:szCs w:val="20"/>
              </w:rPr>
              <w:t>Collaboration we co-initiated</w:t>
            </w:r>
            <w:r w:rsidR="00E65B86" w:rsidRPr="002C1E65">
              <w:rPr>
                <w:szCs w:val="20"/>
              </w:rPr>
              <w:t xml:space="preserve"> </w:t>
            </w:r>
            <w:r w:rsidRPr="002C1E65">
              <w:rPr>
                <w:szCs w:val="20"/>
              </w:rPr>
              <w:t>in 2017 was highly commended</w:t>
            </w:r>
            <w:r w:rsidR="00E65B86" w:rsidRPr="002C1E65">
              <w:rPr>
                <w:szCs w:val="20"/>
              </w:rPr>
              <w:t xml:space="preserve"> </w:t>
            </w:r>
            <w:r w:rsidRPr="002C1E65">
              <w:rPr>
                <w:szCs w:val="20"/>
              </w:rPr>
              <w:t>for Excellence in Strategy and</w:t>
            </w:r>
            <w:r w:rsidR="00E65B86" w:rsidRPr="002C1E65">
              <w:rPr>
                <w:szCs w:val="20"/>
              </w:rPr>
              <w:t xml:space="preserve"> </w:t>
            </w:r>
            <w:r w:rsidRPr="002C1E65">
              <w:rPr>
                <w:szCs w:val="20"/>
              </w:rPr>
              <w:t>Masterplanning category at</w:t>
            </w:r>
            <w:r w:rsidR="00E65B86" w:rsidRPr="002C1E65">
              <w:rPr>
                <w:szCs w:val="20"/>
              </w:rPr>
              <w:t xml:space="preserve"> </w:t>
            </w:r>
            <w:r w:rsidRPr="002C1E65">
              <w:rPr>
                <w:szCs w:val="20"/>
              </w:rPr>
              <w:t>the 2021 National Stormwater</w:t>
            </w:r>
            <w:r w:rsidR="00E65B86" w:rsidRPr="002C1E65">
              <w:rPr>
                <w:szCs w:val="20"/>
              </w:rPr>
              <w:t xml:space="preserve"> </w:t>
            </w:r>
            <w:r w:rsidRPr="002C1E65">
              <w:rPr>
                <w:szCs w:val="20"/>
              </w:rPr>
              <w:t>Awards.</w:t>
            </w:r>
          </w:p>
        </w:tc>
      </w:tr>
    </w:tbl>
    <w:p w14:paraId="19F6BBD1" w14:textId="77777777" w:rsidR="00AD2D6F" w:rsidRPr="00634CF5" w:rsidRDefault="00AD2D6F" w:rsidP="00634CF5"/>
    <w:tbl>
      <w:tblPr>
        <w:tblStyle w:val="TableGrid"/>
        <w:tblW w:w="5000" w:type="pct"/>
        <w:tblLook w:val="04A0" w:firstRow="1" w:lastRow="0" w:firstColumn="1" w:lastColumn="0" w:noHBand="0" w:noVBand="1"/>
      </w:tblPr>
      <w:tblGrid>
        <w:gridCol w:w="1418"/>
        <w:gridCol w:w="2267"/>
        <w:gridCol w:w="1703"/>
        <w:gridCol w:w="4243"/>
      </w:tblGrid>
      <w:tr w:rsidR="00811B75" w:rsidRPr="002C1E65" w14:paraId="467DA5A6"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736" w:type="pct"/>
            <w:vAlign w:val="bottom"/>
          </w:tcPr>
          <w:p w14:paraId="5D1A401D" w14:textId="5372D795" w:rsidR="00811B75" w:rsidRPr="002C1E65" w:rsidRDefault="00811B75" w:rsidP="00C772B0">
            <w:pPr>
              <w:keepNext/>
              <w:keepLines/>
            </w:pPr>
            <w:bookmarkStart w:id="75" w:name="ColumnTitle_2"/>
            <w:r w:rsidRPr="002C1E65">
              <w:lastRenderedPageBreak/>
              <w:t>How We Work:</w:t>
            </w:r>
          </w:p>
        </w:tc>
        <w:tc>
          <w:tcPr>
            <w:tcW w:w="1177" w:type="pct"/>
            <w:vAlign w:val="bottom"/>
          </w:tcPr>
          <w:p w14:paraId="531A71B3" w14:textId="40A03905" w:rsidR="00811B75" w:rsidRPr="002C1E65" w:rsidRDefault="00811B75" w:rsidP="00C772B0">
            <w:pPr>
              <w:keepNext/>
              <w:keepLines/>
            </w:pPr>
            <w:r w:rsidRPr="002C1E65">
              <w:t xml:space="preserve">Delivering on the </w:t>
            </w:r>
            <w:r w:rsidR="0030196D">
              <w:t>Sustainable Development Goals</w:t>
            </w:r>
          </w:p>
        </w:tc>
        <w:tc>
          <w:tcPr>
            <w:tcW w:w="884" w:type="pct"/>
            <w:vAlign w:val="bottom"/>
          </w:tcPr>
          <w:p w14:paraId="3888BFB6" w14:textId="77777777" w:rsidR="00811B75" w:rsidRPr="002C1E65" w:rsidRDefault="00811B75" w:rsidP="00C772B0">
            <w:pPr>
              <w:keepNext/>
              <w:keepLines/>
            </w:pPr>
            <w:r w:rsidRPr="002C1E65">
              <w:t>Our results</w:t>
            </w:r>
          </w:p>
        </w:tc>
        <w:tc>
          <w:tcPr>
            <w:tcW w:w="2203" w:type="pct"/>
            <w:vAlign w:val="bottom"/>
          </w:tcPr>
          <w:p w14:paraId="712F813B" w14:textId="77777777" w:rsidR="00811B75" w:rsidRPr="002C1E65" w:rsidRDefault="00811B75" w:rsidP="00C772B0">
            <w:pPr>
              <w:keepNext/>
              <w:keepLines/>
            </w:pPr>
            <w:r w:rsidRPr="002C1E65">
              <w:t>Key initiatives and projects</w:t>
            </w:r>
          </w:p>
        </w:tc>
      </w:tr>
      <w:bookmarkEnd w:id="75"/>
      <w:tr w:rsidR="00811B75" w:rsidRPr="002C1E65" w14:paraId="4E33A976" w14:textId="77777777" w:rsidTr="00C778D6">
        <w:tc>
          <w:tcPr>
            <w:tcW w:w="736" w:type="pct"/>
          </w:tcPr>
          <w:p w14:paraId="5D48BCD3" w14:textId="7BB32629" w:rsidR="00811B75" w:rsidRPr="002C1E65" w:rsidRDefault="00811B75" w:rsidP="002C1E65">
            <w:pPr>
              <w:pStyle w:val="TableBodyText"/>
              <w:keepNext/>
              <w:keepLines/>
              <w:rPr>
                <w:szCs w:val="20"/>
              </w:rPr>
            </w:pPr>
            <w:r w:rsidRPr="002C1E65">
              <w:rPr>
                <w:szCs w:val="20"/>
              </w:rPr>
              <w:t>Customers and Community</w:t>
            </w:r>
          </w:p>
        </w:tc>
        <w:tc>
          <w:tcPr>
            <w:tcW w:w="1177" w:type="pct"/>
          </w:tcPr>
          <w:p w14:paraId="3DA73E54" w14:textId="11B900AA" w:rsidR="00C84043" w:rsidRPr="002C1E65" w:rsidRDefault="00634CF5" w:rsidP="002C1E65">
            <w:pPr>
              <w:pStyle w:val="TableBodyText"/>
              <w:keepNext/>
              <w:keepLines/>
              <w:rPr>
                <w:szCs w:val="20"/>
              </w:rPr>
            </w:pPr>
            <w:r w:rsidRPr="002C1E65">
              <w:rPr>
                <w:szCs w:val="20"/>
              </w:rPr>
              <w:t xml:space="preserve">4. </w:t>
            </w:r>
            <w:r w:rsidR="00C84043" w:rsidRPr="002C1E65">
              <w:rPr>
                <w:szCs w:val="20"/>
              </w:rPr>
              <w:t>Quality Education</w:t>
            </w:r>
          </w:p>
          <w:p w14:paraId="5E2A65ED" w14:textId="648FA30E" w:rsidR="00C84043" w:rsidRPr="002C1E65" w:rsidRDefault="00634CF5" w:rsidP="002C1E65">
            <w:pPr>
              <w:pStyle w:val="TableBodyText"/>
              <w:keepNext/>
              <w:keepLines/>
              <w:rPr>
                <w:szCs w:val="20"/>
              </w:rPr>
            </w:pPr>
            <w:r w:rsidRPr="002C1E65">
              <w:rPr>
                <w:szCs w:val="20"/>
              </w:rPr>
              <w:t xml:space="preserve">6. </w:t>
            </w:r>
            <w:r w:rsidR="00C84043" w:rsidRPr="002C1E65">
              <w:rPr>
                <w:szCs w:val="20"/>
              </w:rPr>
              <w:t>Clean Water and Sanitation</w:t>
            </w:r>
          </w:p>
          <w:p w14:paraId="56BD5585" w14:textId="1F03040E" w:rsidR="00C84043" w:rsidRPr="002C1E65" w:rsidRDefault="00634CF5" w:rsidP="002C1E65">
            <w:pPr>
              <w:pStyle w:val="TableBodyText"/>
              <w:keepNext/>
              <w:keepLines/>
              <w:rPr>
                <w:szCs w:val="20"/>
              </w:rPr>
            </w:pPr>
            <w:r w:rsidRPr="002C1E65">
              <w:rPr>
                <w:szCs w:val="20"/>
              </w:rPr>
              <w:t xml:space="preserve">9. </w:t>
            </w:r>
            <w:r w:rsidR="00C84043" w:rsidRPr="002C1E65">
              <w:rPr>
                <w:szCs w:val="20"/>
              </w:rPr>
              <w:t>Industry, Innovation and Infrastructure</w:t>
            </w:r>
          </w:p>
          <w:p w14:paraId="23C0566D" w14:textId="4D6093A3" w:rsidR="00C84043" w:rsidRPr="002C1E65" w:rsidRDefault="00634CF5" w:rsidP="002C1E65">
            <w:pPr>
              <w:pStyle w:val="TableBodyText"/>
              <w:keepNext/>
              <w:keepLines/>
              <w:rPr>
                <w:szCs w:val="20"/>
              </w:rPr>
            </w:pPr>
            <w:r w:rsidRPr="002C1E65">
              <w:rPr>
                <w:szCs w:val="20"/>
              </w:rPr>
              <w:t xml:space="preserve">11. </w:t>
            </w:r>
            <w:r w:rsidR="00C84043" w:rsidRPr="002C1E65">
              <w:rPr>
                <w:szCs w:val="20"/>
              </w:rPr>
              <w:t>Sustainable Cities and Communities</w:t>
            </w:r>
          </w:p>
          <w:p w14:paraId="01E059A5" w14:textId="38445EAB" w:rsidR="00C84043" w:rsidRPr="002C1E65" w:rsidRDefault="00634CF5" w:rsidP="002C1E65">
            <w:pPr>
              <w:pStyle w:val="TableBodyText"/>
              <w:keepNext/>
              <w:keepLines/>
              <w:rPr>
                <w:szCs w:val="20"/>
              </w:rPr>
            </w:pPr>
            <w:r w:rsidRPr="002C1E65">
              <w:rPr>
                <w:szCs w:val="20"/>
              </w:rPr>
              <w:t xml:space="preserve">13. </w:t>
            </w:r>
            <w:r w:rsidR="00C84043" w:rsidRPr="002C1E65">
              <w:rPr>
                <w:szCs w:val="20"/>
              </w:rPr>
              <w:t>Climate Action</w:t>
            </w:r>
          </w:p>
          <w:p w14:paraId="4A80DD98" w14:textId="2F49673D" w:rsidR="00C84043" w:rsidRPr="002C1E65" w:rsidRDefault="00634CF5" w:rsidP="002C1E65">
            <w:pPr>
              <w:pStyle w:val="TableBodyText"/>
              <w:keepNext/>
              <w:keepLines/>
              <w:rPr>
                <w:szCs w:val="20"/>
                <w:highlight w:val="yellow"/>
              </w:rPr>
            </w:pPr>
            <w:r w:rsidRPr="002C1E65">
              <w:rPr>
                <w:szCs w:val="20"/>
              </w:rPr>
              <w:t xml:space="preserve">17. </w:t>
            </w:r>
            <w:r w:rsidR="00C84043" w:rsidRPr="002C1E65">
              <w:rPr>
                <w:szCs w:val="20"/>
              </w:rPr>
              <w:t>Partnerships for the Goals</w:t>
            </w:r>
          </w:p>
        </w:tc>
        <w:tc>
          <w:tcPr>
            <w:tcW w:w="884" w:type="pct"/>
          </w:tcPr>
          <w:p w14:paraId="44266B2D" w14:textId="389A863D" w:rsidR="00811B75" w:rsidRPr="002C1E65" w:rsidRDefault="00811B75" w:rsidP="002C1E65">
            <w:pPr>
              <w:pStyle w:val="TableBodyText"/>
              <w:keepNext/>
              <w:keepLines/>
              <w:rPr>
                <w:szCs w:val="20"/>
              </w:rPr>
            </w:pPr>
            <w:r w:rsidRPr="002C1E65">
              <w:rPr>
                <w:szCs w:val="20"/>
              </w:rPr>
              <w:t>79.9 reputation score remains strong</w:t>
            </w:r>
          </w:p>
        </w:tc>
        <w:tc>
          <w:tcPr>
            <w:tcW w:w="2203" w:type="pct"/>
          </w:tcPr>
          <w:p w14:paraId="16CDC6D7" w14:textId="3E5C5854" w:rsidR="00811B75" w:rsidRPr="002C1E65" w:rsidRDefault="00811B75" w:rsidP="002C1E65">
            <w:pPr>
              <w:pStyle w:val="TableBullet"/>
              <w:keepNext/>
              <w:keepLines/>
              <w:spacing w:before="60" w:after="60"/>
              <w:rPr>
                <w:szCs w:val="20"/>
              </w:rPr>
            </w:pPr>
            <w:r w:rsidRPr="002C1E65">
              <w:rPr>
                <w:szCs w:val="20"/>
              </w:rPr>
              <w:t>our Next Generation Community Engagement Program (NextGen) was awarded 20202 International Association of Public Participation (IAP2) Australasian Organisation of the Year Award</w:t>
            </w:r>
          </w:p>
          <w:p w14:paraId="6D7620C1" w14:textId="3CCB748D" w:rsidR="00811B75" w:rsidRPr="002C1E65" w:rsidRDefault="00811B75" w:rsidP="002C1E65">
            <w:pPr>
              <w:pStyle w:val="TableBullet"/>
              <w:keepNext/>
              <w:keepLines/>
              <w:spacing w:before="60" w:after="60"/>
              <w:rPr>
                <w:szCs w:val="20"/>
              </w:rPr>
            </w:pPr>
            <w:r w:rsidRPr="002C1E65">
              <w:rPr>
                <w:szCs w:val="20"/>
              </w:rPr>
              <w:t>explored Partnership Agreements with Traditional Owners, enabling self-determined priorities of Traditional Owners which will shape agreements with Melbourne Water</w:t>
            </w:r>
          </w:p>
          <w:p w14:paraId="3B7DDC34" w14:textId="310383E3" w:rsidR="00811B75" w:rsidRPr="002C1E65" w:rsidRDefault="00811B75" w:rsidP="002C1E65">
            <w:pPr>
              <w:pStyle w:val="TableBullet"/>
              <w:keepNext/>
              <w:keepLines/>
              <w:spacing w:before="60" w:after="60"/>
              <w:rPr>
                <w:szCs w:val="20"/>
              </w:rPr>
            </w:pPr>
            <w:r w:rsidRPr="002C1E65">
              <w:rPr>
                <w:szCs w:val="20"/>
              </w:rPr>
              <w:t>delivered a range of campaigns to support enhanced liveability outcomes for our communities, including increasing water literacy, raising community awareness and participation in litter management on waterways, and launching Melbourne Water’s Path to Net Zero commitment</w:t>
            </w:r>
          </w:p>
          <w:p w14:paraId="1EC01047" w14:textId="77777777" w:rsidR="00811B75" w:rsidRPr="002C1E65" w:rsidRDefault="00811B75" w:rsidP="002C1E65">
            <w:pPr>
              <w:pStyle w:val="TableBullet"/>
              <w:keepNext/>
              <w:keepLines/>
              <w:spacing w:before="60" w:after="60"/>
              <w:rPr>
                <w:szCs w:val="20"/>
              </w:rPr>
            </w:pPr>
            <w:r w:rsidRPr="002C1E65">
              <w:rPr>
                <w:szCs w:val="20"/>
              </w:rPr>
              <w:t>maintained our strong reputation score at 79.9, underpinning strong and trusted relationships with community</w:t>
            </w:r>
          </w:p>
          <w:p w14:paraId="622F5DF0" w14:textId="6E33A6A5" w:rsidR="00811B75" w:rsidRPr="002C1E65" w:rsidRDefault="00811B75" w:rsidP="002C1E65">
            <w:pPr>
              <w:pStyle w:val="TableBullet"/>
              <w:keepNext/>
              <w:keepLines/>
              <w:spacing w:before="60" w:after="60"/>
              <w:rPr>
                <w:szCs w:val="20"/>
              </w:rPr>
            </w:pPr>
            <w:r w:rsidRPr="002C1E65">
              <w:rPr>
                <w:szCs w:val="20"/>
              </w:rPr>
              <w:t>improved community understanding and appreciation of sewerage services through enhancement of the virtual tour of the Western Treatment Plant and construction of a new Visitor and Education Centre.</w:t>
            </w:r>
          </w:p>
        </w:tc>
      </w:tr>
      <w:tr w:rsidR="00811B75" w:rsidRPr="002C1E65" w14:paraId="6B7BBBF8" w14:textId="77777777" w:rsidTr="00C778D6">
        <w:tc>
          <w:tcPr>
            <w:tcW w:w="736" w:type="pct"/>
          </w:tcPr>
          <w:p w14:paraId="2EF8F593" w14:textId="5E477280" w:rsidR="00811B75" w:rsidRPr="002C1E65" w:rsidRDefault="00811B75" w:rsidP="00C778D6">
            <w:pPr>
              <w:pStyle w:val="TableBodyText"/>
              <w:rPr>
                <w:szCs w:val="20"/>
              </w:rPr>
            </w:pPr>
            <w:r w:rsidRPr="002C1E65">
              <w:rPr>
                <w:szCs w:val="20"/>
              </w:rPr>
              <w:t>Safe and Inspired People</w:t>
            </w:r>
          </w:p>
        </w:tc>
        <w:tc>
          <w:tcPr>
            <w:tcW w:w="1177" w:type="pct"/>
          </w:tcPr>
          <w:p w14:paraId="4ACEA9FC" w14:textId="58891AC5" w:rsidR="00C84043" w:rsidRPr="002C1E65" w:rsidRDefault="00634CF5" w:rsidP="00634CF5">
            <w:pPr>
              <w:pStyle w:val="TableBodyText"/>
              <w:rPr>
                <w:szCs w:val="20"/>
              </w:rPr>
            </w:pPr>
            <w:r w:rsidRPr="002C1E65">
              <w:rPr>
                <w:szCs w:val="20"/>
              </w:rPr>
              <w:t xml:space="preserve">3. </w:t>
            </w:r>
            <w:r w:rsidR="00C84043" w:rsidRPr="002C1E65">
              <w:rPr>
                <w:szCs w:val="20"/>
              </w:rPr>
              <w:t>Good Health and Well-being</w:t>
            </w:r>
          </w:p>
          <w:p w14:paraId="755C13EB" w14:textId="16CA2384" w:rsidR="00C84043" w:rsidRPr="002C1E65" w:rsidRDefault="00634CF5" w:rsidP="00634CF5">
            <w:pPr>
              <w:pStyle w:val="TableBodyText"/>
              <w:rPr>
                <w:szCs w:val="20"/>
              </w:rPr>
            </w:pPr>
            <w:r w:rsidRPr="002C1E65">
              <w:rPr>
                <w:szCs w:val="20"/>
              </w:rPr>
              <w:t xml:space="preserve">4. </w:t>
            </w:r>
            <w:r w:rsidR="00C84043" w:rsidRPr="002C1E65">
              <w:rPr>
                <w:szCs w:val="20"/>
              </w:rPr>
              <w:t>Quality Education</w:t>
            </w:r>
          </w:p>
          <w:p w14:paraId="6875035F" w14:textId="710DDA0A" w:rsidR="00C84043" w:rsidRPr="002C1E65" w:rsidRDefault="00634CF5" w:rsidP="00634CF5">
            <w:pPr>
              <w:pStyle w:val="TableBodyText"/>
              <w:rPr>
                <w:szCs w:val="20"/>
              </w:rPr>
            </w:pPr>
            <w:r w:rsidRPr="002C1E65">
              <w:rPr>
                <w:szCs w:val="20"/>
              </w:rPr>
              <w:t xml:space="preserve">5. </w:t>
            </w:r>
            <w:r w:rsidR="00C84043" w:rsidRPr="002C1E65">
              <w:rPr>
                <w:szCs w:val="20"/>
              </w:rPr>
              <w:t>Gender Equality</w:t>
            </w:r>
          </w:p>
          <w:p w14:paraId="4A4CF304" w14:textId="5C6A915F" w:rsidR="00C84043" w:rsidRPr="002C1E65" w:rsidRDefault="00634CF5" w:rsidP="00634CF5">
            <w:pPr>
              <w:pStyle w:val="TableBodyText"/>
              <w:rPr>
                <w:szCs w:val="20"/>
              </w:rPr>
            </w:pPr>
            <w:r w:rsidRPr="002C1E65">
              <w:rPr>
                <w:szCs w:val="20"/>
              </w:rPr>
              <w:t xml:space="preserve">8. </w:t>
            </w:r>
            <w:r w:rsidR="00C84043" w:rsidRPr="002C1E65">
              <w:rPr>
                <w:szCs w:val="20"/>
              </w:rPr>
              <w:t>Decent Work and Economic Growth</w:t>
            </w:r>
          </w:p>
          <w:p w14:paraId="0513C682" w14:textId="6934EFA4" w:rsidR="00C84043" w:rsidRPr="002C1E65" w:rsidRDefault="00634CF5" w:rsidP="00634CF5">
            <w:pPr>
              <w:pStyle w:val="TableBodyText"/>
              <w:rPr>
                <w:szCs w:val="20"/>
              </w:rPr>
            </w:pPr>
            <w:r w:rsidRPr="002C1E65">
              <w:rPr>
                <w:szCs w:val="20"/>
              </w:rPr>
              <w:t xml:space="preserve">9. </w:t>
            </w:r>
            <w:r w:rsidR="00C84043" w:rsidRPr="002C1E65">
              <w:rPr>
                <w:szCs w:val="20"/>
              </w:rPr>
              <w:t>Industry, Innovation and Infrastructure</w:t>
            </w:r>
          </w:p>
          <w:p w14:paraId="62B32BD6" w14:textId="195C101C" w:rsidR="00C84043" w:rsidRPr="002C1E65" w:rsidRDefault="00634CF5" w:rsidP="00634CF5">
            <w:pPr>
              <w:pStyle w:val="TableBodyText"/>
              <w:rPr>
                <w:szCs w:val="20"/>
              </w:rPr>
            </w:pPr>
            <w:r w:rsidRPr="002C1E65">
              <w:rPr>
                <w:szCs w:val="20"/>
              </w:rPr>
              <w:t xml:space="preserve">10. </w:t>
            </w:r>
            <w:r w:rsidR="00C84043" w:rsidRPr="002C1E65">
              <w:rPr>
                <w:szCs w:val="20"/>
              </w:rPr>
              <w:t>Reduced Inequalities</w:t>
            </w:r>
          </w:p>
          <w:p w14:paraId="1FF1DCD9" w14:textId="50AE1FD5" w:rsidR="00811B75" w:rsidRPr="002C1E65" w:rsidRDefault="00634CF5" w:rsidP="00634CF5">
            <w:pPr>
              <w:pStyle w:val="TableBodyText"/>
              <w:rPr>
                <w:szCs w:val="20"/>
              </w:rPr>
            </w:pPr>
            <w:r w:rsidRPr="002C1E65">
              <w:rPr>
                <w:szCs w:val="20"/>
              </w:rPr>
              <w:t xml:space="preserve">16. </w:t>
            </w:r>
            <w:r w:rsidR="00C84043" w:rsidRPr="002C1E65">
              <w:rPr>
                <w:szCs w:val="20"/>
              </w:rPr>
              <w:t>Peace, Justice and Strong Institutions</w:t>
            </w:r>
          </w:p>
        </w:tc>
        <w:tc>
          <w:tcPr>
            <w:tcW w:w="884" w:type="pct"/>
          </w:tcPr>
          <w:p w14:paraId="7D7782C2" w14:textId="68696F16" w:rsidR="00811B75" w:rsidRPr="002C1E65" w:rsidRDefault="00811B75" w:rsidP="00811B75">
            <w:pPr>
              <w:pStyle w:val="TableBodyText"/>
              <w:rPr>
                <w:szCs w:val="20"/>
              </w:rPr>
            </w:pPr>
            <w:r w:rsidRPr="002C1E65">
              <w:rPr>
                <w:szCs w:val="20"/>
              </w:rPr>
              <w:t>3.7 total recordable injury frequency rate (TRIFR) against a target of 2.0</w:t>
            </w:r>
          </w:p>
          <w:p w14:paraId="74F01543" w14:textId="32EE169F" w:rsidR="00811B75" w:rsidRPr="002C1E65" w:rsidRDefault="00811B75" w:rsidP="00811B75">
            <w:pPr>
              <w:pStyle w:val="TableBodyText"/>
              <w:rPr>
                <w:szCs w:val="20"/>
              </w:rPr>
            </w:pPr>
            <w:r w:rsidRPr="002C1E65">
              <w:rPr>
                <w:szCs w:val="20"/>
              </w:rPr>
              <w:t>40% female gender balance</w:t>
            </w:r>
          </w:p>
          <w:p w14:paraId="7D3B2D6C" w14:textId="513FA435" w:rsidR="00811B75" w:rsidRPr="002C1E65" w:rsidRDefault="00811B75" w:rsidP="00811B75">
            <w:pPr>
              <w:pStyle w:val="TableBodyText"/>
              <w:rPr>
                <w:szCs w:val="20"/>
              </w:rPr>
            </w:pPr>
            <w:r w:rsidRPr="002C1E65">
              <w:rPr>
                <w:szCs w:val="20"/>
              </w:rPr>
              <w:t>77% engagement score</w:t>
            </w:r>
          </w:p>
        </w:tc>
        <w:tc>
          <w:tcPr>
            <w:tcW w:w="2203" w:type="pct"/>
          </w:tcPr>
          <w:p w14:paraId="384F514D" w14:textId="58BE316A" w:rsidR="00811B75" w:rsidRPr="002C1E65" w:rsidRDefault="00811B75" w:rsidP="0069449F">
            <w:pPr>
              <w:pStyle w:val="TableBullet"/>
              <w:spacing w:before="60" w:after="60"/>
              <w:rPr>
                <w:szCs w:val="20"/>
              </w:rPr>
            </w:pPr>
            <w:r w:rsidRPr="002C1E65">
              <w:rPr>
                <w:szCs w:val="20"/>
              </w:rPr>
              <w:t>furthered collaboration and inclusion through leadership development programs such as Unite, our Women’s Development Program, which has resulted in 40 per cent of participants being promoted</w:t>
            </w:r>
          </w:p>
          <w:p w14:paraId="33D6A3E6" w14:textId="5EB00FCB" w:rsidR="00811B75" w:rsidRPr="002C1E65" w:rsidRDefault="00811B75" w:rsidP="0069449F">
            <w:pPr>
              <w:pStyle w:val="TableBullet"/>
              <w:spacing w:before="60" w:after="60"/>
              <w:rPr>
                <w:szCs w:val="20"/>
              </w:rPr>
            </w:pPr>
            <w:r w:rsidRPr="002C1E65">
              <w:rPr>
                <w:szCs w:val="20"/>
              </w:rPr>
              <w:t>launch of our new learning organisation framework in May 2021- 280 people in Docklands and over 100 people virtually tuned in to launch events</w:t>
            </w:r>
          </w:p>
          <w:p w14:paraId="0B822D7B" w14:textId="53369084" w:rsidR="00811B75" w:rsidRPr="002C1E65" w:rsidRDefault="00811B75" w:rsidP="0069449F">
            <w:pPr>
              <w:pStyle w:val="TableBullet"/>
              <w:spacing w:before="60" w:after="60"/>
              <w:rPr>
                <w:szCs w:val="20"/>
              </w:rPr>
            </w:pPr>
            <w:r w:rsidRPr="002C1E65">
              <w:rPr>
                <w:szCs w:val="20"/>
              </w:rPr>
              <w:t>Melbourne Water’s New</w:t>
            </w:r>
            <w:r w:rsidR="00B6499E" w:rsidRPr="002C1E65">
              <w:rPr>
                <w:szCs w:val="20"/>
              </w:rPr>
              <w:t xml:space="preserve"> </w:t>
            </w:r>
            <w:r w:rsidRPr="002C1E65">
              <w:rPr>
                <w:szCs w:val="20"/>
              </w:rPr>
              <w:t>Beginnings Forest Project.</w:t>
            </w:r>
            <w:r w:rsidR="00B6499E" w:rsidRPr="002C1E65">
              <w:rPr>
                <w:szCs w:val="20"/>
              </w:rPr>
              <w:t xml:space="preserve"> </w:t>
            </w:r>
            <w:r w:rsidRPr="002C1E65">
              <w:rPr>
                <w:szCs w:val="20"/>
              </w:rPr>
              <w:t>A quarter of our people</w:t>
            </w:r>
            <w:r w:rsidR="00B6499E" w:rsidRPr="002C1E65">
              <w:rPr>
                <w:szCs w:val="20"/>
              </w:rPr>
              <w:t xml:space="preserve"> </w:t>
            </w:r>
            <w:r w:rsidRPr="002C1E65">
              <w:rPr>
                <w:szCs w:val="20"/>
              </w:rPr>
              <w:t>contributed, and planted over</w:t>
            </w:r>
            <w:r w:rsidR="00B6499E" w:rsidRPr="002C1E65">
              <w:rPr>
                <w:szCs w:val="20"/>
              </w:rPr>
              <w:t xml:space="preserve"> </w:t>
            </w:r>
            <w:r w:rsidRPr="002C1E65">
              <w:rPr>
                <w:szCs w:val="20"/>
              </w:rPr>
              <w:t>10,000 trees, coming together</w:t>
            </w:r>
            <w:r w:rsidR="00B6499E" w:rsidRPr="002C1E65">
              <w:rPr>
                <w:szCs w:val="20"/>
              </w:rPr>
              <w:t xml:space="preserve"> </w:t>
            </w:r>
            <w:r w:rsidRPr="002C1E65">
              <w:rPr>
                <w:szCs w:val="20"/>
              </w:rPr>
              <w:t>as an organisation to celebrate</w:t>
            </w:r>
            <w:r w:rsidR="00B6499E" w:rsidRPr="002C1E65">
              <w:rPr>
                <w:szCs w:val="20"/>
              </w:rPr>
              <w:t xml:space="preserve"> </w:t>
            </w:r>
            <w:r w:rsidRPr="002C1E65">
              <w:rPr>
                <w:szCs w:val="20"/>
              </w:rPr>
              <w:t>new beginnings following an</w:t>
            </w:r>
            <w:r w:rsidR="00B6499E" w:rsidRPr="002C1E65">
              <w:rPr>
                <w:szCs w:val="20"/>
              </w:rPr>
              <w:t xml:space="preserve"> </w:t>
            </w:r>
            <w:r w:rsidRPr="002C1E65">
              <w:rPr>
                <w:szCs w:val="20"/>
              </w:rPr>
              <w:t>incredibly challenging year, and</w:t>
            </w:r>
            <w:r w:rsidR="00B6499E" w:rsidRPr="002C1E65">
              <w:rPr>
                <w:szCs w:val="20"/>
              </w:rPr>
              <w:t xml:space="preserve"> </w:t>
            </w:r>
            <w:r w:rsidRPr="002C1E65">
              <w:rPr>
                <w:szCs w:val="20"/>
              </w:rPr>
              <w:t>leave a legacy of hope for the</w:t>
            </w:r>
            <w:r w:rsidR="00B6499E" w:rsidRPr="002C1E65">
              <w:rPr>
                <w:szCs w:val="20"/>
              </w:rPr>
              <w:t xml:space="preserve"> </w:t>
            </w:r>
            <w:r w:rsidRPr="002C1E65">
              <w:rPr>
                <w:szCs w:val="20"/>
              </w:rPr>
              <w:t>future</w:t>
            </w:r>
          </w:p>
          <w:p w14:paraId="0E303C08" w14:textId="0FBE8436" w:rsidR="00811B75" w:rsidRPr="002C1E65" w:rsidRDefault="00811B75" w:rsidP="0069449F">
            <w:pPr>
              <w:pStyle w:val="TableBullet"/>
              <w:spacing w:before="60" w:after="60"/>
              <w:rPr>
                <w:szCs w:val="20"/>
              </w:rPr>
            </w:pPr>
            <w:r w:rsidRPr="002C1E65">
              <w:rPr>
                <w:szCs w:val="20"/>
              </w:rPr>
              <w:t>New Ways of Working</w:t>
            </w:r>
            <w:r w:rsidR="00B6499E" w:rsidRPr="002C1E65">
              <w:rPr>
                <w:szCs w:val="20"/>
              </w:rPr>
              <w:t xml:space="preserve"> </w:t>
            </w:r>
            <w:r w:rsidRPr="002C1E65">
              <w:rPr>
                <w:szCs w:val="20"/>
              </w:rPr>
              <w:t>Behavioural Research Project</w:t>
            </w:r>
            <w:r w:rsidR="00B6499E" w:rsidRPr="002C1E65">
              <w:rPr>
                <w:szCs w:val="20"/>
              </w:rPr>
              <w:t xml:space="preserve"> </w:t>
            </w:r>
            <w:r w:rsidRPr="002C1E65">
              <w:rPr>
                <w:szCs w:val="20"/>
              </w:rPr>
              <w:t>in partnership with Monash</w:t>
            </w:r>
            <w:r w:rsidR="00B6499E" w:rsidRPr="002C1E65">
              <w:rPr>
                <w:szCs w:val="20"/>
              </w:rPr>
              <w:t xml:space="preserve"> </w:t>
            </w:r>
            <w:r w:rsidRPr="002C1E65">
              <w:rPr>
                <w:szCs w:val="20"/>
              </w:rPr>
              <w:t>BehaviourWorks, researching</w:t>
            </w:r>
            <w:r w:rsidR="00B6499E" w:rsidRPr="002C1E65">
              <w:rPr>
                <w:szCs w:val="20"/>
              </w:rPr>
              <w:t xml:space="preserve"> </w:t>
            </w:r>
            <w:r w:rsidRPr="002C1E65">
              <w:rPr>
                <w:szCs w:val="20"/>
              </w:rPr>
              <w:t>the societal benefits for a</w:t>
            </w:r>
            <w:r w:rsidR="00B6499E" w:rsidRPr="002C1E65">
              <w:rPr>
                <w:szCs w:val="20"/>
              </w:rPr>
              <w:t xml:space="preserve"> </w:t>
            </w:r>
            <w:r w:rsidRPr="002C1E65">
              <w:rPr>
                <w:szCs w:val="20"/>
              </w:rPr>
              <w:t>changed workforce, including</w:t>
            </w:r>
            <w:r w:rsidR="00B6499E" w:rsidRPr="002C1E65">
              <w:rPr>
                <w:szCs w:val="20"/>
              </w:rPr>
              <w:t xml:space="preserve"> </w:t>
            </w:r>
            <w:r w:rsidRPr="002C1E65">
              <w:rPr>
                <w:szCs w:val="20"/>
              </w:rPr>
              <w:t>liveability and sustainability</w:t>
            </w:r>
            <w:r w:rsidR="00B6499E" w:rsidRPr="002C1E65">
              <w:rPr>
                <w:szCs w:val="20"/>
              </w:rPr>
              <w:t xml:space="preserve"> </w:t>
            </w:r>
            <w:r w:rsidRPr="002C1E65">
              <w:rPr>
                <w:szCs w:val="20"/>
              </w:rPr>
              <w:t>advancement.</w:t>
            </w:r>
          </w:p>
        </w:tc>
      </w:tr>
      <w:tr w:rsidR="00811B75" w:rsidRPr="002C1E65" w14:paraId="7BDDDA5F" w14:textId="77777777" w:rsidTr="00C778D6">
        <w:tc>
          <w:tcPr>
            <w:tcW w:w="736" w:type="pct"/>
          </w:tcPr>
          <w:p w14:paraId="04E71AB9" w14:textId="4C7EB785" w:rsidR="00811B75" w:rsidRPr="002C1E65" w:rsidRDefault="00B6499E" w:rsidP="002C1E65">
            <w:pPr>
              <w:pStyle w:val="TableBodyText"/>
              <w:keepNext/>
              <w:keepLines/>
              <w:rPr>
                <w:szCs w:val="20"/>
              </w:rPr>
            </w:pPr>
            <w:r w:rsidRPr="002C1E65">
              <w:rPr>
                <w:szCs w:val="20"/>
              </w:rPr>
              <w:lastRenderedPageBreak/>
              <w:t>Continuous Improvement</w:t>
            </w:r>
          </w:p>
        </w:tc>
        <w:tc>
          <w:tcPr>
            <w:tcW w:w="1177" w:type="pct"/>
          </w:tcPr>
          <w:p w14:paraId="545F642F" w14:textId="6DED9FC3" w:rsidR="00C84043" w:rsidRPr="002C1E65" w:rsidRDefault="00634CF5" w:rsidP="002C1E65">
            <w:pPr>
              <w:pStyle w:val="TableBodyText"/>
              <w:keepNext/>
              <w:keepLines/>
              <w:rPr>
                <w:szCs w:val="20"/>
              </w:rPr>
            </w:pPr>
            <w:r w:rsidRPr="002C1E65">
              <w:rPr>
                <w:szCs w:val="20"/>
              </w:rPr>
              <w:t xml:space="preserve">3. </w:t>
            </w:r>
            <w:r w:rsidR="00C84043" w:rsidRPr="002C1E65">
              <w:rPr>
                <w:szCs w:val="20"/>
              </w:rPr>
              <w:t>Good Health and Well-being</w:t>
            </w:r>
          </w:p>
          <w:p w14:paraId="687B304A" w14:textId="69A9B624" w:rsidR="00C84043" w:rsidRPr="002C1E65" w:rsidRDefault="00634CF5" w:rsidP="002C1E65">
            <w:pPr>
              <w:pStyle w:val="TableBodyText"/>
              <w:keepNext/>
              <w:keepLines/>
              <w:rPr>
                <w:szCs w:val="20"/>
              </w:rPr>
            </w:pPr>
            <w:r w:rsidRPr="002C1E65">
              <w:rPr>
                <w:szCs w:val="20"/>
              </w:rPr>
              <w:t xml:space="preserve">8. </w:t>
            </w:r>
            <w:r w:rsidR="00C84043" w:rsidRPr="002C1E65">
              <w:rPr>
                <w:szCs w:val="20"/>
              </w:rPr>
              <w:t>Decent Work and Economic Growth</w:t>
            </w:r>
          </w:p>
          <w:p w14:paraId="58F8782C" w14:textId="1CDEB710" w:rsidR="00C84043" w:rsidRPr="002C1E65" w:rsidRDefault="00634CF5" w:rsidP="002C1E65">
            <w:pPr>
              <w:pStyle w:val="TableBodyText"/>
              <w:keepNext/>
              <w:keepLines/>
              <w:rPr>
                <w:szCs w:val="20"/>
              </w:rPr>
            </w:pPr>
            <w:r w:rsidRPr="002C1E65">
              <w:rPr>
                <w:szCs w:val="20"/>
              </w:rPr>
              <w:t xml:space="preserve">9. </w:t>
            </w:r>
            <w:r w:rsidR="00C84043" w:rsidRPr="002C1E65">
              <w:rPr>
                <w:szCs w:val="20"/>
              </w:rPr>
              <w:t>Industry, Innovation and Infrastructure</w:t>
            </w:r>
          </w:p>
          <w:p w14:paraId="0B60B6AF" w14:textId="5DC0E881" w:rsidR="00C84043" w:rsidRPr="002C1E65" w:rsidRDefault="00634CF5" w:rsidP="002C1E65">
            <w:pPr>
              <w:pStyle w:val="TableBodyText"/>
              <w:keepNext/>
              <w:keepLines/>
              <w:rPr>
                <w:szCs w:val="20"/>
              </w:rPr>
            </w:pPr>
            <w:r w:rsidRPr="002C1E65">
              <w:rPr>
                <w:szCs w:val="20"/>
              </w:rPr>
              <w:t xml:space="preserve">12. </w:t>
            </w:r>
            <w:r w:rsidR="00C84043" w:rsidRPr="002C1E65">
              <w:rPr>
                <w:szCs w:val="20"/>
              </w:rPr>
              <w:t>Responsible Consumption and Production</w:t>
            </w:r>
          </w:p>
          <w:p w14:paraId="0FD3A084" w14:textId="610DAF5D" w:rsidR="00C84043" w:rsidRPr="002C1E65" w:rsidRDefault="00634CF5" w:rsidP="002C1E65">
            <w:pPr>
              <w:pStyle w:val="TableBodyText"/>
              <w:keepNext/>
              <w:keepLines/>
              <w:rPr>
                <w:szCs w:val="20"/>
              </w:rPr>
            </w:pPr>
            <w:r w:rsidRPr="002C1E65">
              <w:rPr>
                <w:szCs w:val="20"/>
              </w:rPr>
              <w:t xml:space="preserve">16. </w:t>
            </w:r>
            <w:r w:rsidR="00C84043" w:rsidRPr="002C1E65">
              <w:rPr>
                <w:szCs w:val="20"/>
              </w:rPr>
              <w:t>Peace, Justice and Strong Institutions</w:t>
            </w:r>
          </w:p>
          <w:p w14:paraId="30F8E7FA" w14:textId="690D8705" w:rsidR="00811B75" w:rsidRPr="002C1E65" w:rsidRDefault="00634CF5" w:rsidP="002C1E65">
            <w:pPr>
              <w:pStyle w:val="TableBodyText"/>
              <w:keepNext/>
              <w:keepLines/>
              <w:rPr>
                <w:szCs w:val="20"/>
              </w:rPr>
            </w:pPr>
            <w:r w:rsidRPr="002C1E65">
              <w:rPr>
                <w:szCs w:val="20"/>
              </w:rPr>
              <w:t xml:space="preserve">17. </w:t>
            </w:r>
            <w:r w:rsidR="00C84043" w:rsidRPr="002C1E65">
              <w:rPr>
                <w:szCs w:val="20"/>
              </w:rPr>
              <w:t>Partnerships for the Goals</w:t>
            </w:r>
          </w:p>
        </w:tc>
        <w:tc>
          <w:tcPr>
            <w:tcW w:w="884" w:type="pct"/>
          </w:tcPr>
          <w:p w14:paraId="7F4EE1B7" w14:textId="1095D86F" w:rsidR="00811B75" w:rsidRPr="002C1E65" w:rsidRDefault="00B6499E" w:rsidP="002C1E65">
            <w:pPr>
              <w:pStyle w:val="TableBodyText"/>
              <w:keepNext/>
              <w:keepLines/>
              <w:rPr>
                <w:szCs w:val="20"/>
              </w:rPr>
            </w:pPr>
            <w:r w:rsidRPr="002C1E65">
              <w:rPr>
                <w:szCs w:val="20"/>
              </w:rPr>
              <w:t>$6.1 million invested across 8 research programs, driving innovation</w:t>
            </w:r>
          </w:p>
        </w:tc>
        <w:tc>
          <w:tcPr>
            <w:tcW w:w="2203" w:type="pct"/>
          </w:tcPr>
          <w:p w14:paraId="79BCC884" w14:textId="27C23DCD" w:rsidR="00B6499E" w:rsidRPr="002C1E65" w:rsidRDefault="00B6499E" w:rsidP="002C1E65">
            <w:pPr>
              <w:pStyle w:val="TableBullet"/>
              <w:keepNext/>
              <w:keepLines/>
              <w:spacing w:before="60"/>
              <w:rPr>
                <w:szCs w:val="20"/>
              </w:rPr>
            </w:pPr>
            <w:r w:rsidRPr="002C1E65">
              <w:rPr>
                <w:szCs w:val="20"/>
              </w:rPr>
              <w:t>extended our automation program, including the next phase of the automated operation of our water network.</w:t>
            </w:r>
          </w:p>
          <w:p w14:paraId="2CCDC1F7" w14:textId="6D38DDF4" w:rsidR="00B6499E" w:rsidRPr="002C1E65" w:rsidRDefault="00B6499E" w:rsidP="002C1E65">
            <w:pPr>
              <w:pStyle w:val="TableBullet"/>
              <w:keepNext/>
              <w:keepLines/>
              <w:spacing w:before="60"/>
              <w:rPr>
                <w:szCs w:val="20"/>
              </w:rPr>
            </w:pPr>
            <w:r w:rsidRPr="002C1E65">
              <w:rPr>
                <w:szCs w:val="20"/>
              </w:rPr>
              <w:t>Melbourne Water named in the top 5 - 2020 Most Innovative Companies List for development of a world first Confined Space Entry simulator in partnership with Deakin University’s CADET Virtual Reality Training and Simulation Research Lab.</w:t>
            </w:r>
          </w:p>
          <w:p w14:paraId="79CB5977" w14:textId="3F3B0F15" w:rsidR="00B6499E" w:rsidRPr="002C1E65" w:rsidRDefault="00B6499E" w:rsidP="002C1E65">
            <w:pPr>
              <w:pStyle w:val="TableBullet"/>
              <w:keepNext/>
              <w:keepLines/>
              <w:spacing w:before="60"/>
              <w:rPr>
                <w:szCs w:val="20"/>
              </w:rPr>
            </w:pPr>
            <w:r w:rsidRPr="002C1E65">
              <w:rPr>
                <w:szCs w:val="20"/>
              </w:rPr>
              <w:t>invested $6.1 million in eight research programs to support our customers and community</w:t>
            </w:r>
          </w:p>
          <w:p w14:paraId="46170313" w14:textId="5D12875B" w:rsidR="00811B75" w:rsidRPr="002C1E65" w:rsidRDefault="00B6499E" w:rsidP="002C1E65">
            <w:pPr>
              <w:pStyle w:val="TableBullet"/>
              <w:keepNext/>
              <w:keepLines/>
              <w:spacing w:before="60"/>
              <w:rPr>
                <w:szCs w:val="20"/>
              </w:rPr>
            </w:pPr>
            <w:r w:rsidRPr="002C1E65">
              <w:rPr>
                <w:szCs w:val="20"/>
              </w:rPr>
              <w:t>applied our Asset Management Framework to our natural waterway assets, drawing on volume of litter, customer satisfaction and complaint data to define service priorities for litter and vegetation management. This was a winner at the Asset Management Council 2021 Excellence Awards for the Asset Management Social and Environmental Award category.</w:t>
            </w:r>
          </w:p>
        </w:tc>
      </w:tr>
      <w:tr w:rsidR="00811B75" w:rsidRPr="002C1E65" w14:paraId="26FE66EA" w14:textId="77777777" w:rsidTr="00C778D6">
        <w:tc>
          <w:tcPr>
            <w:tcW w:w="736" w:type="pct"/>
          </w:tcPr>
          <w:p w14:paraId="090F72FD" w14:textId="3DFDFCA2" w:rsidR="00811B75" w:rsidRPr="002C1E65" w:rsidRDefault="00B6499E" w:rsidP="00C778D6">
            <w:pPr>
              <w:pStyle w:val="TableBodyText"/>
              <w:rPr>
                <w:szCs w:val="20"/>
              </w:rPr>
            </w:pPr>
            <w:r w:rsidRPr="002C1E65">
              <w:rPr>
                <w:szCs w:val="20"/>
              </w:rPr>
              <w:t>Business Sustainability</w:t>
            </w:r>
          </w:p>
        </w:tc>
        <w:tc>
          <w:tcPr>
            <w:tcW w:w="1177" w:type="pct"/>
          </w:tcPr>
          <w:p w14:paraId="544367CF" w14:textId="393CDE7B" w:rsidR="00C84043" w:rsidRPr="002C1E65" w:rsidRDefault="00634CF5" w:rsidP="00634CF5">
            <w:pPr>
              <w:pStyle w:val="TableBodyText"/>
              <w:rPr>
                <w:szCs w:val="20"/>
              </w:rPr>
            </w:pPr>
            <w:r w:rsidRPr="002C1E65">
              <w:rPr>
                <w:szCs w:val="20"/>
              </w:rPr>
              <w:t xml:space="preserve">1. </w:t>
            </w:r>
            <w:r w:rsidR="00C84043" w:rsidRPr="002C1E65">
              <w:rPr>
                <w:szCs w:val="20"/>
              </w:rPr>
              <w:t>No Poverty</w:t>
            </w:r>
          </w:p>
          <w:p w14:paraId="4DD1B5C7" w14:textId="0D865C20" w:rsidR="00C84043" w:rsidRPr="002C1E65" w:rsidRDefault="00634CF5" w:rsidP="00634CF5">
            <w:pPr>
              <w:pStyle w:val="TableBodyText"/>
              <w:rPr>
                <w:szCs w:val="20"/>
              </w:rPr>
            </w:pPr>
            <w:r w:rsidRPr="002C1E65">
              <w:rPr>
                <w:szCs w:val="20"/>
              </w:rPr>
              <w:t xml:space="preserve">5. </w:t>
            </w:r>
            <w:r w:rsidR="00C84043" w:rsidRPr="002C1E65">
              <w:rPr>
                <w:szCs w:val="20"/>
              </w:rPr>
              <w:t>Gender Equality</w:t>
            </w:r>
          </w:p>
          <w:p w14:paraId="01376EDC" w14:textId="43DA2A12" w:rsidR="00C84043" w:rsidRPr="002C1E65" w:rsidRDefault="00634CF5" w:rsidP="00634CF5">
            <w:pPr>
              <w:pStyle w:val="TableBodyText"/>
              <w:rPr>
                <w:szCs w:val="20"/>
              </w:rPr>
            </w:pPr>
            <w:r w:rsidRPr="002C1E65">
              <w:rPr>
                <w:szCs w:val="20"/>
              </w:rPr>
              <w:t xml:space="preserve">6. </w:t>
            </w:r>
            <w:r w:rsidR="00C84043" w:rsidRPr="002C1E65">
              <w:rPr>
                <w:szCs w:val="20"/>
              </w:rPr>
              <w:t>Clean Water and Sanitation</w:t>
            </w:r>
          </w:p>
          <w:p w14:paraId="46A4A00C" w14:textId="0B83A3C8" w:rsidR="00C84043" w:rsidRPr="002C1E65" w:rsidRDefault="00634CF5" w:rsidP="00634CF5">
            <w:pPr>
              <w:pStyle w:val="TableBodyText"/>
              <w:rPr>
                <w:szCs w:val="20"/>
              </w:rPr>
            </w:pPr>
            <w:r w:rsidRPr="002C1E65">
              <w:rPr>
                <w:szCs w:val="20"/>
              </w:rPr>
              <w:t xml:space="preserve">7. </w:t>
            </w:r>
            <w:r w:rsidR="00C84043" w:rsidRPr="002C1E65">
              <w:rPr>
                <w:szCs w:val="20"/>
              </w:rPr>
              <w:t>Affordable and Clean Energy</w:t>
            </w:r>
          </w:p>
          <w:p w14:paraId="349CDA0E" w14:textId="5BAE9E47" w:rsidR="00C84043" w:rsidRPr="002C1E65" w:rsidRDefault="00634CF5" w:rsidP="00634CF5">
            <w:pPr>
              <w:pStyle w:val="TableBodyText"/>
              <w:rPr>
                <w:szCs w:val="20"/>
              </w:rPr>
            </w:pPr>
            <w:r w:rsidRPr="002C1E65">
              <w:rPr>
                <w:szCs w:val="20"/>
              </w:rPr>
              <w:t xml:space="preserve">8. </w:t>
            </w:r>
            <w:r w:rsidR="00C84043" w:rsidRPr="002C1E65">
              <w:rPr>
                <w:szCs w:val="20"/>
              </w:rPr>
              <w:t>Decent Work and Economic Growth</w:t>
            </w:r>
          </w:p>
          <w:p w14:paraId="250B9188" w14:textId="7C58C432" w:rsidR="00C84043" w:rsidRPr="002C1E65" w:rsidRDefault="00634CF5" w:rsidP="00634CF5">
            <w:pPr>
              <w:pStyle w:val="TableBodyText"/>
              <w:rPr>
                <w:szCs w:val="20"/>
              </w:rPr>
            </w:pPr>
            <w:r w:rsidRPr="002C1E65">
              <w:rPr>
                <w:szCs w:val="20"/>
              </w:rPr>
              <w:t xml:space="preserve">12. </w:t>
            </w:r>
            <w:r w:rsidR="00C84043" w:rsidRPr="002C1E65">
              <w:rPr>
                <w:szCs w:val="20"/>
              </w:rPr>
              <w:t>Responsible Consumption and Production</w:t>
            </w:r>
          </w:p>
          <w:p w14:paraId="47DAC70D" w14:textId="4CBDCBF6" w:rsidR="00C84043" w:rsidRPr="002C1E65" w:rsidRDefault="00634CF5" w:rsidP="00634CF5">
            <w:pPr>
              <w:pStyle w:val="TableBodyText"/>
              <w:rPr>
                <w:szCs w:val="20"/>
              </w:rPr>
            </w:pPr>
            <w:r w:rsidRPr="002C1E65">
              <w:rPr>
                <w:szCs w:val="20"/>
              </w:rPr>
              <w:t xml:space="preserve">13. </w:t>
            </w:r>
            <w:r w:rsidR="00C84043" w:rsidRPr="002C1E65">
              <w:rPr>
                <w:szCs w:val="20"/>
              </w:rPr>
              <w:t>Climate Action</w:t>
            </w:r>
          </w:p>
          <w:p w14:paraId="0C532BC7" w14:textId="3179724B" w:rsidR="00C84043" w:rsidRPr="002C1E65" w:rsidRDefault="00634CF5" w:rsidP="00634CF5">
            <w:pPr>
              <w:pStyle w:val="TableBodyText"/>
              <w:rPr>
                <w:szCs w:val="20"/>
              </w:rPr>
            </w:pPr>
            <w:r w:rsidRPr="002C1E65">
              <w:rPr>
                <w:szCs w:val="20"/>
              </w:rPr>
              <w:t xml:space="preserve">15. </w:t>
            </w:r>
            <w:r w:rsidR="00C84043" w:rsidRPr="002C1E65">
              <w:rPr>
                <w:szCs w:val="20"/>
              </w:rPr>
              <w:t>Life On Land</w:t>
            </w:r>
          </w:p>
          <w:p w14:paraId="6DC33301" w14:textId="74006EFE" w:rsidR="00C84043" w:rsidRPr="002C1E65" w:rsidRDefault="00634CF5" w:rsidP="00634CF5">
            <w:pPr>
              <w:pStyle w:val="TableBodyText"/>
              <w:rPr>
                <w:szCs w:val="20"/>
              </w:rPr>
            </w:pPr>
            <w:r w:rsidRPr="002C1E65">
              <w:rPr>
                <w:szCs w:val="20"/>
              </w:rPr>
              <w:t xml:space="preserve">16. </w:t>
            </w:r>
            <w:r w:rsidR="00C84043" w:rsidRPr="002C1E65">
              <w:rPr>
                <w:szCs w:val="20"/>
              </w:rPr>
              <w:t>Peace, Justice and Strong Institutions</w:t>
            </w:r>
          </w:p>
          <w:p w14:paraId="30BB0CC8" w14:textId="50A4EFEF" w:rsidR="00811B75" w:rsidRPr="002C1E65" w:rsidRDefault="00634CF5" w:rsidP="00634CF5">
            <w:pPr>
              <w:pStyle w:val="TableBodyText"/>
              <w:rPr>
                <w:szCs w:val="20"/>
              </w:rPr>
            </w:pPr>
            <w:r w:rsidRPr="002C1E65">
              <w:rPr>
                <w:szCs w:val="20"/>
              </w:rPr>
              <w:t xml:space="preserve">17. </w:t>
            </w:r>
            <w:r w:rsidR="00C84043" w:rsidRPr="002C1E65">
              <w:rPr>
                <w:szCs w:val="20"/>
              </w:rPr>
              <w:t>Partnerships for the Goals</w:t>
            </w:r>
          </w:p>
        </w:tc>
        <w:tc>
          <w:tcPr>
            <w:tcW w:w="884" w:type="pct"/>
          </w:tcPr>
          <w:p w14:paraId="1DDDB455" w14:textId="77777777" w:rsidR="00B6499E" w:rsidRPr="002C1E65" w:rsidRDefault="00B6499E" w:rsidP="00B6499E">
            <w:pPr>
              <w:pStyle w:val="TableBodyText"/>
              <w:rPr>
                <w:szCs w:val="20"/>
              </w:rPr>
            </w:pPr>
            <w:r w:rsidRPr="002C1E65">
              <w:rPr>
                <w:szCs w:val="20"/>
              </w:rPr>
              <w:t>$3.6 billion in capital investment provided for in the 2021 Price Submission</w:t>
            </w:r>
          </w:p>
          <w:p w14:paraId="22CC38BC" w14:textId="7D81E260" w:rsidR="00811B75" w:rsidRPr="002C1E65" w:rsidRDefault="00B6499E" w:rsidP="00B6499E">
            <w:pPr>
              <w:pStyle w:val="TableBodyText"/>
              <w:rPr>
                <w:szCs w:val="20"/>
              </w:rPr>
            </w:pPr>
            <w:r w:rsidRPr="002C1E65">
              <w:rPr>
                <w:szCs w:val="20"/>
              </w:rPr>
              <w:t>44 MWh additional megawatt generation in renewable energy forecast through new solar program</w:t>
            </w:r>
          </w:p>
        </w:tc>
        <w:tc>
          <w:tcPr>
            <w:tcW w:w="2203" w:type="pct"/>
          </w:tcPr>
          <w:p w14:paraId="28A6734E" w14:textId="2A994645" w:rsidR="00B6499E" w:rsidRPr="002C1E65" w:rsidRDefault="00B6499E" w:rsidP="0069449F">
            <w:pPr>
              <w:pStyle w:val="TableBullet"/>
              <w:spacing w:before="60" w:after="60"/>
              <w:rPr>
                <w:szCs w:val="20"/>
              </w:rPr>
            </w:pPr>
            <w:r w:rsidRPr="002C1E65">
              <w:rPr>
                <w:szCs w:val="20"/>
              </w:rPr>
              <w:t>confirmed construction of solar power plants at Winneke and Eastern Treatment Plants to reduce our net greenhouse gas emissions and reduce energy costs, enhancing affordability for our customers and the community</w:t>
            </w:r>
          </w:p>
          <w:p w14:paraId="2808CD92" w14:textId="03565356" w:rsidR="00B6499E" w:rsidRPr="002C1E65" w:rsidRDefault="00B6499E" w:rsidP="0069449F">
            <w:pPr>
              <w:pStyle w:val="TableBullet"/>
              <w:spacing w:before="60" w:after="60"/>
              <w:rPr>
                <w:szCs w:val="20"/>
              </w:rPr>
            </w:pPr>
            <w:r w:rsidRPr="002C1E65">
              <w:rPr>
                <w:szCs w:val="20"/>
              </w:rPr>
              <w:t>finalised our Price Submission for the next price period (2021-26) with the Essential Services Commission. Our submission was informed by substantial customer input, and will generate the revenue required to deliver on the services our customers most value</w:t>
            </w:r>
          </w:p>
          <w:p w14:paraId="2646F2CE" w14:textId="6B7CD4D3" w:rsidR="00B6499E" w:rsidRPr="002C1E65" w:rsidRDefault="00B6499E" w:rsidP="0069449F">
            <w:pPr>
              <w:pStyle w:val="TableBullet"/>
              <w:spacing w:before="60" w:after="60"/>
              <w:rPr>
                <w:szCs w:val="20"/>
              </w:rPr>
            </w:pPr>
            <w:r w:rsidRPr="002C1E65">
              <w:rPr>
                <w:szCs w:val="20"/>
              </w:rPr>
              <w:t xml:space="preserve">worked with </w:t>
            </w:r>
            <w:r w:rsidR="0030196D">
              <w:rPr>
                <w:szCs w:val="20"/>
              </w:rPr>
              <w:t>Department of Environment, Land, Water and Planning</w:t>
            </w:r>
            <w:r w:rsidRPr="002C1E65">
              <w:rPr>
                <w:szCs w:val="20"/>
              </w:rPr>
              <w:t xml:space="preserve"> to support update of </w:t>
            </w:r>
            <w:r w:rsidRPr="002C1E65">
              <w:rPr>
                <w:rStyle w:val="ItalicText"/>
                <w:szCs w:val="20"/>
              </w:rPr>
              <w:t>Guidelines for Assessing the Impact of Climate Change on Water Availability in Victoria</w:t>
            </w:r>
            <w:r w:rsidRPr="002C1E65">
              <w:rPr>
                <w:szCs w:val="20"/>
              </w:rPr>
              <w:t xml:space="preserve"> to include urban and integrated water. These guidelines are now helping to inform long term water strategy</w:t>
            </w:r>
          </w:p>
          <w:p w14:paraId="5CC64BEA" w14:textId="77777777" w:rsidR="00B6499E" w:rsidRPr="002C1E65" w:rsidRDefault="00B6499E" w:rsidP="0069449F">
            <w:pPr>
              <w:pStyle w:val="TableBullet"/>
              <w:spacing w:before="60" w:after="60"/>
              <w:rPr>
                <w:szCs w:val="20"/>
              </w:rPr>
            </w:pPr>
            <w:r w:rsidRPr="002C1E65">
              <w:rPr>
                <w:szCs w:val="20"/>
              </w:rPr>
              <w:t>published first Modern Slavery Statement in line with legislation. The statement demonstrates the commitment to address human right issues in our operations and supply chain</w:t>
            </w:r>
          </w:p>
          <w:p w14:paraId="397DB7BC" w14:textId="7F8F38A7" w:rsidR="00811B75" w:rsidRPr="002C1E65" w:rsidRDefault="00B6499E" w:rsidP="0069449F">
            <w:pPr>
              <w:pStyle w:val="TableBullet"/>
              <w:spacing w:before="60" w:after="60"/>
              <w:rPr>
                <w:szCs w:val="20"/>
              </w:rPr>
            </w:pPr>
            <w:r w:rsidRPr="002C1E65">
              <w:rPr>
                <w:szCs w:val="20"/>
              </w:rPr>
              <w:t xml:space="preserve">continued to implement our </w:t>
            </w:r>
            <w:r w:rsidRPr="002C1E65">
              <w:rPr>
                <w:rStyle w:val="ItalicText"/>
                <w:szCs w:val="20"/>
              </w:rPr>
              <w:t>Social and Sustainable Procurement Strategy</w:t>
            </w:r>
            <w:r w:rsidRPr="002C1E65">
              <w:rPr>
                <w:szCs w:val="20"/>
              </w:rPr>
              <w:t xml:space="preserve"> and develop meaningful </w:t>
            </w:r>
            <w:r w:rsidR="0030196D">
              <w:rPr>
                <w:szCs w:val="20"/>
              </w:rPr>
              <w:t>Key Performance Indicators</w:t>
            </w:r>
            <w:r w:rsidRPr="002C1E65">
              <w:rPr>
                <w:szCs w:val="20"/>
              </w:rPr>
              <w:t>, including social procurement with our strategic suppliers.</w:t>
            </w:r>
          </w:p>
        </w:tc>
      </w:tr>
    </w:tbl>
    <w:p w14:paraId="4429D657" w14:textId="6B4F86E5" w:rsidR="00296848" w:rsidRDefault="00296848" w:rsidP="00296848">
      <w:pPr>
        <w:pStyle w:val="Heading1"/>
      </w:pPr>
      <w:bookmarkStart w:id="76" w:name="_Toc89722956"/>
      <w:bookmarkStart w:id="77" w:name="_Toc89723209"/>
      <w:bookmarkStart w:id="78" w:name="_Toc89723269"/>
      <w:bookmarkStart w:id="79" w:name="_Ref89805422"/>
      <w:bookmarkStart w:id="80" w:name="_Toc89860533"/>
      <w:bookmarkStart w:id="81" w:name="_Toc89860677"/>
      <w:bookmarkStart w:id="82" w:name="_Toc90325899"/>
      <w:bookmarkStart w:id="83" w:name="_Toc93659305"/>
      <w:r>
        <w:lastRenderedPageBreak/>
        <w:t>Delivering Valued Services</w:t>
      </w:r>
      <w:bookmarkEnd w:id="76"/>
      <w:bookmarkEnd w:id="77"/>
      <w:bookmarkEnd w:id="78"/>
      <w:bookmarkEnd w:id="79"/>
      <w:bookmarkEnd w:id="80"/>
      <w:bookmarkEnd w:id="81"/>
      <w:bookmarkEnd w:id="82"/>
      <w:bookmarkEnd w:id="83"/>
    </w:p>
    <w:p w14:paraId="6F53AD63" w14:textId="27234FA7" w:rsidR="00D933DC" w:rsidRDefault="00296848" w:rsidP="00296848">
      <w:pPr>
        <w:pStyle w:val="BodyText"/>
        <w:rPr>
          <w:lang w:eastAsia="en-US"/>
        </w:rPr>
      </w:pPr>
      <w:r>
        <w:rPr>
          <w:lang w:eastAsia="en-US"/>
        </w:rPr>
        <w:t>Melbourne Water makes a vital contribution to Melbourne’s enviable lifestyle by supplying high-quality drinking water, providing reliable sewerage services, integrating drainage systems, building resilience to flooding, and enhancing our waterways and land for greater community use and environmental benefit.</w:t>
      </w:r>
    </w:p>
    <w:p w14:paraId="10B37A09" w14:textId="4D68229F" w:rsidR="00296848" w:rsidRDefault="00296848" w:rsidP="00296848">
      <w:pPr>
        <w:pStyle w:val="Heading2"/>
      </w:pPr>
      <w:bookmarkStart w:id="84" w:name="_Ref89720310"/>
      <w:bookmarkStart w:id="85" w:name="_Toc89722957"/>
      <w:bookmarkStart w:id="86" w:name="_Toc89723210"/>
      <w:bookmarkStart w:id="87" w:name="_Toc89723270"/>
      <w:bookmarkStart w:id="88" w:name="_Toc89860534"/>
      <w:bookmarkStart w:id="89" w:name="_Toc89860678"/>
      <w:bookmarkStart w:id="90" w:name="_Toc90325900"/>
      <w:bookmarkStart w:id="91" w:name="_Toc93659306"/>
      <w:r>
        <w:t>Supply of Water Products</w:t>
      </w:r>
      <w:bookmarkEnd w:id="84"/>
      <w:bookmarkEnd w:id="85"/>
      <w:bookmarkEnd w:id="86"/>
      <w:bookmarkEnd w:id="87"/>
      <w:bookmarkEnd w:id="88"/>
      <w:bookmarkEnd w:id="89"/>
      <w:bookmarkEnd w:id="90"/>
      <w:bookmarkEnd w:id="91"/>
    </w:p>
    <w:p w14:paraId="2F0512D7" w14:textId="7319F71A" w:rsidR="00296848" w:rsidRDefault="00296848" w:rsidP="00296848">
      <w:pPr>
        <w:pStyle w:val="PullBox"/>
      </w:pPr>
      <w:r>
        <w:t>A safe and secure water supply is essential to our way of life.</w:t>
      </w:r>
    </w:p>
    <w:p w14:paraId="46299290" w14:textId="17C6594C" w:rsidR="00296848" w:rsidRDefault="00296848" w:rsidP="00296848">
      <w:pPr>
        <w:pStyle w:val="GreyBox"/>
      </w:pPr>
      <w:r w:rsidRPr="00296848">
        <w:t xml:space="preserve">Aligns with goals </w:t>
      </w:r>
      <w:r>
        <w:t>2</w:t>
      </w:r>
      <w:r w:rsidRPr="00296848">
        <w:t>, 3, 6</w:t>
      </w:r>
      <w:r w:rsidR="0069449F">
        <w:t xml:space="preserve">, 9 </w:t>
      </w:r>
      <w:r>
        <w:t xml:space="preserve">and </w:t>
      </w:r>
      <w:r w:rsidRPr="00296848">
        <w:t>11</w:t>
      </w:r>
    </w:p>
    <w:p w14:paraId="4F33E3CE" w14:textId="77777777" w:rsidR="00296848" w:rsidRDefault="00296848" w:rsidP="00296848">
      <w:pPr>
        <w:pStyle w:val="Heading3"/>
      </w:pPr>
      <w:bookmarkStart w:id="92" w:name="_Toc89722958"/>
      <w:bookmarkStart w:id="93" w:name="_Toc90325901"/>
      <w:bookmarkStart w:id="94" w:name="_Toc93659307"/>
      <w:r>
        <w:t>Our Approach</w:t>
      </w:r>
      <w:bookmarkEnd w:id="92"/>
      <w:bookmarkEnd w:id="93"/>
      <w:bookmarkEnd w:id="94"/>
    </w:p>
    <w:p w14:paraId="743025FB" w14:textId="40428794" w:rsidR="00296848" w:rsidRDefault="00296848" w:rsidP="00296848">
      <w:pPr>
        <w:pStyle w:val="BodyText"/>
        <w:rPr>
          <w:lang w:eastAsia="en-US"/>
        </w:rPr>
      </w:pPr>
      <w:r>
        <w:rPr>
          <w:lang w:eastAsia="en-US"/>
        </w:rPr>
        <w:t>To ensure Melbourne’s water supply remains secure, Melbourne Water manages catchments, water storages and the water transfer network to meet the needs of a growing city. With our variable climate we prepare for droughts, floods, bushfires and other events.</w:t>
      </w:r>
    </w:p>
    <w:p w14:paraId="096C8B2F" w14:textId="428B8380" w:rsidR="00296848" w:rsidRDefault="00296848" w:rsidP="00296848">
      <w:pPr>
        <w:pStyle w:val="BodyText"/>
        <w:rPr>
          <w:lang w:eastAsia="en-US"/>
        </w:rPr>
      </w:pPr>
      <w:r>
        <w:rPr>
          <w:lang w:eastAsia="en-US"/>
        </w:rPr>
        <w:t>Melbourne Water supplies, treats and transfers this drinking water to the city’s three metropolitan retail water companies and other regional water businesses, which in turn provide it to households and businesses across the greater Melbourne and neighbouring region.</w:t>
      </w:r>
    </w:p>
    <w:p w14:paraId="2C81C59D" w14:textId="3D617993" w:rsidR="00296848" w:rsidRDefault="00296848" w:rsidP="00296848">
      <w:pPr>
        <w:pStyle w:val="BodyText"/>
        <w:rPr>
          <w:lang w:eastAsia="en-US"/>
        </w:rPr>
      </w:pPr>
      <w:r>
        <w:rPr>
          <w:lang w:eastAsia="en-US"/>
        </w:rPr>
        <w:t>Melbourne is one of only a few cities in the world that draws approximately half of its drinking water from protected, or closed, catchments. These pristine mountain catchments throughout the Yarra Ranges act as a vast natural filter, producing some of the highest quality drinking water in the world. The water harvested from these closed catchments needs minimal treatment, providing a high-quality, low-cost source that underpins the affordability of our drinking water.</w:t>
      </w:r>
    </w:p>
    <w:p w14:paraId="40C9A647" w14:textId="3E074593" w:rsidR="00296848" w:rsidRDefault="00296848" w:rsidP="00296848">
      <w:pPr>
        <w:pStyle w:val="BodyText"/>
        <w:rPr>
          <w:lang w:eastAsia="en-US"/>
        </w:rPr>
      </w:pPr>
      <w:r>
        <w:rPr>
          <w:lang w:eastAsia="en-US"/>
        </w:rPr>
        <w:t>On average over the past 10 years, about 25 per cent of Melbourne’s drinking water has come from open catchments, which incorporate mixed land uses like farming instead of being used exclusively to harvest water. This water undergoes additional treatment processes to ensure it meets the same quality standards as water from closed catchments.</w:t>
      </w:r>
    </w:p>
    <w:p w14:paraId="7396643E" w14:textId="0F805E5E" w:rsidR="00296848" w:rsidRDefault="00296848" w:rsidP="00296848">
      <w:pPr>
        <w:pStyle w:val="Heading3"/>
      </w:pPr>
      <w:bookmarkStart w:id="95" w:name="_Toc89722959"/>
      <w:bookmarkStart w:id="96" w:name="_Toc90325902"/>
      <w:bookmarkStart w:id="97" w:name="_Toc93659308"/>
      <w:r>
        <w:t>Central and Gippsland Region Sustainable Water Strategy</w:t>
      </w:r>
      <w:bookmarkEnd w:id="95"/>
      <w:bookmarkEnd w:id="96"/>
      <w:bookmarkEnd w:id="97"/>
    </w:p>
    <w:p w14:paraId="4A0A0599" w14:textId="2A473EEB" w:rsidR="00296848" w:rsidRDefault="00296848" w:rsidP="00296848">
      <w:pPr>
        <w:pStyle w:val="BodyText"/>
        <w:rPr>
          <w:lang w:eastAsia="en-US"/>
        </w:rPr>
      </w:pPr>
      <w:r>
        <w:rPr>
          <w:lang w:eastAsia="en-US"/>
        </w:rPr>
        <w:t xml:space="preserve">Sustainable Water Strategies (SWSs) are developed by the Department of Environment, Land, Water and Planning (DELWP) on behalf of the Minister for Water. These strategies set out long-term plans to secure future water resources at the broader regional scale, and are reviewed on a 10-year cycle. To support </w:t>
      </w:r>
      <w:r w:rsidR="0030196D">
        <w:rPr>
          <w:lang w:eastAsia="en-US"/>
        </w:rPr>
        <w:t>Department of Environment, Land, Water and Planning</w:t>
      </w:r>
      <w:r>
        <w:rPr>
          <w:lang w:eastAsia="en-US"/>
        </w:rPr>
        <w:t xml:space="preserve"> to develop the forthcoming </w:t>
      </w:r>
      <w:r w:rsidRPr="00296848">
        <w:rPr>
          <w:rStyle w:val="ItalicText"/>
          <w:lang w:eastAsia="en-US"/>
        </w:rPr>
        <w:t>Central and</w:t>
      </w:r>
      <w:r w:rsidRPr="00296848">
        <w:rPr>
          <w:rStyle w:val="ItalicText"/>
        </w:rPr>
        <w:t xml:space="preserve"> </w:t>
      </w:r>
      <w:r w:rsidRPr="00296848">
        <w:rPr>
          <w:rStyle w:val="ItalicText"/>
          <w:lang w:eastAsia="en-US"/>
        </w:rPr>
        <w:t>Gippsland Region Sustainable Water Strategy</w:t>
      </w:r>
      <w:r>
        <w:rPr>
          <w:lang w:eastAsia="en-US"/>
        </w:rPr>
        <w:t>, Melbourne Water has participated in the Consultative Committee and working groups, and provided strategic feedback on the draft. Our modelling and information supporting the environmental flow assessments for streams in the Port Phillip region contributed to the Long Term Water Resources Assessment, a key input to the sustainable water strategy.</w:t>
      </w:r>
    </w:p>
    <w:p w14:paraId="0955FDEC" w14:textId="2E1D6612" w:rsidR="00296848" w:rsidRDefault="00296848" w:rsidP="00296848">
      <w:pPr>
        <w:pStyle w:val="BodyText"/>
        <w:rPr>
          <w:lang w:eastAsia="en-US"/>
        </w:rPr>
      </w:pPr>
      <w:r>
        <w:rPr>
          <w:lang w:eastAsia="en-US"/>
        </w:rPr>
        <w:t>The strategy is a key opportunity to set the direction for the water sector in our region for the next 10 years. We are focused on achieving water security through a portfolio approach, where each water source has a role to play including catchments, desalinated water, stormwater and recycled water.</w:t>
      </w:r>
    </w:p>
    <w:p w14:paraId="50BB8CE7" w14:textId="77777777" w:rsidR="00296848" w:rsidRDefault="00296848" w:rsidP="00296848">
      <w:pPr>
        <w:pStyle w:val="Heading3"/>
      </w:pPr>
      <w:bookmarkStart w:id="98" w:name="_Toc89722960"/>
      <w:bookmarkStart w:id="99" w:name="_Toc90325903"/>
      <w:bookmarkStart w:id="100" w:name="_Toc93659309"/>
      <w:r>
        <w:lastRenderedPageBreak/>
        <w:t>Planning for a secure water future</w:t>
      </w:r>
      <w:bookmarkEnd w:id="98"/>
      <w:bookmarkEnd w:id="99"/>
      <w:bookmarkEnd w:id="100"/>
    </w:p>
    <w:p w14:paraId="217AE7BD" w14:textId="77777777" w:rsidR="00296848" w:rsidRDefault="00296848" w:rsidP="00296848">
      <w:pPr>
        <w:pStyle w:val="BodyText"/>
        <w:rPr>
          <w:lang w:eastAsia="en-US"/>
        </w:rPr>
      </w:pPr>
      <w:r>
        <w:rPr>
          <w:lang w:eastAsia="en-US"/>
        </w:rPr>
        <w:t xml:space="preserve">Every five years, Melbourne Water is required to produce a </w:t>
      </w:r>
      <w:r w:rsidRPr="00296848">
        <w:rPr>
          <w:rStyle w:val="ItalicText"/>
          <w:lang w:eastAsia="en-US"/>
        </w:rPr>
        <w:t>Melbourne Water System Strategy</w:t>
      </w:r>
      <w:r>
        <w:rPr>
          <w:lang w:eastAsia="en-US"/>
        </w:rPr>
        <w:t xml:space="preserve"> and the Melbourne retail water corporations are required to produce Urban Water Strategies. Together, these strategies outline how to effectively manage the increasing demand for water and rising sewage volumes in the face of population growth and climate change. By 2022, the greater Melbourne area water corporations (Greater Western Water, Melbourne Water, South East Water and Yarra Valley Water) are due to revise existing strategies and have agreed to produce a joint strategy – the </w:t>
      </w:r>
      <w:r w:rsidRPr="00296848">
        <w:rPr>
          <w:rStyle w:val="ItalicText"/>
          <w:lang w:eastAsia="en-US"/>
        </w:rPr>
        <w:t>Greater</w:t>
      </w:r>
      <w:r w:rsidRPr="00296848">
        <w:rPr>
          <w:rStyle w:val="ItalicText"/>
        </w:rPr>
        <w:t xml:space="preserve"> </w:t>
      </w:r>
      <w:r w:rsidRPr="00296848">
        <w:rPr>
          <w:rStyle w:val="ItalicText"/>
          <w:lang w:eastAsia="en-US"/>
        </w:rPr>
        <w:t>Melbourne Urban Water and System Strategy or Water for Life</w:t>
      </w:r>
      <w:r>
        <w:rPr>
          <w:lang w:eastAsia="en-US"/>
        </w:rPr>
        <w:t>.</w:t>
      </w:r>
    </w:p>
    <w:p w14:paraId="38E18DCA" w14:textId="74473A17" w:rsidR="00296848" w:rsidRDefault="00296848" w:rsidP="00296848">
      <w:pPr>
        <w:pStyle w:val="BodyText"/>
        <w:rPr>
          <w:lang w:eastAsia="en-US"/>
        </w:rPr>
      </w:pPr>
      <w:r>
        <w:rPr>
          <w:lang w:eastAsia="en-US"/>
        </w:rPr>
        <w:t xml:space="preserve">The strategy will provide a range of actions for the metropolitan water corporations to ensure ongoing water security to Melbourne and surrounding regions. The strategy will also include consideration of a range of possible water supply augmentation options ranging from local-scale stormwater capture and recycling to large-scale options to supply water. The strategy will also consider water conservation and water use efficiency options and will be aligned with the directions within the </w:t>
      </w:r>
      <w:r w:rsidRPr="00296848">
        <w:rPr>
          <w:rStyle w:val="ItalicText"/>
          <w:lang w:eastAsia="en-US"/>
        </w:rPr>
        <w:t>Sustainable Water</w:t>
      </w:r>
      <w:r w:rsidRPr="00296848">
        <w:rPr>
          <w:rStyle w:val="ItalicText"/>
        </w:rPr>
        <w:t xml:space="preserve"> </w:t>
      </w:r>
      <w:r w:rsidRPr="00296848">
        <w:rPr>
          <w:rStyle w:val="ItalicText"/>
          <w:lang w:eastAsia="en-US"/>
        </w:rPr>
        <w:t>Strategy</w:t>
      </w:r>
      <w:r>
        <w:rPr>
          <w:lang w:eastAsia="en-US"/>
        </w:rPr>
        <w:t>.</w:t>
      </w:r>
    </w:p>
    <w:p w14:paraId="5777F156" w14:textId="77777777" w:rsidR="00296848" w:rsidRDefault="00296848" w:rsidP="00296848">
      <w:pPr>
        <w:pStyle w:val="BodyText"/>
        <w:rPr>
          <w:lang w:eastAsia="en-US"/>
        </w:rPr>
      </w:pPr>
      <w:r>
        <w:rPr>
          <w:lang w:eastAsia="en-US"/>
        </w:rPr>
        <w:t>As water corporations, customers and communities, we have a shared challenge in planning for our water future. By working together we can achieve better outcomes and take a holistic view of industry-wide pressures and opportunities, while remaining responsive to local service region needs. The revision of these key strategies is an opportunity to collectively identify what we need to do to secure our water supplies for the next 50 years, including specific actions for the next five years.</w:t>
      </w:r>
    </w:p>
    <w:p w14:paraId="0E284AC7" w14:textId="42BFEB41" w:rsidR="00296848" w:rsidRDefault="00296848" w:rsidP="00296848">
      <w:pPr>
        <w:pStyle w:val="BodyText"/>
        <w:rPr>
          <w:lang w:eastAsia="en-US"/>
        </w:rPr>
      </w:pPr>
      <w:r>
        <w:rPr>
          <w:lang w:eastAsia="en-US"/>
        </w:rPr>
        <w:t>Our commitment to a community led approach recognises the need to place greater emphasis on acknowledging and understanding the cultural, economic and environmental values of water use, including those of Traditional Owners. To achieve this, we are working closely with Traditional Owners and with community to develop the strategy together. A broad customer and community engagement program commenced in March 2021, with public consultation planned for November.</w:t>
      </w:r>
    </w:p>
    <w:p w14:paraId="34A51B22" w14:textId="2734F5CC" w:rsidR="00296848" w:rsidRDefault="00296848" w:rsidP="00296848">
      <w:pPr>
        <w:pStyle w:val="BodyText"/>
        <w:rPr>
          <w:lang w:eastAsia="en-US"/>
        </w:rPr>
      </w:pPr>
      <w:r>
        <w:rPr>
          <w:lang w:eastAsia="en-US"/>
        </w:rPr>
        <w:t xml:space="preserve">As a water sector we are taking a collaborative and coordinated approach to the development of the </w:t>
      </w:r>
      <w:r w:rsidRPr="007F4000">
        <w:rPr>
          <w:rStyle w:val="ItalicText"/>
          <w:lang w:eastAsia="en-US"/>
        </w:rPr>
        <w:t>Central and Gippsland</w:t>
      </w:r>
      <w:r w:rsidRPr="007F4000">
        <w:rPr>
          <w:rStyle w:val="ItalicText"/>
        </w:rPr>
        <w:t xml:space="preserve"> </w:t>
      </w:r>
      <w:r w:rsidRPr="007F4000">
        <w:rPr>
          <w:rStyle w:val="ItalicText"/>
          <w:lang w:eastAsia="en-US"/>
        </w:rPr>
        <w:t>Region Sustainable Water Strategy</w:t>
      </w:r>
      <w:r>
        <w:rPr>
          <w:lang w:eastAsia="en-US"/>
        </w:rPr>
        <w:t xml:space="preserve"> and </w:t>
      </w:r>
      <w:r w:rsidRPr="007F4000">
        <w:rPr>
          <w:rStyle w:val="ItalicText"/>
          <w:lang w:eastAsia="en-US"/>
        </w:rPr>
        <w:t>Greater Melbourne</w:t>
      </w:r>
      <w:r w:rsidRPr="007F4000">
        <w:rPr>
          <w:rStyle w:val="ItalicText"/>
        </w:rPr>
        <w:t xml:space="preserve"> </w:t>
      </w:r>
      <w:r w:rsidRPr="007F4000">
        <w:rPr>
          <w:rStyle w:val="ItalicText"/>
          <w:lang w:eastAsia="en-US"/>
        </w:rPr>
        <w:t>Urban Water and System Strategy</w:t>
      </w:r>
      <w:r>
        <w:rPr>
          <w:lang w:eastAsia="en-US"/>
        </w:rPr>
        <w:t>.</w:t>
      </w:r>
    </w:p>
    <w:p w14:paraId="3D0EA83D" w14:textId="77777777" w:rsidR="00296848" w:rsidRDefault="00296848" w:rsidP="007F4000">
      <w:pPr>
        <w:pStyle w:val="Heading3"/>
      </w:pPr>
      <w:bookmarkStart w:id="101" w:name="_Toc89722961"/>
      <w:bookmarkStart w:id="102" w:name="_Toc90325904"/>
      <w:bookmarkStart w:id="103" w:name="_Toc93659310"/>
      <w:r>
        <w:t>Water transfer network automation</w:t>
      </w:r>
      <w:bookmarkEnd w:id="101"/>
      <w:bookmarkEnd w:id="102"/>
      <w:bookmarkEnd w:id="103"/>
    </w:p>
    <w:p w14:paraId="10089BFD" w14:textId="27BE9667" w:rsidR="00296848" w:rsidRDefault="00296848" w:rsidP="00296848">
      <w:pPr>
        <w:pStyle w:val="BodyText"/>
        <w:rPr>
          <w:lang w:eastAsia="en-US"/>
        </w:rPr>
      </w:pPr>
      <w:r>
        <w:rPr>
          <w:lang w:eastAsia="en-US"/>
        </w:rPr>
        <w:t>Our ambitious program to transform our water transfer</w:t>
      </w:r>
      <w:r w:rsidR="007F4000">
        <w:rPr>
          <w:lang w:eastAsia="en-US"/>
        </w:rPr>
        <w:t xml:space="preserve"> </w:t>
      </w:r>
      <w:r>
        <w:rPr>
          <w:lang w:eastAsia="en-US"/>
        </w:rPr>
        <w:t>network continued through automation and data acquisition</w:t>
      </w:r>
      <w:r w:rsidR="007F4000">
        <w:rPr>
          <w:lang w:eastAsia="en-US"/>
        </w:rPr>
        <w:t xml:space="preserve"> </w:t>
      </w:r>
      <w:r>
        <w:rPr>
          <w:lang w:eastAsia="en-US"/>
        </w:rPr>
        <w:t>this year, and we implemented the second phase of the</w:t>
      </w:r>
      <w:r w:rsidR="007F4000">
        <w:rPr>
          <w:lang w:eastAsia="en-US"/>
        </w:rPr>
        <w:t xml:space="preserve"> </w:t>
      </w:r>
      <w:r>
        <w:rPr>
          <w:lang w:eastAsia="en-US"/>
        </w:rPr>
        <w:t>project covering the Tarago – Cardinia water network. Using</w:t>
      </w:r>
      <w:r w:rsidR="007F4000">
        <w:rPr>
          <w:lang w:eastAsia="en-US"/>
        </w:rPr>
        <w:t xml:space="preserve"> </w:t>
      </w:r>
      <w:r>
        <w:rPr>
          <w:lang w:eastAsia="en-US"/>
        </w:rPr>
        <w:t>a software called AAE (Aquadvanced Energy) the program</w:t>
      </w:r>
      <w:r w:rsidR="007F4000">
        <w:rPr>
          <w:lang w:eastAsia="en-US"/>
        </w:rPr>
        <w:t xml:space="preserve"> </w:t>
      </w:r>
      <w:r>
        <w:rPr>
          <w:lang w:eastAsia="en-US"/>
        </w:rPr>
        <w:t>is minimising pumping costs, maximising hydro revenue,</w:t>
      </w:r>
      <w:r w:rsidR="007F4000">
        <w:rPr>
          <w:lang w:eastAsia="en-US"/>
        </w:rPr>
        <w:t xml:space="preserve"> </w:t>
      </w:r>
      <w:r>
        <w:rPr>
          <w:lang w:eastAsia="en-US"/>
        </w:rPr>
        <w:t>decreasing chemical usage by smoothing the flow out of</w:t>
      </w:r>
      <w:r w:rsidR="007F4000">
        <w:rPr>
          <w:lang w:eastAsia="en-US"/>
        </w:rPr>
        <w:t xml:space="preserve"> </w:t>
      </w:r>
      <w:r>
        <w:rPr>
          <w:lang w:eastAsia="en-US"/>
        </w:rPr>
        <w:t>our treatment plants, lowering risk, and improving system</w:t>
      </w:r>
      <w:r w:rsidR="007F4000">
        <w:rPr>
          <w:lang w:eastAsia="en-US"/>
        </w:rPr>
        <w:t xml:space="preserve"> </w:t>
      </w:r>
      <w:r>
        <w:rPr>
          <w:lang w:eastAsia="en-US"/>
        </w:rPr>
        <w:t>reliability and management of outages. When combined, these</w:t>
      </w:r>
      <w:r w:rsidR="007F4000">
        <w:rPr>
          <w:lang w:eastAsia="en-US"/>
        </w:rPr>
        <w:t xml:space="preserve"> </w:t>
      </w:r>
      <w:r>
        <w:rPr>
          <w:lang w:eastAsia="en-US"/>
        </w:rPr>
        <w:t>smaller efficiency gains provide an overall benefit for the cost</w:t>
      </w:r>
      <w:r w:rsidR="007F4000">
        <w:rPr>
          <w:lang w:eastAsia="en-US"/>
        </w:rPr>
        <w:t xml:space="preserve"> </w:t>
      </w:r>
      <w:r>
        <w:rPr>
          <w:lang w:eastAsia="en-US"/>
        </w:rPr>
        <w:t>of transferring water.</w:t>
      </w:r>
    </w:p>
    <w:p w14:paraId="17115739" w14:textId="01D757E9" w:rsidR="00296848" w:rsidRDefault="00296848" w:rsidP="00296848">
      <w:pPr>
        <w:pStyle w:val="BodyText"/>
        <w:rPr>
          <w:lang w:eastAsia="en-US"/>
        </w:rPr>
      </w:pPr>
      <w:r>
        <w:rPr>
          <w:lang w:eastAsia="en-US"/>
        </w:rPr>
        <w:t>The final phase of the project will focus on Silvan – Greenvale</w:t>
      </w:r>
      <w:r w:rsidR="007F4000">
        <w:rPr>
          <w:lang w:eastAsia="en-US"/>
        </w:rPr>
        <w:t xml:space="preserve"> </w:t>
      </w:r>
      <w:r>
        <w:rPr>
          <w:lang w:eastAsia="en-US"/>
        </w:rPr>
        <w:t>network, and will be implemented in mid-2021.</w:t>
      </w:r>
    </w:p>
    <w:p w14:paraId="0F4BF31C" w14:textId="77777777" w:rsidR="00296848" w:rsidRDefault="00296848" w:rsidP="007F4000">
      <w:pPr>
        <w:pStyle w:val="Heading3"/>
      </w:pPr>
      <w:bookmarkStart w:id="104" w:name="_Toc89722962"/>
      <w:bookmarkStart w:id="105" w:name="_Toc90325905"/>
      <w:bookmarkStart w:id="106" w:name="_Toc93659311"/>
      <w:r>
        <w:t>Managing water supply</w:t>
      </w:r>
      <w:bookmarkEnd w:id="104"/>
      <w:bookmarkEnd w:id="105"/>
      <w:bookmarkEnd w:id="106"/>
    </w:p>
    <w:p w14:paraId="4319E267" w14:textId="6B35C98B" w:rsidR="00296848" w:rsidRDefault="00296848" w:rsidP="00296848">
      <w:pPr>
        <w:pStyle w:val="BodyText"/>
        <w:rPr>
          <w:lang w:eastAsia="en-US"/>
        </w:rPr>
      </w:pPr>
      <w:r>
        <w:rPr>
          <w:lang w:eastAsia="en-US"/>
        </w:rPr>
        <w:t>Melbourne relies on water sourced from rivers and storages</w:t>
      </w:r>
      <w:r w:rsidR="007F4000">
        <w:rPr>
          <w:lang w:eastAsia="en-US"/>
        </w:rPr>
        <w:t xml:space="preserve"> </w:t>
      </w:r>
      <w:r>
        <w:rPr>
          <w:lang w:eastAsia="en-US"/>
        </w:rPr>
        <w:t>in the four major harvesting catchments (Thomson, Upper</w:t>
      </w:r>
      <w:r w:rsidR="007F4000">
        <w:rPr>
          <w:lang w:eastAsia="en-US"/>
        </w:rPr>
        <w:t xml:space="preserve"> </w:t>
      </w:r>
      <w:r>
        <w:rPr>
          <w:lang w:eastAsia="en-US"/>
        </w:rPr>
        <w:t>Yarra, Maroondah and O'Shannassy), and from drinking water</w:t>
      </w:r>
      <w:r w:rsidR="007F4000">
        <w:rPr>
          <w:lang w:eastAsia="en-US"/>
        </w:rPr>
        <w:t xml:space="preserve"> </w:t>
      </w:r>
      <w:r>
        <w:rPr>
          <w:lang w:eastAsia="en-US"/>
        </w:rPr>
        <w:t>sourced from the Victorian Desalination Project. The amount of</w:t>
      </w:r>
      <w:r w:rsidR="007F4000">
        <w:rPr>
          <w:lang w:eastAsia="en-US"/>
        </w:rPr>
        <w:t xml:space="preserve"> </w:t>
      </w:r>
      <w:r>
        <w:rPr>
          <w:lang w:eastAsia="en-US"/>
        </w:rPr>
        <w:t>water in the rivers and storages depends on the rainfall across</w:t>
      </w:r>
      <w:r w:rsidR="007F4000">
        <w:rPr>
          <w:lang w:eastAsia="en-US"/>
        </w:rPr>
        <w:t xml:space="preserve"> </w:t>
      </w:r>
      <w:r>
        <w:rPr>
          <w:lang w:eastAsia="en-US"/>
        </w:rPr>
        <w:t>these catchments from year to year, with our storages typically</w:t>
      </w:r>
      <w:r w:rsidR="007F4000">
        <w:rPr>
          <w:lang w:eastAsia="en-US"/>
        </w:rPr>
        <w:t xml:space="preserve"> </w:t>
      </w:r>
      <w:r>
        <w:rPr>
          <w:lang w:eastAsia="en-US"/>
        </w:rPr>
        <w:t>filling during the winter-spring period before being drawn down</w:t>
      </w:r>
      <w:r w:rsidR="007F4000">
        <w:rPr>
          <w:lang w:eastAsia="en-US"/>
        </w:rPr>
        <w:t xml:space="preserve"> </w:t>
      </w:r>
      <w:r>
        <w:rPr>
          <w:lang w:eastAsia="en-US"/>
        </w:rPr>
        <w:t>during the warmer, drier summer-autumn period.</w:t>
      </w:r>
    </w:p>
    <w:p w14:paraId="285FF730" w14:textId="087C9B5A" w:rsidR="007F4000" w:rsidRDefault="007F4000" w:rsidP="007F4000">
      <w:pPr>
        <w:pStyle w:val="BodyText"/>
        <w:rPr>
          <w:lang w:eastAsia="en-US"/>
        </w:rPr>
      </w:pPr>
      <w:r>
        <w:rPr>
          <w:lang w:eastAsia="en-US"/>
        </w:rPr>
        <w:t xml:space="preserve">In July 2020, Melbourne's 10 storages were 63.8 per cent full (1155.8 billion litres). In November 2020 they climbed to 75.5 per cent (1367.5 billion litres). By June 2021 they were at 74.9 per cent (1356.6 billion litres). </w:t>
      </w:r>
      <w:r>
        <w:rPr>
          <w:lang w:eastAsia="en-US"/>
        </w:rPr>
        <w:lastRenderedPageBreak/>
        <w:t>Storage levels at 30 June 2021 were the highest for this time of year since the start of the Millennium Drought in 1997, and well above the low of 26 per cent (453.2 billion litres) experienced in 2009.</w:t>
      </w:r>
    </w:p>
    <w:p w14:paraId="743A54FC" w14:textId="71E76D57" w:rsidR="007F4000" w:rsidRDefault="007F4000" w:rsidP="007F4000">
      <w:pPr>
        <w:pStyle w:val="BodyText"/>
        <w:rPr>
          <w:lang w:eastAsia="en-US"/>
        </w:rPr>
      </w:pPr>
      <w:r>
        <w:rPr>
          <w:lang w:eastAsia="en-US"/>
        </w:rPr>
        <w:t xml:space="preserve">Storages showed a welcome net increase of 11.1 per cent in 2020-21 as a result of both above average rainfall and a desalinated water order of 125 billion litres. However, Melbourne’s storages were last above 90 per cent full in 1997, as shown in the Melbourne water storage chart on page </w:t>
      </w:r>
      <w:r w:rsidR="009D31FD">
        <w:rPr>
          <w:lang w:eastAsia="en-US"/>
        </w:rPr>
        <w:fldChar w:fldCharType="begin"/>
      </w:r>
      <w:r w:rsidR="009D31FD">
        <w:rPr>
          <w:lang w:eastAsia="en-US"/>
        </w:rPr>
        <w:instrText xml:space="preserve"> PAGEREF MelbourneWaterStorage \h </w:instrText>
      </w:r>
      <w:r w:rsidR="009D31FD">
        <w:rPr>
          <w:lang w:eastAsia="en-US"/>
        </w:rPr>
      </w:r>
      <w:r w:rsidR="009D31FD">
        <w:rPr>
          <w:lang w:eastAsia="en-US"/>
        </w:rPr>
        <w:fldChar w:fldCharType="separate"/>
      </w:r>
      <w:r w:rsidR="00472151">
        <w:rPr>
          <w:noProof/>
          <w:lang w:eastAsia="en-US"/>
        </w:rPr>
        <w:t>24</w:t>
      </w:r>
      <w:r w:rsidR="009D31FD">
        <w:rPr>
          <w:lang w:eastAsia="en-US"/>
        </w:rPr>
        <w:fldChar w:fldCharType="end"/>
      </w:r>
      <w:r>
        <w:rPr>
          <w:lang w:eastAsia="en-US"/>
        </w:rPr>
        <w:t>.</w:t>
      </w:r>
    </w:p>
    <w:p w14:paraId="548500F3" w14:textId="6BE0169B" w:rsidR="007F4000" w:rsidRDefault="007F4000" w:rsidP="007F4000">
      <w:pPr>
        <w:pStyle w:val="BodyText"/>
        <w:rPr>
          <w:lang w:eastAsia="en-US"/>
        </w:rPr>
      </w:pPr>
      <w:r>
        <w:rPr>
          <w:lang w:eastAsia="en-US"/>
        </w:rPr>
        <w:t xml:space="preserve">Winter-spring in 2020 saw catchment rainfalls (up 0.1 per cent) and inflows (up 14.8 per cent) above the 30-year average. The monthly average rainfall chart (page </w:t>
      </w:r>
      <w:r w:rsidR="009D31FD">
        <w:rPr>
          <w:lang w:eastAsia="en-US"/>
        </w:rPr>
        <w:fldChar w:fldCharType="begin"/>
      </w:r>
      <w:r w:rsidR="009D31FD">
        <w:rPr>
          <w:lang w:eastAsia="en-US"/>
        </w:rPr>
        <w:instrText xml:space="preserve"> PAGEREF AverageRainfallChart \h </w:instrText>
      </w:r>
      <w:r w:rsidR="009D31FD">
        <w:rPr>
          <w:lang w:eastAsia="en-US"/>
        </w:rPr>
      </w:r>
      <w:r w:rsidR="009D31FD">
        <w:rPr>
          <w:lang w:eastAsia="en-US"/>
        </w:rPr>
        <w:fldChar w:fldCharType="separate"/>
      </w:r>
      <w:r w:rsidR="00472151">
        <w:rPr>
          <w:noProof/>
          <w:lang w:eastAsia="en-US"/>
        </w:rPr>
        <w:t>22</w:t>
      </w:r>
      <w:r w:rsidR="009D31FD">
        <w:rPr>
          <w:lang w:eastAsia="en-US"/>
        </w:rPr>
        <w:fldChar w:fldCharType="end"/>
      </w:r>
      <w:r>
        <w:rPr>
          <w:lang w:eastAsia="en-US"/>
        </w:rPr>
        <w:t>) shows that monthly rainfall across Melbourne’s storage catchments varied from a low of 39 millimetres in February (2021) to a high of 205 millimetres in June (2021). The total rainfall of 1257 millimetres for the 12-month period was 19 per cent above the 30-year average.</w:t>
      </w:r>
    </w:p>
    <w:p w14:paraId="58B370C8" w14:textId="62A50DF3" w:rsidR="007F4000" w:rsidRDefault="007F4000" w:rsidP="007F4000">
      <w:pPr>
        <w:pStyle w:val="BodyText"/>
        <w:rPr>
          <w:lang w:eastAsia="en-US"/>
        </w:rPr>
      </w:pPr>
      <w:r>
        <w:rPr>
          <w:lang w:eastAsia="en-US"/>
        </w:rPr>
        <w:t>The monthly reservoir inflow varied from a low of 14 billion litres in February (2021) to a high of 108 billion litres in June (2021).</w:t>
      </w:r>
    </w:p>
    <w:p w14:paraId="66BEA81F" w14:textId="2A090CD4" w:rsidR="007F4000" w:rsidRDefault="007F4000" w:rsidP="007F4000">
      <w:pPr>
        <w:pStyle w:val="BodyText"/>
        <w:rPr>
          <w:lang w:eastAsia="en-US"/>
        </w:rPr>
      </w:pPr>
      <w:r>
        <w:rPr>
          <w:lang w:eastAsia="en-US"/>
        </w:rPr>
        <w:t xml:space="preserve">The 2020-21 total inflow to Melbourne’s four major harvesting storages (Thomson, Upper Yarra, Maroondah and O’Shannassy) of 604 billion litres was 25 per cent above the 484 billion litres average of the last 30 years. This was 40 per cent above average for the period since 1997, which is a </w:t>
      </w:r>
      <w:r w:rsidR="0030196D">
        <w:rPr>
          <w:lang w:eastAsia="en-US"/>
        </w:rPr>
        <w:t>Department of Environment, Land, Water and Planning</w:t>
      </w:r>
      <w:r>
        <w:rPr>
          <w:lang w:eastAsia="en-US"/>
        </w:rPr>
        <w:t xml:space="preserve"> scenario for future water resources planning to represent recent streamflow conditions.</w:t>
      </w:r>
    </w:p>
    <w:p w14:paraId="10B308E7" w14:textId="46EE9E64" w:rsidR="00296848" w:rsidRDefault="007F4000" w:rsidP="007F4000">
      <w:pPr>
        <w:pStyle w:val="BodyText"/>
        <w:rPr>
          <w:lang w:eastAsia="en-US"/>
        </w:rPr>
      </w:pPr>
      <w:r>
        <w:rPr>
          <w:lang w:eastAsia="en-US"/>
        </w:rPr>
        <w:t>However, 2020-21 inflows were 2 per cent below the long-term average of 613 billion litres for the pre-Millennium Drought period (1913-14 to 1996-97). As our population increases, we are relying more heavily on desalinated water to meet annual water demands, which means that its effectiveness in future drought recovery is being reduced.</w:t>
      </w:r>
    </w:p>
    <w:p w14:paraId="4210D1C5" w14:textId="18711974" w:rsidR="00296848" w:rsidRDefault="007F4000" w:rsidP="007F4000">
      <w:pPr>
        <w:pStyle w:val="PullBox"/>
      </w:pPr>
      <w:r>
        <w:t>439 billion litres delivered</w:t>
      </w:r>
    </w:p>
    <w:p w14:paraId="45EA2539" w14:textId="613CDB3E" w:rsidR="007F4000" w:rsidRDefault="007F4000" w:rsidP="00554ADD">
      <w:pPr>
        <w:pStyle w:val="BodyText"/>
        <w:keepNext/>
        <w:rPr>
          <w:rStyle w:val="Bold"/>
        </w:rPr>
      </w:pPr>
      <w:bookmarkStart w:id="107" w:name="AverageRainfallChart"/>
      <w:r w:rsidRPr="00B74E94">
        <w:rPr>
          <w:rStyle w:val="Bold"/>
        </w:rPr>
        <w:t>Monthly average rainfall at Melbourne's major harvesting reservoirs</w:t>
      </w:r>
    </w:p>
    <w:bookmarkEnd w:id="107"/>
    <w:p w14:paraId="76B3B276" w14:textId="248DA48E" w:rsidR="00B74E94" w:rsidRDefault="00A04E66" w:rsidP="00554ADD">
      <w:pPr>
        <w:keepNext/>
      </w:pPr>
      <w:r>
        <w:rPr>
          <w:noProof/>
        </w:rPr>
        <w:drawing>
          <wp:inline distT="0" distB="0" distL="0" distR="0" wp14:anchorId="73514EF5" wp14:editId="0B29B084">
            <wp:extent cx="5940000" cy="2257200"/>
            <wp:effectExtent l="0" t="0" r="0" b="0"/>
            <wp:docPr id="5" name="Picture 5" descr="A graph showing the monthly average rainfall at Melbourne's major harvesting reservoirs, and the 30-year average rainfall, for the months from July 2020 to June 2021.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showing the monthly average rainfall at Melbourne's major harvesting reservoirs, and the 30-year average rainfall, for the months from July 2020 to June 2021. See data table below."/>
                    <pic:cNvPicPr/>
                  </pic:nvPicPr>
                  <pic:blipFill rotWithShape="1">
                    <a:blip r:embed="rId18" cstate="print">
                      <a:extLst>
                        <a:ext uri="{28A0092B-C50C-407E-A947-70E740481C1C}">
                          <a14:useLocalDpi xmlns:a14="http://schemas.microsoft.com/office/drawing/2010/main" val="0"/>
                        </a:ext>
                      </a:extLst>
                    </a:blip>
                    <a:srcRect t="2067"/>
                    <a:stretch/>
                  </pic:blipFill>
                  <pic:spPr bwMode="auto">
                    <a:xfrm>
                      <a:off x="0" y="0"/>
                      <a:ext cx="5940000" cy="225720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5000" w:type="pct"/>
        <w:tblLook w:val="04A0" w:firstRow="1" w:lastRow="0" w:firstColumn="1" w:lastColumn="0" w:noHBand="0" w:noVBand="1"/>
      </w:tblPr>
      <w:tblGrid>
        <w:gridCol w:w="3210"/>
        <w:gridCol w:w="3210"/>
        <w:gridCol w:w="3211"/>
      </w:tblGrid>
      <w:tr w:rsidR="00A04E66" w:rsidRPr="00C972BB" w14:paraId="3B5FFC98"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1666" w:type="pct"/>
            <w:vAlign w:val="bottom"/>
          </w:tcPr>
          <w:p w14:paraId="419B9F0C" w14:textId="26EE807A" w:rsidR="00A04E66" w:rsidRPr="00004F3F" w:rsidRDefault="00A04E66" w:rsidP="00004F3F">
            <w:pPr>
              <w:pStyle w:val="TableBodyText"/>
              <w:keepNext/>
              <w:spacing w:before="0" w:after="0"/>
              <w:rPr>
                <w:szCs w:val="20"/>
              </w:rPr>
            </w:pPr>
            <w:bookmarkStart w:id="108" w:name="ColumnTitle_3"/>
            <w:r w:rsidRPr="00004F3F">
              <w:rPr>
                <w:szCs w:val="20"/>
              </w:rPr>
              <w:t>Month and Year</w:t>
            </w:r>
          </w:p>
        </w:tc>
        <w:tc>
          <w:tcPr>
            <w:tcW w:w="1666" w:type="pct"/>
            <w:vAlign w:val="bottom"/>
          </w:tcPr>
          <w:p w14:paraId="0A317305" w14:textId="44A15411" w:rsidR="00A04E66" w:rsidRPr="00004F3F" w:rsidRDefault="00A04E66" w:rsidP="00004F3F">
            <w:pPr>
              <w:pStyle w:val="TableBodyText"/>
              <w:keepNext/>
              <w:spacing w:before="0" w:after="0"/>
              <w:jc w:val="right"/>
              <w:rPr>
                <w:szCs w:val="20"/>
              </w:rPr>
            </w:pPr>
            <w:r w:rsidRPr="00004F3F">
              <w:rPr>
                <w:szCs w:val="20"/>
              </w:rPr>
              <w:t>Rainfall 2020-21 (mm/month)</w:t>
            </w:r>
          </w:p>
        </w:tc>
        <w:tc>
          <w:tcPr>
            <w:tcW w:w="1667" w:type="pct"/>
            <w:vAlign w:val="bottom"/>
          </w:tcPr>
          <w:p w14:paraId="26162A42" w14:textId="4383F0E7" w:rsidR="00A04E66" w:rsidRPr="00004F3F" w:rsidRDefault="00A04E66" w:rsidP="00004F3F">
            <w:pPr>
              <w:pStyle w:val="TableBodyText"/>
              <w:keepNext/>
              <w:spacing w:before="0" w:after="0"/>
              <w:jc w:val="right"/>
              <w:rPr>
                <w:szCs w:val="20"/>
              </w:rPr>
            </w:pPr>
            <w:r w:rsidRPr="00004F3F">
              <w:rPr>
                <w:szCs w:val="20"/>
              </w:rPr>
              <w:t>Rainfall 30-year average (mm/month)</w:t>
            </w:r>
          </w:p>
        </w:tc>
      </w:tr>
      <w:bookmarkEnd w:id="108"/>
      <w:tr w:rsidR="00C972BB" w:rsidRPr="00C972BB" w14:paraId="1742D234" w14:textId="77777777" w:rsidTr="00554ADD">
        <w:tc>
          <w:tcPr>
            <w:tcW w:w="1666" w:type="pct"/>
          </w:tcPr>
          <w:p w14:paraId="6C6A2C28" w14:textId="7B6739EF" w:rsidR="00C972BB" w:rsidRPr="00004F3F" w:rsidRDefault="00C972BB" w:rsidP="00004F3F">
            <w:pPr>
              <w:pStyle w:val="TableBodyText"/>
              <w:keepNext/>
              <w:spacing w:before="0" w:after="0"/>
              <w:rPr>
                <w:szCs w:val="20"/>
              </w:rPr>
            </w:pPr>
            <w:r w:rsidRPr="00004F3F">
              <w:rPr>
                <w:szCs w:val="20"/>
              </w:rPr>
              <w:t>July 2020</w:t>
            </w:r>
          </w:p>
        </w:tc>
        <w:tc>
          <w:tcPr>
            <w:tcW w:w="1666" w:type="pct"/>
          </w:tcPr>
          <w:p w14:paraId="402CEBAC" w14:textId="3FD9321F" w:rsidR="00C972BB" w:rsidRPr="00004F3F" w:rsidRDefault="00C972BB" w:rsidP="00004F3F">
            <w:pPr>
              <w:pStyle w:val="TableBodyText"/>
              <w:keepNext/>
              <w:spacing w:before="0" w:after="0"/>
              <w:jc w:val="right"/>
              <w:rPr>
                <w:szCs w:val="20"/>
              </w:rPr>
            </w:pPr>
            <w:r w:rsidRPr="00004F3F">
              <w:t>119.1</w:t>
            </w:r>
          </w:p>
        </w:tc>
        <w:tc>
          <w:tcPr>
            <w:tcW w:w="1667" w:type="pct"/>
          </w:tcPr>
          <w:p w14:paraId="165A0A1E" w14:textId="2D00A3DC" w:rsidR="00C972BB" w:rsidRPr="00004F3F" w:rsidRDefault="00C972BB" w:rsidP="00004F3F">
            <w:pPr>
              <w:pStyle w:val="TableBodyText"/>
              <w:keepNext/>
              <w:spacing w:before="0" w:after="0"/>
              <w:jc w:val="right"/>
              <w:rPr>
                <w:szCs w:val="20"/>
              </w:rPr>
            </w:pPr>
            <w:r w:rsidRPr="00004F3F">
              <w:t>104.9</w:t>
            </w:r>
          </w:p>
        </w:tc>
      </w:tr>
      <w:tr w:rsidR="00C972BB" w:rsidRPr="00C972BB" w14:paraId="7D1DEB5E" w14:textId="77777777" w:rsidTr="00554ADD">
        <w:tc>
          <w:tcPr>
            <w:tcW w:w="1666" w:type="pct"/>
          </w:tcPr>
          <w:p w14:paraId="7986DC4B" w14:textId="1F14E142" w:rsidR="00C972BB" w:rsidRPr="00004F3F" w:rsidRDefault="00C972BB" w:rsidP="00004F3F">
            <w:pPr>
              <w:pStyle w:val="TableBodyText"/>
              <w:keepNext/>
              <w:spacing w:before="0" w:after="0"/>
              <w:rPr>
                <w:szCs w:val="20"/>
              </w:rPr>
            </w:pPr>
            <w:r w:rsidRPr="00004F3F">
              <w:rPr>
                <w:szCs w:val="20"/>
              </w:rPr>
              <w:t>August 2020</w:t>
            </w:r>
          </w:p>
        </w:tc>
        <w:tc>
          <w:tcPr>
            <w:tcW w:w="1666" w:type="pct"/>
          </w:tcPr>
          <w:p w14:paraId="45BE2D6B" w14:textId="0A64A6B5" w:rsidR="00C972BB" w:rsidRPr="00004F3F" w:rsidRDefault="00C972BB" w:rsidP="00004F3F">
            <w:pPr>
              <w:pStyle w:val="TableBodyText"/>
              <w:keepNext/>
              <w:spacing w:before="0" w:after="0"/>
              <w:jc w:val="right"/>
              <w:rPr>
                <w:szCs w:val="20"/>
              </w:rPr>
            </w:pPr>
            <w:r w:rsidRPr="00004F3F">
              <w:t>170.9</w:t>
            </w:r>
          </w:p>
        </w:tc>
        <w:tc>
          <w:tcPr>
            <w:tcW w:w="1667" w:type="pct"/>
          </w:tcPr>
          <w:p w14:paraId="2BE14B99" w14:textId="0C9B0A90" w:rsidR="00C972BB" w:rsidRPr="00004F3F" w:rsidRDefault="00C972BB" w:rsidP="00004F3F">
            <w:pPr>
              <w:pStyle w:val="TableBodyText"/>
              <w:keepNext/>
              <w:spacing w:before="0" w:after="0"/>
              <w:jc w:val="right"/>
              <w:rPr>
                <w:szCs w:val="20"/>
              </w:rPr>
            </w:pPr>
            <w:r w:rsidRPr="00004F3F">
              <w:t>120.6</w:t>
            </w:r>
          </w:p>
        </w:tc>
      </w:tr>
      <w:tr w:rsidR="00C972BB" w:rsidRPr="00C972BB" w14:paraId="50253DCB" w14:textId="77777777" w:rsidTr="00554ADD">
        <w:tc>
          <w:tcPr>
            <w:tcW w:w="1666" w:type="pct"/>
          </w:tcPr>
          <w:p w14:paraId="7A09CD09" w14:textId="22EFE445" w:rsidR="00C972BB" w:rsidRPr="00004F3F" w:rsidRDefault="00C972BB" w:rsidP="00004F3F">
            <w:pPr>
              <w:pStyle w:val="TableBodyText"/>
              <w:keepNext/>
              <w:spacing w:before="0" w:after="0"/>
              <w:rPr>
                <w:szCs w:val="20"/>
              </w:rPr>
            </w:pPr>
            <w:r w:rsidRPr="00004F3F">
              <w:rPr>
                <w:szCs w:val="20"/>
              </w:rPr>
              <w:t>September 2020</w:t>
            </w:r>
          </w:p>
        </w:tc>
        <w:tc>
          <w:tcPr>
            <w:tcW w:w="1666" w:type="pct"/>
          </w:tcPr>
          <w:p w14:paraId="650BC1F3" w14:textId="525C2041" w:rsidR="00C972BB" w:rsidRPr="00004F3F" w:rsidRDefault="00C972BB" w:rsidP="00004F3F">
            <w:pPr>
              <w:pStyle w:val="TableBodyText"/>
              <w:keepNext/>
              <w:spacing w:before="0" w:after="0"/>
              <w:jc w:val="right"/>
              <w:rPr>
                <w:szCs w:val="20"/>
              </w:rPr>
            </w:pPr>
            <w:r w:rsidRPr="00004F3F">
              <w:t>68.2</w:t>
            </w:r>
          </w:p>
        </w:tc>
        <w:tc>
          <w:tcPr>
            <w:tcW w:w="1667" w:type="pct"/>
          </w:tcPr>
          <w:p w14:paraId="0F1C6A43" w14:textId="32F0EF69" w:rsidR="00C972BB" w:rsidRPr="00004F3F" w:rsidRDefault="00C972BB" w:rsidP="00004F3F">
            <w:pPr>
              <w:pStyle w:val="TableBodyText"/>
              <w:keepNext/>
              <w:spacing w:before="0" w:after="0"/>
              <w:jc w:val="right"/>
              <w:rPr>
                <w:szCs w:val="20"/>
              </w:rPr>
            </w:pPr>
            <w:r w:rsidRPr="00004F3F">
              <w:t>116.3</w:t>
            </w:r>
          </w:p>
        </w:tc>
      </w:tr>
      <w:tr w:rsidR="00C972BB" w:rsidRPr="00C972BB" w14:paraId="0129094B" w14:textId="77777777" w:rsidTr="00554ADD">
        <w:tc>
          <w:tcPr>
            <w:tcW w:w="1666" w:type="pct"/>
          </w:tcPr>
          <w:p w14:paraId="6772B87F" w14:textId="00E54647" w:rsidR="00C972BB" w:rsidRPr="00004F3F" w:rsidRDefault="00C972BB" w:rsidP="00004F3F">
            <w:pPr>
              <w:pStyle w:val="TableBodyText"/>
              <w:keepNext/>
              <w:spacing w:before="0" w:after="0"/>
              <w:rPr>
                <w:szCs w:val="20"/>
              </w:rPr>
            </w:pPr>
            <w:r w:rsidRPr="00004F3F">
              <w:rPr>
                <w:szCs w:val="20"/>
              </w:rPr>
              <w:t>October 2020</w:t>
            </w:r>
          </w:p>
        </w:tc>
        <w:tc>
          <w:tcPr>
            <w:tcW w:w="1666" w:type="pct"/>
          </w:tcPr>
          <w:p w14:paraId="371CDB78" w14:textId="334E47CA" w:rsidR="00C972BB" w:rsidRPr="00004F3F" w:rsidRDefault="00C972BB" w:rsidP="00004F3F">
            <w:pPr>
              <w:pStyle w:val="TableBodyText"/>
              <w:keepNext/>
              <w:spacing w:before="0" w:after="0"/>
              <w:jc w:val="right"/>
              <w:rPr>
                <w:szCs w:val="20"/>
              </w:rPr>
            </w:pPr>
            <w:r w:rsidRPr="00004F3F">
              <w:t>148.9</w:t>
            </w:r>
          </w:p>
        </w:tc>
        <w:tc>
          <w:tcPr>
            <w:tcW w:w="1667" w:type="pct"/>
          </w:tcPr>
          <w:p w14:paraId="691C63AE" w14:textId="601D525B" w:rsidR="00C972BB" w:rsidRPr="00004F3F" w:rsidRDefault="00C972BB" w:rsidP="00004F3F">
            <w:pPr>
              <w:pStyle w:val="TableBodyText"/>
              <w:keepNext/>
              <w:spacing w:before="0" w:after="0"/>
              <w:jc w:val="right"/>
              <w:rPr>
                <w:szCs w:val="20"/>
              </w:rPr>
            </w:pPr>
            <w:r w:rsidRPr="00004F3F">
              <w:t>92.6</w:t>
            </w:r>
          </w:p>
        </w:tc>
      </w:tr>
      <w:tr w:rsidR="00C972BB" w:rsidRPr="00C972BB" w14:paraId="1B5A4924" w14:textId="77777777" w:rsidTr="00554ADD">
        <w:tc>
          <w:tcPr>
            <w:tcW w:w="1666" w:type="pct"/>
          </w:tcPr>
          <w:p w14:paraId="30C55DD4" w14:textId="1D2ACA87" w:rsidR="00C972BB" w:rsidRPr="00004F3F" w:rsidRDefault="00C972BB" w:rsidP="00004F3F">
            <w:pPr>
              <w:pStyle w:val="TableBodyText"/>
              <w:spacing w:before="0" w:after="0"/>
              <w:rPr>
                <w:szCs w:val="20"/>
              </w:rPr>
            </w:pPr>
            <w:r w:rsidRPr="00004F3F">
              <w:rPr>
                <w:szCs w:val="20"/>
              </w:rPr>
              <w:t>November 2020</w:t>
            </w:r>
          </w:p>
        </w:tc>
        <w:tc>
          <w:tcPr>
            <w:tcW w:w="1666" w:type="pct"/>
          </w:tcPr>
          <w:p w14:paraId="1EAD6BC1" w14:textId="5D24D29E" w:rsidR="00C972BB" w:rsidRPr="00004F3F" w:rsidRDefault="00C972BB" w:rsidP="00004F3F">
            <w:pPr>
              <w:pStyle w:val="TableBodyText"/>
              <w:spacing w:before="0" w:after="0"/>
              <w:jc w:val="right"/>
              <w:rPr>
                <w:szCs w:val="20"/>
              </w:rPr>
            </w:pPr>
            <w:r w:rsidRPr="00004F3F">
              <w:t>62.2</w:t>
            </w:r>
          </w:p>
        </w:tc>
        <w:tc>
          <w:tcPr>
            <w:tcW w:w="1667" w:type="pct"/>
          </w:tcPr>
          <w:p w14:paraId="7E0B8781" w14:textId="5FED4446" w:rsidR="00C972BB" w:rsidRPr="00004F3F" w:rsidRDefault="00C972BB" w:rsidP="00004F3F">
            <w:pPr>
              <w:pStyle w:val="TableBodyText"/>
              <w:spacing w:before="0" w:after="0"/>
              <w:jc w:val="right"/>
              <w:rPr>
                <w:szCs w:val="20"/>
              </w:rPr>
            </w:pPr>
            <w:r w:rsidRPr="00004F3F">
              <w:t>98.2</w:t>
            </w:r>
          </w:p>
        </w:tc>
      </w:tr>
      <w:tr w:rsidR="00C972BB" w:rsidRPr="00C972BB" w14:paraId="5592187B" w14:textId="77777777" w:rsidTr="00554ADD">
        <w:tc>
          <w:tcPr>
            <w:tcW w:w="1666" w:type="pct"/>
          </w:tcPr>
          <w:p w14:paraId="252C3D7B" w14:textId="271E5282" w:rsidR="00C972BB" w:rsidRPr="00004F3F" w:rsidRDefault="00C972BB" w:rsidP="00004F3F">
            <w:pPr>
              <w:pStyle w:val="TableBodyText"/>
              <w:spacing w:before="0" w:after="0"/>
              <w:rPr>
                <w:szCs w:val="20"/>
              </w:rPr>
            </w:pPr>
            <w:r w:rsidRPr="00004F3F">
              <w:rPr>
                <w:szCs w:val="20"/>
              </w:rPr>
              <w:t>December 2020</w:t>
            </w:r>
          </w:p>
        </w:tc>
        <w:tc>
          <w:tcPr>
            <w:tcW w:w="1666" w:type="pct"/>
          </w:tcPr>
          <w:p w14:paraId="2D3F617D" w14:textId="68B0E71D" w:rsidR="00C972BB" w:rsidRPr="00004F3F" w:rsidRDefault="00C972BB" w:rsidP="00004F3F">
            <w:pPr>
              <w:pStyle w:val="TableBodyText"/>
              <w:spacing w:before="0" w:after="0"/>
              <w:jc w:val="right"/>
              <w:rPr>
                <w:szCs w:val="20"/>
              </w:rPr>
            </w:pPr>
            <w:r w:rsidRPr="00004F3F">
              <w:t>70.1</w:t>
            </w:r>
          </w:p>
        </w:tc>
        <w:tc>
          <w:tcPr>
            <w:tcW w:w="1667" w:type="pct"/>
          </w:tcPr>
          <w:p w14:paraId="738BCF06" w14:textId="2C611BC1" w:rsidR="00C972BB" w:rsidRPr="00004F3F" w:rsidRDefault="00C972BB" w:rsidP="00004F3F">
            <w:pPr>
              <w:pStyle w:val="TableBodyText"/>
              <w:spacing w:before="0" w:after="0"/>
              <w:jc w:val="right"/>
              <w:rPr>
                <w:szCs w:val="20"/>
              </w:rPr>
            </w:pPr>
            <w:r w:rsidRPr="00004F3F">
              <w:t>81.6</w:t>
            </w:r>
          </w:p>
        </w:tc>
      </w:tr>
      <w:tr w:rsidR="00C972BB" w:rsidRPr="00C972BB" w14:paraId="73BA0467" w14:textId="77777777" w:rsidTr="00554ADD">
        <w:tc>
          <w:tcPr>
            <w:tcW w:w="1666" w:type="pct"/>
          </w:tcPr>
          <w:p w14:paraId="09E0296D" w14:textId="7E54AD26" w:rsidR="00C972BB" w:rsidRPr="00004F3F" w:rsidRDefault="00C972BB" w:rsidP="00004F3F">
            <w:pPr>
              <w:pStyle w:val="TableBodyText"/>
              <w:spacing w:before="0" w:after="0"/>
              <w:rPr>
                <w:szCs w:val="20"/>
              </w:rPr>
            </w:pPr>
            <w:r w:rsidRPr="00004F3F">
              <w:rPr>
                <w:szCs w:val="20"/>
              </w:rPr>
              <w:lastRenderedPageBreak/>
              <w:t>January 2020</w:t>
            </w:r>
          </w:p>
        </w:tc>
        <w:tc>
          <w:tcPr>
            <w:tcW w:w="1666" w:type="pct"/>
          </w:tcPr>
          <w:p w14:paraId="77A1DF4F" w14:textId="659F3D11" w:rsidR="00C972BB" w:rsidRPr="00004F3F" w:rsidRDefault="00C972BB" w:rsidP="00004F3F">
            <w:pPr>
              <w:pStyle w:val="TableBodyText"/>
              <w:spacing w:before="0" w:after="0"/>
              <w:jc w:val="right"/>
              <w:rPr>
                <w:szCs w:val="20"/>
              </w:rPr>
            </w:pPr>
            <w:r w:rsidRPr="00004F3F">
              <w:t>121.3</w:t>
            </w:r>
          </w:p>
        </w:tc>
        <w:tc>
          <w:tcPr>
            <w:tcW w:w="1667" w:type="pct"/>
          </w:tcPr>
          <w:p w14:paraId="1800DA0E" w14:textId="24728B4A" w:rsidR="00C972BB" w:rsidRPr="00004F3F" w:rsidRDefault="00C972BB" w:rsidP="00004F3F">
            <w:pPr>
              <w:pStyle w:val="TableBodyText"/>
              <w:spacing w:before="0" w:after="0"/>
              <w:jc w:val="right"/>
              <w:rPr>
                <w:szCs w:val="20"/>
              </w:rPr>
            </w:pPr>
            <w:r w:rsidRPr="00004F3F">
              <w:t>65.2</w:t>
            </w:r>
          </w:p>
        </w:tc>
      </w:tr>
      <w:tr w:rsidR="00C972BB" w:rsidRPr="00C972BB" w14:paraId="172C7BBA" w14:textId="77777777" w:rsidTr="00554ADD">
        <w:tc>
          <w:tcPr>
            <w:tcW w:w="1666" w:type="pct"/>
          </w:tcPr>
          <w:p w14:paraId="5B1D6159" w14:textId="056AF2A7" w:rsidR="00C972BB" w:rsidRPr="00004F3F" w:rsidRDefault="00C972BB" w:rsidP="00004F3F">
            <w:pPr>
              <w:pStyle w:val="TableBodyText"/>
              <w:spacing w:before="0" w:after="0"/>
              <w:rPr>
                <w:szCs w:val="20"/>
              </w:rPr>
            </w:pPr>
            <w:r w:rsidRPr="00004F3F">
              <w:rPr>
                <w:szCs w:val="20"/>
              </w:rPr>
              <w:t>February 2021</w:t>
            </w:r>
          </w:p>
        </w:tc>
        <w:tc>
          <w:tcPr>
            <w:tcW w:w="1666" w:type="pct"/>
          </w:tcPr>
          <w:p w14:paraId="112C79FD" w14:textId="28F6A6D8" w:rsidR="00C972BB" w:rsidRPr="00004F3F" w:rsidRDefault="00C972BB" w:rsidP="00004F3F">
            <w:pPr>
              <w:pStyle w:val="TableBodyText"/>
              <w:spacing w:before="0" w:after="0"/>
              <w:jc w:val="right"/>
              <w:rPr>
                <w:szCs w:val="20"/>
              </w:rPr>
            </w:pPr>
            <w:r w:rsidRPr="00004F3F">
              <w:t>39.4</w:t>
            </w:r>
          </w:p>
        </w:tc>
        <w:tc>
          <w:tcPr>
            <w:tcW w:w="1667" w:type="pct"/>
          </w:tcPr>
          <w:p w14:paraId="72508C8A" w14:textId="595656FF" w:rsidR="00C972BB" w:rsidRPr="00004F3F" w:rsidRDefault="00C972BB" w:rsidP="00004F3F">
            <w:pPr>
              <w:pStyle w:val="TableBodyText"/>
              <w:spacing w:before="0" w:after="0"/>
              <w:jc w:val="right"/>
              <w:rPr>
                <w:szCs w:val="20"/>
              </w:rPr>
            </w:pPr>
            <w:r w:rsidRPr="00004F3F">
              <w:t>58.9</w:t>
            </w:r>
          </w:p>
        </w:tc>
      </w:tr>
      <w:tr w:rsidR="00C972BB" w:rsidRPr="00C972BB" w14:paraId="7F4488B0" w14:textId="77777777" w:rsidTr="00554ADD">
        <w:tc>
          <w:tcPr>
            <w:tcW w:w="1666" w:type="pct"/>
          </w:tcPr>
          <w:p w14:paraId="44CC59E8" w14:textId="047F5DAD" w:rsidR="00C972BB" w:rsidRPr="00004F3F" w:rsidRDefault="00C972BB" w:rsidP="00004F3F">
            <w:pPr>
              <w:pStyle w:val="TableBodyText"/>
              <w:spacing w:before="0" w:after="0"/>
              <w:rPr>
                <w:szCs w:val="20"/>
              </w:rPr>
            </w:pPr>
            <w:r w:rsidRPr="00004F3F">
              <w:rPr>
                <w:szCs w:val="20"/>
              </w:rPr>
              <w:t>March 2021</w:t>
            </w:r>
          </w:p>
        </w:tc>
        <w:tc>
          <w:tcPr>
            <w:tcW w:w="1666" w:type="pct"/>
          </w:tcPr>
          <w:p w14:paraId="6EA2028E" w14:textId="196B7501" w:rsidR="00C972BB" w:rsidRPr="00004F3F" w:rsidRDefault="00C972BB" w:rsidP="00004F3F">
            <w:pPr>
              <w:pStyle w:val="TableBodyText"/>
              <w:spacing w:before="0" w:after="0"/>
              <w:jc w:val="right"/>
              <w:rPr>
                <w:szCs w:val="20"/>
              </w:rPr>
            </w:pPr>
            <w:r w:rsidRPr="00004F3F">
              <w:t>84.3</w:t>
            </w:r>
          </w:p>
        </w:tc>
        <w:tc>
          <w:tcPr>
            <w:tcW w:w="1667" w:type="pct"/>
          </w:tcPr>
          <w:p w14:paraId="5848E34B" w14:textId="6054488E" w:rsidR="00C972BB" w:rsidRPr="00004F3F" w:rsidRDefault="00C972BB" w:rsidP="00004F3F">
            <w:pPr>
              <w:pStyle w:val="TableBodyText"/>
              <w:spacing w:before="0" w:after="0"/>
              <w:jc w:val="right"/>
              <w:rPr>
                <w:szCs w:val="20"/>
              </w:rPr>
            </w:pPr>
            <w:r w:rsidRPr="00004F3F">
              <w:t>57.4</w:t>
            </w:r>
          </w:p>
        </w:tc>
      </w:tr>
      <w:tr w:rsidR="00C972BB" w:rsidRPr="00C972BB" w14:paraId="7743B815" w14:textId="77777777" w:rsidTr="00554ADD">
        <w:tc>
          <w:tcPr>
            <w:tcW w:w="1666" w:type="pct"/>
          </w:tcPr>
          <w:p w14:paraId="581B560E" w14:textId="6FB59481" w:rsidR="00C972BB" w:rsidRPr="00004F3F" w:rsidRDefault="00C972BB" w:rsidP="00004F3F">
            <w:pPr>
              <w:pStyle w:val="TableBodyText"/>
              <w:spacing w:before="0" w:after="0"/>
              <w:rPr>
                <w:szCs w:val="20"/>
              </w:rPr>
            </w:pPr>
            <w:r w:rsidRPr="00004F3F">
              <w:rPr>
                <w:szCs w:val="20"/>
              </w:rPr>
              <w:t>April 2021</w:t>
            </w:r>
          </w:p>
        </w:tc>
        <w:tc>
          <w:tcPr>
            <w:tcW w:w="1666" w:type="pct"/>
          </w:tcPr>
          <w:p w14:paraId="2BC13652" w14:textId="4A74543F" w:rsidR="00C972BB" w:rsidRPr="00004F3F" w:rsidRDefault="00C972BB" w:rsidP="00004F3F">
            <w:pPr>
              <w:pStyle w:val="TableBodyText"/>
              <w:spacing w:before="0" w:after="0"/>
              <w:jc w:val="right"/>
              <w:rPr>
                <w:szCs w:val="20"/>
              </w:rPr>
            </w:pPr>
            <w:r w:rsidRPr="00004F3F">
              <w:t>77.1</w:t>
            </w:r>
          </w:p>
        </w:tc>
        <w:tc>
          <w:tcPr>
            <w:tcW w:w="1667" w:type="pct"/>
          </w:tcPr>
          <w:p w14:paraId="2E4DBC76" w14:textId="1C705A36" w:rsidR="00C972BB" w:rsidRPr="00004F3F" w:rsidRDefault="00C972BB" w:rsidP="00004F3F">
            <w:pPr>
              <w:pStyle w:val="TableBodyText"/>
              <w:spacing w:before="0" w:after="0"/>
              <w:jc w:val="right"/>
              <w:rPr>
                <w:szCs w:val="20"/>
              </w:rPr>
            </w:pPr>
            <w:r w:rsidRPr="00004F3F">
              <w:t>70.3</w:t>
            </w:r>
          </w:p>
        </w:tc>
      </w:tr>
      <w:tr w:rsidR="00C972BB" w:rsidRPr="00C972BB" w14:paraId="3B40EA5D" w14:textId="77777777" w:rsidTr="00554ADD">
        <w:tc>
          <w:tcPr>
            <w:tcW w:w="1666" w:type="pct"/>
          </w:tcPr>
          <w:p w14:paraId="42C75C30" w14:textId="44B58E82" w:rsidR="00C972BB" w:rsidRPr="00004F3F" w:rsidRDefault="00C972BB" w:rsidP="00004F3F">
            <w:pPr>
              <w:pStyle w:val="TableBodyText"/>
              <w:spacing w:before="0" w:after="0"/>
              <w:rPr>
                <w:szCs w:val="20"/>
              </w:rPr>
            </w:pPr>
            <w:r w:rsidRPr="00004F3F">
              <w:rPr>
                <w:szCs w:val="20"/>
              </w:rPr>
              <w:t>May 2021</w:t>
            </w:r>
          </w:p>
        </w:tc>
        <w:tc>
          <w:tcPr>
            <w:tcW w:w="1666" w:type="pct"/>
          </w:tcPr>
          <w:p w14:paraId="75286DE8" w14:textId="6BD0C728" w:rsidR="00C972BB" w:rsidRPr="00004F3F" w:rsidRDefault="00C972BB" w:rsidP="00004F3F">
            <w:pPr>
              <w:pStyle w:val="TableBodyText"/>
              <w:spacing w:before="0" w:after="0"/>
              <w:jc w:val="right"/>
              <w:rPr>
                <w:szCs w:val="20"/>
              </w:rPr>
            </w:pPr>
            <w:r w:rsidRPr="00004F3F">
              <w:t>90.3</w:t>
            </w:r>
          </w:p>
        </w:tc>
        <w:tc>
          <w:tcPr>
            <w:tcW w:w="1667" w:type="pct"/>
          </w:tcPr>
          <w:p w14:paraId="2B0D60A2" w14:textId="1D418F4E" w:rsidR="00C972BB" w:rsidRPr="00004F3F" w:rsidRDefault="00C972BB" w:rsidP="00004F3F">
            <w:pPr>
              <w:pStyle w:val="TableBodyText"/>
              <w:spacing w:before="0" w:after="0"/>
              <w:jc w:val="right"/>
              <w:rPr>
                <w:szCs w:val="20"/>
              </w:rPr>
            </w:pPr>
            <w:r w:rsidRPr="00004F3F">
              <w:t>82.2</w:t>
            </w:r>
          </w:p>
        </w:tc>
      </w:tr>
      <w:tr w:rsidR="00C972BB" w:rsidRPr="002C1E65" w14:paraId="5C5F7E05" w14:textId="77777777" w:rsidTr="00554ADD">
        <w:tc>
          <w:tcPr>
            <w:tcW w:w="1666" w:type="pct"/>
          </w:tcPr>
          <w:p w14:paraId="5AE03001" w14:textId="237059CA" w:rsidR="00C972BB" w:rsidRPr="00004F3F" w:rsidRDefault="00C972BB" w:rsidP="00004F3F">
            <w:pPr>
              <w:pStyle w:val="TableBodyText"/>
              <w:spacing w:before="0" w:after="0"/>
              <w:rPr>
                <w:szCs w:val="20"/>
              </w:rPr>
            </w:pPr>
            <w:r w:rsidRPr="00004F3F">
              <w:rPr>
                <w:szCs w:val="20"/>
              </w:rPr>
              <w:t>June 2021</w:t>
            </w:r>
          </w:p>
        </w:tc>
        <w:tc>
          <w:tcPr>
            <w:tcW w:w="1666" w:type="pct"/>
          </w:tcPr>
          <w:p w14:paraId="659E7DB0" w14:textId="4375344E" w:rsidR="00C972BB" w:rsidRPr="00004F3F" w:rsidRDefault="00C972BB" w:rsidP="00004F3F">
            <w:pPr>
              <w:pStyle w:val="TableBodyText"/>
              <w:spacing w:before="0" w:after="0"/>
              <w:jc w:val="right"/>
              <w:rPr>
                <w:szCs w:val="20"/>
              </w:rPr>
            </w:pPr>
            <w:r w:rsidRPr="00004F3F">
              <w:t>205.1</w:t>
            </w:r>
          </w:p>
        </w:tc>
        <w:tc>
          <w:tcPr>
            <w:tcW w:w="1667" w:type="pct"/>
          </w:tcPr>
          <w:p w14:paraId="0C48B54A" w14:textId="772353F6" w:rsidR="00C972BB" w:rsidRPr="00004F3F" w:rsidRDefault="00C972BB" w:rsidP="00004F3F">
            <w:pPr>
              <w:pStyle w:val="TableBodyText"/>
              <w:spacing w:before="0" w:after="0"/>
              <w:jc w:val="right"/>
              <w:rPr>
                <w:szCs w:val="20"/>
              </w:rPr>
            </w:pPr>
            <w:r w:rsidRPr="00004F3F">
              <w:t>107.5</w:t>
            </w:r>
          </w:p>
        </w:tc>
      </w:tr>
    </w:tbl>
    <w:p w14:paraId="46C15711" w14:textId="4C3F100E" w:rsidR="007F4000" w:rsidRPr="00F92B8F" w:rsidRDefault="007F4000" w:rsidP="00554ADD">
      <w:pPr>
        <w:pStyle w:val="BodyText"/>
        <w:keepNext/>
        <w:rPr>
          <w:rStyle w:val="Bold"/>
        </w:rPr>
      </w:pPr>
      <w:r w:rsidRPr="00F92B8F">
        <w:rPr>
          <w:rStyle w:val="Bold"/>
        </w:rPr>
        <w:t>Monthly average inflow at Melbourne's major harvesting reservoirs</w:t>
      </w:r>
    </w:p>
    <w:p w14:paraId="31809CE4" w14:textId="01030DF8" w:rsidR="007F4000" w:rsidRPr="00D63907" w:rsidRDefault="00D63907" w:rsidP="00554ADD">
      <w:pPr>
        <w:keepNext/>
      </w:pPr>
      <w:r>
        <w:rPr>
          <w:noProof/>
        </w:rPr>
        <w:drawing>
          <wp:inline distT="0" distB="0" distL="0" distR="0" wp14:anchorId="6D3B8E66" wp14:editId="5F923DCA">
            <wp:extent cx="6115685" cy="1591945"/>
            <wp:effectExtent l="0" t="0" r="0" b="0"/>
            <wp:docPr id="8" name="Picture 8" descr="A chart showing the monthly average inflow at Melbourne's major harvesting reservoirs for the months from July 2020 to June 2021 and the inflow 30-year average.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hart showing the monthly average inflow at Melbourne's major harvesting reservoirs for the months from July 2020 to June 2021 and the inflow 30-year average. See data table below."/>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15685" cy="1591945"/>
                    </a:xfrm>
                    <a:prstGeom prst="rect">
                      <a:avLst/>
                    </a:prstGeom>
                  </pic:spPr>
                </pic:pic>
              </a:graphicData>
            </a:graphic>
          </wp:inline>
        </w:drawing>
      </w:r>
    </w:p>
    <w:tbl>
      <w:tblPr>
        <w:tblStyle w:val="TableGrid"/>
        <w:tblW w:w="5000" w:type="pct"/>
        <w:tblLook w:val="04A0" w:firstRow="1" w:lastRow="0" w:firstColumn="1" w:lastColumn="0" w:noHBand="0" w:noVBand="1"/>
      </w:tblPr>
      <w:tblGrid>
        <w:gridCol w:w="3210"/>
        <w:gridCol w:w="3210"/>
        <w:gridCol w:w="3211"/>
      </w:tblGrid>
      <w:tr w:rsidR="00D63907" w:rsidRPr="00A401A4" w14:paraId="1AA720B3"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1666" w:type="pct"/>
            <w:vAlign w:val="bottom"/>
          </w:tcPr>
          <w:p w14:paraId="3B9039C2" w14:textId="77777777" w:rsidR="00D63907" w:rsidRPr="00004F3F" w:rsidRDefault="00D63907" w:rsidP="00004F3F">
            <w:pPr>
              <w:pStyle w:val="TableBodyText"/>
              <w:keepNext/>
              <w:spacing w:before="0" w:after="0"/>
              <w:rPr>
                <w:szCs w:val="20"/>
              </w:rPr>
            </w:pPr>
            <w:bookmarkStart w:id="109" w:name="ColumnTitle_4"/>
            <w:r w:rsidRPr="00004F3F">
              <w:rPr>
                <w:szCs w:val="20"/>
              </w:rPr>
              <w:t>Month and Year</w:t>
            </w:r>
          </w:p>
        </w:tc>
        <w:tc>
          <w:tcPr>
            <w:tcW w:w="1666" w:type="pct"/>
            <w:vAlign w:val="bottom"/>
          </w:tcPr>
          <w:p w14:paraId="2704AAC2" w14:textId="1D18BEB8" w:rsidR="00D63907" w:rsidRPr="00004F3F" w:rsidRDefault="00D63907" w:rsidP="00004F3F">
            <w:pPr>
              <w:pStyle w:val="TableBodyText"/>
              <w:keepNext/>
              <w:spacing w:before="0" w:after="0"/>
              <w:jc w:val="right"/>
              <w:rPr>
                <w:szCs w:val="20"/>
              </w:rPr>
            </w:pPr>
            <w:r w:rsidRPr="00004F3F">
              <w:rPr>
                <w:szCs w:val="20"/>
              </w:rPr>
              <w:t xml:space="preserve">Inflow 2020-21 </w:t>
            </w:r>
            <w:r w:rsidRPr="00004F3F">
              <w:rPr>
                <w:szCs w:val="20"/>
              </w:rPr>
              <w:br/>
              <w:t>(billion litres/month)</w:t>
            </w:r>
          </w:p>
        </w:tc>
        <w:tc>
          <w:tcPr>
            <w:tcW w:w="1667" w:type="pct"/>
            <w:vAlign w:val="bottom"/>
          </w:tcPr>
          <w:p w14:paraId="7917A1CD" w14:textId="16B5556B" w:rsidR="00D63907" w:rsidRPr="00004F3F" w:rsidRDefault="00D63907" w:rsidP="00004F3F">
            <w:pPr>
              <w:pStyle w:val="TableBodyText"/>
              <w:keepNext/>
              <w:spacing w:before="0" w:after="0"/>
              <w:jc w:val="right"/>
              <w:rPr>
                <w:szCs w:val="20"/>
              </w:rPr>
            </w:pPr>
            <w:r w:rsidRPr="00004F3F">
              <w:rPr>
                <w:szCs w:val="20"/>
              </w:rPr>
              <w:t xml:space="preserve">Inflow 30-year average </w:t>
            </w:r>
            <w:r w:rsidRPr="00004F3F">
              <w:rPr>
                <w:szCs w:val="20"/>
              </w:rPr>
              <w:br/>
              <w:t>(billion litres/month)</w:t>
            </w:r>
          </w:p>
        </w:tc>
      </w:tr>
      <w:bookmarkEnd w:id="109"/>
      <w:tr w:rsidR="00C972BB" w:rsidRPr="00A401A4" w14:paraId="30F07CD2" w14:textId="77777777" w:rsidTr="00554ADD">
        <w:tc>
          <w:tcPr>
            <w:tcW w:w="1666" w:type="pct"/>
          </w:tcPr>
          <w:p w14:paraId="189E23CF" w14:textId="77777777" w:rsidR="00C972BB" w:rsidRPr="00004F3F" w:rsidRDefault="00C972BB" w:rsidP="00004F3F">
            <w:pPr>
              <w:pStyle w:val="TableBodyText"/>
              <w:keepNext/>
              <w:spacing w:before="0" w:after="0"/>
              <w:rPr>
                <w:szCs w:val="20"/>
              </w:rPr>
            </w:pPr>
            <w:r w:rsidRPr="00004F3F">
              <w:rPr>
                <w:szCs w:val="20"/>
              </w:rPr>
              <w:t>July 2020</w:t>
            </w:r>
          </w:p>
        </w:tc>
        <w:tc>
          <w:tcPr>
            <w:tcW w:w="1666" w:type="pct"/>
          </w:tcPr>
          <w:p w14:paraId="05D07932" w14:textId="0EFC629B" w:rsidR="00C972BB" w:rsidRPr="00004F3F" w:rsidRDefault="00C972BB" w:rsidP="00004F3F">
            <w:pPr>
              <w:pStyle w:val="TableBodyText"/>
              <w:keepNext/>
              <w:spacing w:before="0" w:after="0"/>
              <w:jc w:val="right"/>
              <w:rPr>
                <w:szCs w:val="20"/>
              </w:rPr>
            </w:pPr>
            <w:r w:rsidRPr="00004F3F">
              <w:t>75</w:t>
            </w:r>
          </w:p>
        </w:tc>
        <w:tc>
          <w:tcPr>
            <w:tcW w:w="1667" w:type="pct"/>
          </w:tcPr>
          <w:p w14:paraId="29C62119" w14:textId="6AEB315F" w:rsidR="00C972BB" w:rsidRPr="00004F3F" w:rsidRDefault="00C972BB" w:rsidP="00004F3F">
            <w:pPr>
              <w:pStyle w:val="TableBodyText"/>
              <w:keepNext/>
              <w:spacing w:before="0" w:after="0"/>
              <w:jc w:val="right"/>
              <w:rPr>
                <w:szCs w:val="20"/>
              </w:rPr>
            </w:pPr>
            <w:r w:rsidRPr="00004F3F">
              <w:t>60</w:t>
            </w:r>
          </w:p>
        </w:tc>
      </w:tr>
      <w:tr w:rsidR="00C972BB" w:rsidRPr="00A401A4" w14:paraId="0816D3C3" w14:textId="77777777" w:rsidTr="00554ADD">
        <w:tc>
          <w:tcPr>
            <w:tcW w:w="1666" w:type="pct"/>
          </w:tcPr>
          <w:p w14:paraId="14F15BBC" w14:textId="77777777" w:rsidR="00C972BB" w:rsidRPr="00004F3F" w:rsidRDefault="00C972BB" w:rsidP="00004F3F">
            <w:pPr>
              <w:pStyle w:val="TableBodyText"/>
              <w:spacing w:before="0" w:after="0"/>
              <w:rPr>
                <w:szCs w:val="20"/>
              </w:rPr>
            </w:pPr>
            <w:r w:rsidRPr="00004F3F">
              <w:rPr>
                <w:szCs w:val="20"/>
              </w:rPr>
              <w:t>August 2020</w:t>
            </w:r>
          </w:p>
        </w:tc>
        <w:tc>
          <w:tcPr>
            <w:tcW w:w="1666" w:type="pct"/>
          </w:tcPr>
          <w:p w14:paraId="0A58EDCD" w14:textId="035F9906" w:rsidR="00C972BB" w:rsidRPr="00004F3F" w:rsidRDefault="00C972BB" w:rsidP="00004F3F">
            <w:pPr>
              <w:pStyle w:val="TableBodyText"/>
              <w:spacing w:before="0" w:after="0"/>
              <w:jc w:val="right"/>
              <w:rPr>
                <w:szCs w:val="20"/>
              </w:rPr>
            </w:pPr>
            <w:r w:rsidRPr="00004F3F">
              <w:t>106</w:t>
            </w:r>
          </w:p>
        </w:tc>
        <w:tc>
          <w:tcPr>
            <w:tcW w:w="1667" w:type="pct"/>
          </w:tcPr>
          <w:p w14:paraId="10A79549" w14:textId="5BD1EB11" w:rsidR="00C972BB" w:rsidRPr="00004F3F" w:rsidRDefault="00C972BB" w:rsidP="00004F3F">
            <w:pPr>
              <w:pStyle w:val="TableBodyText"/>
              <w:spacing w:before="0" w:after="0"/>
              <w:jc w:val="right"/>
              <w:rPr>
                <w:szCs w:val="20"/>
              </w:rPr>
            </w:pPr>
            <w:r w:rsidRPr="00004F3F">
              <w:t>80</w:t>
            </w:r>
          </w:p>
        </w:tc>
      </w:tr>
      <w:tr w:rsidR="00C972BB" w:rsidRPr="00A401A4" w14:paraId="05593752" w14:textId="77777777" w:rsidTr="00554ADD">
        <w:tc>
          <w:tcPr>
            <w:tcW w:w="1666" w:type="pct"/>
          </w:tcPr>
          <w:p w14:paraId="6EC682D4" w14:textId="77777777" w:rsidR="00C972BB" w:rsidRPr="00004F3F" w:rsidRDefault="00C972BB" w:rsidP="00004F3F">
            <w:pPr>
              <w:pStyle w:val="TableBodyText"/>
              <w:spacing w:before="0" w:after="0"/>
              <w:rPr>
                <w:szCs w:val="20"/>
              </w:rPr>
            </w:pPr>
            <w:r w:rsidRPr="00004F3F">
              <w:rPr>
                <w:szCs w:val="20"/>
              </w:rPr>
              <w:t>September 2020</w:t>
            </w:r>
          </w:p>
        </w:tc>
        <w:tc>
          <w:tcPr>
            <w:tcW w:w="1666" w:type="pct"/>
          </w:tcPr>
          <w:p w14:paraId="5095F88C" w14:textId="057E1DF3" w:rsidR="00C972BB" w:rsidRPr="00004F3F" w:rsidRDefault="00C972BB" w:rsidP="00004F3F">
            <w:pPr>
              <w:pStyle w:val="TableBodyText"/>
              <w:spacing w:before="0" w:after="0"/>
              <w:jc w:val="right"/>
              <w:rPr>
                <w:szCs w:val="20"/>
              </w:rPr>
            </w:pPr>
            <w:r w:rsidRPr="00004F3F">
              <w:t>62</w:t>
            </w:r>
          </w:p>
        </w:tc>
        <w:tc>
          <w:tcPr>
            <w:tcW w:w="1667" w:type="pct"/>
          </w:tcPr>
          <w:p w14:paraId="246D04AD" w14:textId="1F33D833" w:rsidR="00C972BB" w:rsidRPr="00004F3F" w:rsidRDefault="00C972BB" w:rsidP="00004F3F">
            <w:pPr>
              <w:pStyle w:val="TableBodyText"/>
              <w:spacing w:before="0" w:after="0"/>
              <w:jc w:val="right"/>
              <w:rPr>
                <w:szCs w:val="20"/>
              </w:rPr>
            </w:pPr>
            <w:r w:rsidRPr="00004F3F">
              <w:t>83</w:t>
            </w:r>
          </w:p>
        </w:tc>
      </w:tr>
      <w:tr w:rsidR="00C972BB" w:rsidRPr="00A401A4" w14:paraId="68842CC7" w14:textId="77777777" w:rsidTr="00554ADD">
        <w:tc>
          <w:tcPr>
            <w:tcW w:w="1666" w:type="pct"/>
          </w:tcPr>
          <w:p w14:paraId="4AABE96E" w14:textId="77777777" w:rsidR="00C972BB" w:rsidRPr="00004F3F" w:rsidRDefault="00C972BB" w:rsidP="00004F3F">
            <w:pPr>
              <w:pStyle w:val="TableBodyText"/>
              <w:spacing w:before="0" w:after="0"/>
              <w:rPr>
                <w:szCs w:val="20"/>
              </w:rPr>
            </w:pPr>
            <w:r w:rsidRPr="00004F3F">
              <w:rPr>
                <w:szCs w:val="20"/>
              </w:rPr>
              <w:t>October 2020</w:t>
            </w:r>
          </w:p>
        </w:tc>
        <w:tc>
          <w:tcPr>
            <w:tcW w:w="1666" w:type="pct"/>
          </w:tcPr>
          <w:p w14:paraId="4026F3FB" w14:textId="524FB18B" w:rsidR="00C972BB" w:rsidRPr="00004F3F" w:rsidRDefault="00C972BB" w:rsidP="00004F3F">
            <w:pPr>
              <w:pStyle w:val="TableBodyText"/>
              <w:spacing w:before="0" w:after="0"/>
              <w:jc w:val="right"/>
              <w:rPr>
                <w:szCs w:val="20"/>
              </w:rPr>
            </w:pPr>
            <w:r w:rsidRPr="00004F3F">
              <w:t>90</w:t>
            </w:r>
          </w:p>
        </w:tc>
        <w:tc>
          <w:tcPr>
            <w:tcW w:w="1667" w:type="pct"/>
          </w:tcPr>
          <w:p w14:paraId="316AC7EA" w14:textId="22F9DB05" w:rsidR="00C972BB" w:rsidRPr="00004F3F" w:rsidRDefault="00C972BB" w:rsidP="00004F3F">
            <w:pPr>
              <w:pStyle w:val="TableBodyText"/>
              <w:spacing w:before="0" w:after="0"/>
              <w:jc w:val="right"/>
              <w:rPr>
                <w:szCs w:val="20"/>
              </w:rPr>
            </w:pPr>
            <w:r w:rsidRPr="00004F3F">
              <w:t>61</w:t>
            </w:r>
          </w:p>
        </w:tc>
      </w:tr>
      <w:tr w:rsidR="00C972BB" w:rsidRPr="00A401A4" w14:paraId="0388C837" w14:textId="77777777" w:rsidTr="00554ADD">
        <w:tc>
          <w:tcPr>
            <w:tcW w:w="1666" w:type="pct"/>
          </w:tcPr>
          <w:p w14:paraId="31B6C727" w14:textId="77777777" w:rsidR="00C972BB" w:rsidRPr="00004F3F" w:rsidRDefault="00C972BB" w:rsidP="00004F3F">
            <w:pPr>
              <w:pStyle w:val="TableBodyText"/>
              <w:spacing w:before="0" w:after="0"/>
              <w:rPr>
                <w:szCs w:val="20"/>
              </w:rPr>
            </w:pPr>
            <w:r w:rsidRPr="00004F3F">
              <w:rPr>
                <w:szCs w:val="20"/>
              </w:rPr>
              <w:t>November 2020</w:t>
            </w:r>
          </w:p>
        </w:tc>
        <w:tc>
          <w:tcPr>
            <w:tcW w:w="1666" w:type="pct"/>
          </w:tcPr>
          <w:p w14:paraId="4C02FC7B" w14:textId="565AF929" w:rsidR="00C972BB" w:rsidRPr="00004F3F" w:rsidRDefault="00C972BB" w:rsidP="00004F3F">
            <w:pPr>
              <w:pStyle w:val="TableBodyText"/>
              <w:spacing w:before="0" w:after="0"/>
              <w:jc w:val="right"/>
              <w:rPr>
                <w:szCs w:val="20"/>
              </w:rPr>
            </w:pPr>
            <w:r w:rsidRPr="00004F3F">
              <w:t>41</w:t>
            </w:r>
          </w:p>
        </w:tc>
        <w:tc>
          <w:tcPr>
            <w:tcW w:w="1667" w:type="pct"/>
          </w:tcPr>
          <w:p w14:paraId="299CE84E" w14:textId="66541506" w:rsidR="00C972BB" w:rsidRPr="00004F3F" w:rsidRDefault="00C972BB" w:rsidP="00004F3F">
            <w:pPr>
              <w:pStyle w:val="TableBodyText"/>
              <w:spacing w:before="0" w:after="0"/>
              <w:jc w:val="right"/>
              <w:rPr>
                <w:szCs w:val="20"/>
              </w:rPr>
            </w:pPr>
            <w:r w:rsidRPr="00004F3F">
              <w:t>45</w:t>
            </w:r>
          </w:p>
        </w:tc>
      </w:tr>
      <w:tr w:rsidR="00C972BB" w:rsidRPr="00A401A4" w14:paraId="32281C5C" w14:textId="77777777" w:rsidTr="00554ADD">
        <w:tc>
          <w:tcPr>
            <w:tcW w:w="1666" w:type="pct"/>
          </w:tcPr>
          <w:p w14:paraId="31758B39" w14:textId="77777777" w:rsidR="00C972BB" w:rsidRPr="00004F3F" w:rsidRDefault="00C972BB" w:rsidP="00004F3F">
            <w:pPr>
              <w:pStyle w:val="TableBodyText"/>
              <w:spacing w:before="0" w:after="0"/>
              <w:rPr>
                <w:szCs w:val="20"/>
              </w:rPr>
            </w:pPr>
            <w:r w:rsidRPr="00004F3F">
              <w:rPr>
                <w:szCs w:val="20"/>
              </w:rPr>
              <w:t>December 2020</w:t>
            </w:r>
          </w:p>
        </w:tc>
        <w:tc>
          <w:tcPr>
            <w:tcW w:w="1666" w:type="pct"/>
          </w:tcPr>
          <w:p w14:paraId="056AC7C0" w14:textId="7B1587A9" w:rsidR="00C972BB" w:rsidRPr="00004F3F" w:rsidRDefault="00C972BB" w:rsidP="00004F3F">
            <w:pPr>
              <w:pStyle w:val="TableBodyText"/>
              <w:spacing w:before="0" w:after="0"/>
              <w:jc w:val="right"/>
              <w:rPr>
                <w:szCs w:val="20"/>
              </w:rPr>
            </w:pPr>
            <w:r w:rsidRPr="00004F3F">
              <w:t>26</w:t>
            </w:r>
          </w:p>
        </w:tc>
        <w:tc>
          <w:tcPr>
            <w:tcW w:w="1667" w:type="pct"/>
          </w:tcPr>
          <w:p w14:paraId="6C7DD382" w14:textId="42B76896" w:rsidR="00C972BB" w:rsidRPr="00004F3F" w:rsidRDefault="00C972BB" w:rsidP="00004F3F">
            <w:pPr>
              <w:pStyle w:val="TableBodyText"/>
              <w:spacing w:before="0" w:after="0"/>
              <w:jc w:val="right"/>
              <w:rPr>
                <w:szCs w:val="20"/>
              </w:rPr>
            </w:pPr>
            <w:r w:rsidRPr="00004F3F">
              <w:t>31</w:t>
            </w:r>
          </w:p>
        </w:tc>
      </w:tr>
      <w:tr w:rsidR="00C972BB" w:rsidRPr="00A401A4" w14:paraId="7B672804" w14:textId="77777777" w:rsidTr="00554ADD">
        <w:tc>
          <w:tcPr>
            <w:tcW w:w="1666" w:type="pct"/>
          </w:tcPr>
          <w:p w14:paraId="47D4D242" w14:textId="77777777" w:rsidR="00C972BB" w:rsidRPr="00004F3F" w:rsidRDefault="00C972BB" w:rsidP="00004F3F">
            <w:pPr>
              <w:pStyle w:val="TableBodyText"/>
              <w:spacing w:before="0" w:after="0"/>
              <w:rPr>
                <w:szCs w:val="20"/>
              </w:rPr>
            </w:pPr>
            <w:r w:rsidRPr="00004F3F">
              <w:rPr>
                <w:szCs w:val="20"/>
              </w:rPr>
              <w:t>January 2020</w:t>
            </w:r>
          </w:p>
        </w:tc>
        <w:tc>
          <w:tcPr>
            <w:tcW w:w="1666" w:type="pct"/>
          </w:tcPr>
          <w:p w14:paraId="4A9309D7" w14:textId="04026292" w:rsidR="00C972BB" w:rsidRPr="00004F3F" w:rsidRDefault="00C972BB" w:rsidP="00004F3F">
            <w:pPr>
              <w:pStyle w:val="TableBodyText"/>
              <w:spacing w:before="0" w:after="0"/>
              <w:jc w:val="right"/>
              <w:rPr>
                <w:szCs w:val="20"/>
              </w:rPr>
            </w:pPr>
            <w:r w:rsidRPr="00004F3F">
              <w:t>23</w:t>
            </w:r>
          </w:p>
        </w:tc>
        <w:tc>
          <w:tcPr>
            <w:tcW w:w="1667" w:type="pct"/>
          </w:tcPr>
          <w:p w14:paraId="05ED4B1C" w14:textId="1134216E" w:rsidR="00C972BB" w:rsidRPr="00004F3F" w:rsidRDefault="00C972BB" w:rsidP="00004F3F">
            <w:pPr>
              <w:pStyle w:val="TableBodyText"/>
              <w:spacing w:before="0" w:after="0"/>
              <w:jc w:val="right"/>
              <w:rPr>
                <w:szCs w:val="20"/>
              </w:rPr>
            </w:pPr>
            <w:r w:rsidRPr="00004F3F">
              <w:t>20</w:t>
            </w:r>
          </w:p>
        </w:tc>
      </w:tr>
      <w:tr w:rsidR="00C972BB" w:rsidRPr="00A401A4" w14:paraId="6F9449B7" w14:textId="77777777" w:rsidTr="00554ADD">
        <w:tc>
          <w:tcPr>
            <w:tcW w:w="1666" w:type="pct"/>
          </w:tcPr>
          <w:p w14:paraId="3F772028" w14:textId="77777777" w:rsidR="00C972BB" w:rsidRPr="00004F3F" w:rsidRDefault="00C972BB" w:rsidP="00004F3F">
            <w:pPr>
              <w:pStyle w:val="TableBodyText"/>
              <w:spacing w:before="0" w:after="0"/>
              <w:rPr>
                <w:szCs w:val="20"/>
              </w:rPr>
            </w:pPr>
            <w:r w:rsidRPr="00004F3F">
              <w:rPr>
                <w:szCs w:val="20"/>
              </w:rPr>
              <w:t>February 2021</w:t>
            </w:r>
          </w:p>
        </w:tc>
        <w:tc>
          <w:tcPr>
            <w:tcW w:w="1666" w:type="pct"/>
          </w:tcPr>
          <w:p w14:paraId="58197E5D" w14:textId="6A8C3E66" w:rsidR="00C972BB" w:rsidRPr="00004F3F" w:rsidRDefault="00C972BB" w:rsidP="00004F3F">
            <w:pPr>
              <w:pStyle w:val="TableBodyText"/>
              <w:spacing w:before="0" w:after="0"/>
              <w:jc w:val="right"/>
              <w:rPr>
                <w:szCs w:val="20"/>
              </w:rPr>
            </w:pPr>
            <w:r w:rsidRPr="00004F3F">
              <w:t>14</w:t>
            </w:r>
          </w:p>
        </w:tc>
        <w:tc>
          <w:tcPr>
            <w:tcW w:w="1667" w:type="pct"/>
          </w:tcPr>
          <w:p w14:paraId="65119BD6" w14:textId="17F331C2" w:rsidR="00C972BB" w:rsidRPr="00004F3F" w:rsidRDefault="00C972BB" w:rsidP="00004F3F">
            <w:pPr>
              <w:pStyle w:val="TableBodyText"/>
              <w:spacing w:before="0" w:after="0"/>
              <w:jc w:val="right"/>
              <w:rPr>
                <w:szCs w:val="20"/>
              </w:rPr>
            </w:pPr>
            <w:r w:rsidRPr="00004F3F">
              <w:t>14</w:t>
            </w:r>
          </w:p>
        </w:tc>
      </w:tr>
      <w:tr w:rsidR="00C972BB" w:rsidRPr="00A401A4" w14:paraId="2BF405E2" w14:textId="77777777" w:rsidTr="00554ADD">
        <w:tc>
          <w:tcPr>
            <w:tcW w:w="1666" w:type="pct"/>
          </w:tcPr>
          <w:p w14:paraId="26DCDDAE" w14:textId="77777777" w:rsidR="00C972BB" w:rsidRPr="00004F3F" w:rsidRDefault="00C972BB" w:rsidP="00004F3F">
            <w:pPr>
              <w:pStyle w:val="TableBodyText"/>
              <w:spacing w:before="0" w:after="0"/>
              <w:rPr>
                <w:szCs w:val="20"/>
              </w:rPr>
            </w:pPr>
            <w:r w:rsidRPr="00004F3F">
              <w:rPr>
                <w:szCs w:val="20"/>
              </w:rPr>
              <w:t>March 2021</w:t>
            </w:r>
          </w:p>
        </w:tc>
        <w:tc>
          <w:tcPr>
            <w:tcW w:w="1666" w:type="pct"/>
          </w:tcPr>
          <w:p w14:paraId="02311AC8" w14:textId="2142B436" w:rsidR="00C972BB" w:rsidRPr="00004F3F" w:rsidRDefault="00C972BB" w:rsidP="00004F3F">
            <w:pPr>
              <w:pStyle w:val="TableBodyText"/>
              <w:spacing w:before="0" w:after="0"/>
              <w:jc w:val="right"/>
              <w:rPr>
                <w:szCs w:val="20"/>
              </w:rPr>
            </w:pPr>
            <w:r w:rsidRPr="00004F3F">
              <w:t>17</w:t>
            </w:r>
          </w:p>
        </w:tc>
        <w:tc>
          <w:tcPr>
            <w:tcW w:w="1667" w:type="pct"/>
          </w:tcPr>
          <w:p w14:paraId="30DD1178" w14:textId="67C8AD2D" w:rsidR="00C972BB" w:rsidRPr="00004F3F" w:rsidRDefault="00C972BB" w:rsidP="00004F3F">
            <w:pPr>
              <w:pStyle w:val="TableBodyText"/>
              <w:spacing w:before="0" w:after="0"/>
              <w:jc w:val="right"/>
              <w:rPr>
                <w:szCs w:val="20"/>
              </w:rPr>
            </w:pPr>
            <w:r w:rsidRPr="00004F3F">
              <w:t>13</w:t>
            </w:r>
          </w:p>
        </w:tc>
      </w:tr>
      <w:tr w:rsidR="00C972BB" w:rsidRPr="00A401A4" w14:paraId="424FD58B" w14:textId="77777777" w:rsidTr="00554ADD">
        <w:tc>
          <w:tcPr>
            <w:tcW w:w="1666" w:type="pct"/>
          </w:tcPr>
          <w:p w14:paraId="4B927F0D" w14:textId="77777777" w:rsidR="00C972BB" w:rsidRPr="00004F3F" w:rsidRDefault="00C972BB" w:rsidP="00004F3F">
            <w:pPr>
              <w:pStyle w:val="TableBodyText"/>
              <w:spacing w:before="0" w:after="0"/>
              <w:rPr>
                <w:szCs w:val="20"/>
              </w:rPr>
            </w:pPr>
            <w:r w:rsidRPr="00004F3F">
              <w:rPr>
                <w:szCs w:val="20"/>
              </w:rPr>
              <w:t>April 2021</w:t>
            </w:r>
          </w:p>
        </w:tc>
        <w:tc>
          <w:tcPr>
            <w:tcW w:w="1666" w:type="pct"/>
          </w:tcPr>
          <w:p w14:paraId="4E20E84B" w14:textId="17083756" w:rsidR="00C972BB" w:rsidRPr="00004F3F" w:rsidRDefault="00C972BB" w:rsidP="00004F3F">
            <w:pPr>
              <w:pStyle w:val="TableBodyText"/>
              <w:spacing w:before="0" w:after="0"/>
              <w:jc w:val="right"/>
              <w:rPr>
                <w:szCs w:val="20"/>
              </w:rPr>
            </w:pPr>
            <w:r w:rsidRPr="00004F3F">
              <w:t>17</w:t>
            </w:r>
          </w:p>
        </w:tc>
        <w:tc>
          <w:tcPr>
            <w:tcW w:w="1667" w:type="pct"/>
          </w:tcPr>
          <w:p w14:paraId="5F7C6587" w14:textId="18A87F0D" w:rsidR="00C972BB" w:rsidRPr="00004F3F" w:rsidRDefault="00C972BB" w:rsidP="00004F3F">
            <w:pPr>
              <w:pStyle w:val="TableBodyText"/>
              <w:spacing w:before="0" w:after="0"/>
              <w:jc w:val="right"/>
              <w:rPr>
                <w:szCs w:val="20"/>
              </w:rPr>
            </w:pPr>
            <w:r w:rsidRPr="00004F3F">
              <w:t>16</w:t>
            </w:r>
          </w:p>
        </w:tc>
      </w:tr>
      <w:tr w:rsidR="00C972BB" w:rsidRPr="00A401A4" w14:paraId="22A29E54" w14:textId="77777777" w:rsidTr="00554ADD">
        <w:tc>
          <w:tcPr>
            <w:tcW w:w="1666" w:type="pct"/>
          </w:tcPr>
          <w:p w14:paraId="0BC005BF" w14:textId="77777777" w:rsidR="00C972BB" w:rsidRPr="00004F3F" w:rsidRDefault="00C972BB" w:rsidP="00004F3F">
            <w:pPr>
              <w:pStyle w:val="TableBodyText"/>
              <w:spacing w:before="0" w:after="0"/>
              <w:rPr>
                <w:szCs w:val="20"/>
              </w:rPr>
            </w:pPr>
            <w:r w:rsidRPr="00004F3F">
              <w:rPr>
                <w:szCs w:val="20"/>
              </w:rPr>
              <w:t>May 2021</w:t>
            </w:r>
          </w:p>
        </w:tc>
        <w:tc>
          <w:tcPr>
            <w:tcW w:w="1666" w:type="pct"/>
          </w:tcPr>
          <w:p w14:paraId="60A93877" w14:textId="313FAF2A" w:rsidR="00C972BB" w:rsidRPr="00004F3F" w:rsidRDefault="00C972BB" w:rsidP="00004F3F">
            <w:pPr>
              <w:pStyle w:val="TableBodyText"/>
              <w:spacing w:before="0" w:after="0"/>
              <w:jc w:val="right"/>
              <w:rPr>
                <w:szCs w:val="20"/>
              </w:rPr>
            </w:pPr>
            <w:r w:rsidRPr="00004F3F">
              <w:t>27</w:t>
            </w:r>
          </w:p>
        </w:tc>
        <w:tc>
          <w:tcPr>
            <w:tcW w:w="1667" w:type="pct"/>
          </w:tcPr>
          <w:p w14:paraId="56E82364" w14:textId="131ED830" w:rsidR="00C972BB" w:rsidRPr="00004F3F" w:rsidRDefault="00C972BB" w:rsidP="00004F3F">
            <w:pPr>
              <w:pStyle w:val="TableBodyText"/>
              <w:spacing w:before="0" w:after="0"/>
              <w:jc w:val="right"/>
              <w:rPr>
                <w:szCs w:val="20"/>
              </w:rPr>
            </w:pPr>
            <w:r w:rsidRPr="00004F3F">
              <w:t>22</w:t>
            </w:r>
          </w:p>
        </w:tc>
      </w:tr>
      <w:tr w:rsidR="00C972BB" w:rsidRPr="002C1E65" w14:paraId="7E96834D" w14:textId="77777777" w:rsidTr="00554ADD">
        <w:tc>
          <w:tcPr>
            <w:tcW w:w="1666" w:type="pct"/>
          </w:tcPr>
          <w:p w14:paraId="53A0BEAD" w14:textId="77777777" w:rsidR="00C972BB" w:rsidRPr="00004F3F" w:rsidRDefault="00C972BB" w:rsidP="00004F3F">
            <w:pPr>
              <w:pStyle w:val="TableBodyText"/>
              <w:spacing w:before="0" w:after="0"/>
              <w:rPr>
                <w:szCs w:val="20"/>
              </w:rPr>
            </w:pPr>
            <w:r w:rsidRPr="00004F3F">
              <w:rPr>
                <w:szCs w:val="20"/>
              </w:rPr>
              <w:t>June 2021</w:t>
            </w:r>
          </w:p>
        </w:tc>
        <w:tc>
          <w:tcPr>
            <w:tcW w:w="1666" w:type="pct"/>
          </w:tcPr>
          <w:p w14:paraId="58BFDB99" w14:textId="732FBEB0" w:rsidR="00C972BB" w:rsidRPr="00004F3F" w:rsidRDefault="00C972BB" w:rsidP="00004F3F">
            <w:pPr>
              <w:pStyle w:val="TableBodyText"/>
              <w:spacing w:before="0" w:after="0"/>
              <w:jc w:val="right"/>
              <w:rPr>
                <w:szCs w:val="20"/>
              </w:rPr>
            </w:pPr>
            <w:r w:rsidRPr="00004F3F">
              <w:t>108</w:t>
            </w:r>
          </w:p>
        </w:tc>
        <w:tc>
          <w:tcPr>
            <w:tcW w:w="1667" w:type="pct"/>
          </w:tcPr>
          <w:p w14:paraId="535853DF" w14:textId="21586156" w:rsidR="00C972BB" w:rsidRPr="00004F3F" w:rsidRDefault="00C972BB" w:rsidP="00004F3F">
            <w:pPr>
              <w:pStyle w:val="TableBodyText"/>
              <w:spacing w:before="0" w:after="0"/>
              <w:jc w:val="right"/>
              <w:rPr>
                <w:szCs w:val="20"/>
              </w:rPr>
            </w:pPr>
            <w:r w:rsidRPr="00004F3F">
              <w:t>40</w:t>
            </w:r>
          </w:p>
        </w:tc>
      </w:tr>
    </w:tbl>
    <w:p w14:paraId="2A57C58D" w14:textId="42A6D78D" w:rsidR="007F4000" w:rsidRDefault="007F4000" w:rsidP="00554ADD">
      <w:pPr>
        <w:pStyle w:val="BodyText"/>
        <w:keepNext/>
        <w:rPr>
          <w:rStyle w:val="Bold"/>
        </w:rPr>
      </w:pPr>
      <w:r w:rsidRPr="00D63907">
        <w:rPr>
          <w:rStyle w:val="Bold"/>
        </w:rPr>
        <w:lastRenderedPageBreak/>
        <w:t>Long-term inflow to Melbourne’s major harvesting storages (Thomson, Upper Yarra, Maroondah and O’Shannassy reservoirs)</w:t>
      </w:r>
    </w:p>
    <w:p w14:paraId="0D8D9F87" w14:textId="6B823DCF" w:rsidR="007F4000" w:rsidRDefault="00D63907" w:rsidP="00004F3F">
      <w:pPr>
        <w:keepNext/>
        <w:spacing w:after="120"/>
      </w:pPr>
      <w:r>
        <w:rPr>
          <w:noProof/>
        </w:rPr>
        <w:drawing>
          <wp:inline distT="0" distB="0" distL="0" distR="0" wp14:anchorId="6DB94D04" wp14:editId="4BA2D2C5">
            <wp:extent cx="5900400" cy="1522800"/>
            <wp:effectExtent l="0" t="0" r="5715" b="1270"/>
            <wp:docPr id="9" name="Picture 9" descr="A graph showing the long-term inflow to Melbourne's major harvesting storages (Thomson, Upper Yarra, Maroondah, O'Shannassy reservoirs) for periods from 1913/14 to 2020/21. &#10;It shows the 2020/21 total inflow to Melbourne’s four major harvesting storages (Thomson, Upper Yarra, Maroonda and O’Shannassy) of 604 billion litres compared to the long-term annual average of 613 billion litres for the pre-Millennium Drought period (1913/14 to 199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aph showing the long-term inflow to Melbourne's major harvesting storages (Thomson, Upper Yarra, Maroondah, O'Shannassy reservoirs) for periods from 1913/14 to 2020/21. &#10;It shows the 2020/21 total inflow to Melbourne’s four major harvesting storages (Thomson, Upper Yarra, Maroonda and O’Shannassy) of 604 billion litres compared to the long-term annual average of 613 billion litres for the pre-Millennium Drought period (1913/14 to 1996/9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00400" cy="1522800"/>
                    </a:xfrm>
                    <a:prstGeom prst="rect">
                      <a:avLst/>
                    </a:prstGeom>
                  </pic:spPr>
                </pic:pic>
              </a:graphicData>
            </a:graphic>
          </wp:inline>
        </w:drawing>
      </w:r>
    </w:p>
    <w:p w14:paraId="56BF947A" w14:textId="029EC892" w:rsidR="007F4000" w:rsidRPr="00262985" w:rsidRDefault="007F4000" w:rsidP="00554ADD">
      <w:pPr>
        <w:pStyle w:val="BodyText"/>
        <w:keepNext/>
        <w:rPr>
          <w:rStyle w:val="Bold"/>
        </w:rPr>
      </w:pPr>
      <w:bookmarkStart w:id="110" w:name="MelbourneWaterStorage"/>
      <w:r w:rsidRPr="00262985">
        <w:rPr>
          <w:rStyle w:val="Bold"/>
        </w:rPr>
        <w:t>Melbourne water storage</w:t>
      </w:r>
    </w:p>
    <w:bookmarkEnd w:id="110"/>
    <w:p w14:paraId="55D71C75" w14:textId="1716F73E" w:rsidR="007F4000" w:rsidRDefault="00D22193" w:rsidP="008A15A6">
      <w:pPr>
        <w:spacing w:after="120"/>
      </w:pPr>
      <w:r>
        <w:rPr>
          <w:noProof/>
        </w:rPr>
        <w:drawing>
          <wp:inline distT="0" distB="0" distL="0" distR="0" wp14:anchorId="160438AC" wp14:editId="65FF8826">
            <wp:extent cx="5947200" cy="2037600"/>
            <wp:effectExtent l="0" t="0" r="0" b="1270"/>
            <wp:docPr id="10" name="Picture 10" descr="A chart of Melbourne Water storage volumes from December 1996 through to December 2020. The chart reveals a starting volume of 95% in December 1996 followed by a steady decrease hitting it's lowest level of 34.9% in 2008 before steadily climbing to approximately 80% in January 2013. Water volumes declined to 34.9% in 2018 but have since increased, reaching 75.1% in December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hart of Melbourne Water storage volumes from December 1996 through to December 2020. The chart reveals a starting volume of 95% in December 1996 followed by a steady decrease hitting it's lowest level of 34.9% in 2008 before steadily climbing to approximately 80% in January 2013. Water volumes declined to 34.9% in 2018 but have since increased, reaching 75.1% in December 20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7200" cy="2037600"/>
                    </a:xfrm>
                    <a:prstGeom prst="rect">
                      <a:avLst/>
                    </a:prstGeom>
                  </pic:spPr>
                </pic:pic>
              </a:graphicData>
            </a:graphic>
          </wp:inline>
        </w:drawing>
      </w:r>
    </w:p>
    <w:p w14:paraId="6717CC67" w14:textId="247BC056" w:rsidR="00004F3F" w:rsidRDefault="00004F3F" w:rsidP="008A15A6">
      <w:pPr>
        <w:spacing w:after="120"/>
      </w:pPr>
      <w:r w:rsidRPr="00004F3F">
        <w:t xml:space="preserve">A chart of Melbourne Water storage volumes from </w:t>
      </w:r>
      <w:r>
        <w:t xml:space="preserve">December </w:t>
      </w:r>
      <w:r w:rsidRPr="00004F3F">
        <w:t>199</w:t>
      </w:r>
      <w:r>
        <w:t>9</w:t>
      </w:r>
      <w:r w:rsidRPr="00004F3F">
        <w:t xml:space="preserve"> through to </w:t>
      </w:r>
      <w:r>
        <w:t>December</w:t>
      </w:r>
      <w:r w:rsidRPr="00004F3F">
        <w:t xml:space="preserve"> 2020. The chart reveals a starting volume of 95% in January 1997 followed by a steady decrease hitting it's lowest level of 26% in 2009 before steadily climbing to approximately 80% in January 2013. </w:t>
      </w:r>
      <w:r>
        <w:t>Since then water levels declined to 60% in December 2018 and over the last 2 years increased to 75% in December 2020.</w:t>
      </w:r>
    </w:p>
    <w:p w14:paraId="51A49481" w14:textId="77777777" w:rsidR="007F4000" w:rsidRDefault="007F4000" w:rsidP="007F4000">
      <w:pPr>
        <w:pStyle w:val="Heading3"/>
      </w:pPr>
      <w:bookmarkStart w:id="111" w:name="_Toc89722963"/>
      <w:bookmarkStart w:id="112" w:name="_Ref89805358"/>
      <w:bookmarkStart w:id="113" w:name="_Toc90325906"/>
      <w:bookmarkStart w:id="114" w:name="_Toc93659312"/>
      <w:r>
        <w:t>Water from the Victorian Desalination Plant</w:t>
      </w:r>
      <w:bookmarkEnd w:id="111"/>
      <w:bookmarkEnd w:id="112"/>
      <w:bookmarkEnd w:id="113"/>
      <w:bookmarkEnd w:id="114"/>
    </w:p>
    <w:p w14:paraId="17BB18BC" w14:textId="2F1C400B" w:rsidR="007F4000" w:rsidRDefault="007F4000" w:rsidP="007F4000">
      <w:pPr>
        <w:pStyle w:val="BodyText"/>
        <w:rPr>
          <w:lang w:eastAsia="en-US"/>
        </w:rPr>
      </w:pPr>
      <w:r>
        <w:rPr>
          <w:lang w:eastAsia="en-US"/>
        </w:rPr>
        <w:t>Melbourne’s water system also includes the Victorian Desalination Plant (VDP), which complements our catchments by providing a secure, rainfall independent source of high-quality water. The plant can provide up to 150 billion litres of drinking water each year.</w:t>
      </w:r>
    </w:p>
    <w:p w14:paraId="0CC041A3" w14:textId="560DDBCE" w:rsidR="007F4000" w:rsidRDefault="007F4000" w:rsidP="007F4000">
      <w:pPr>
        <w:pStyle w:val="BodyText"/>
        <w:rPr>
          <w:lang w:eastAsia="en-US"/>
        </w:rPr>
      </w:pPr>
      <w:r>
        <w:rPr>
          <w:lang w:eastAsia="en-US"/>
        </w:rPr>
        <w:t xml:space="preserve">The Victorian Government ordered and received 125 billion litres of drinking water from the </w:t>
      </w:r>
      <w:r w:rsidR="00DC0A06">
        <w:rPr>
          <w:lang w:eastAsia="en-US"/>
        </w:rPr>
        <w:t>Victorian Desalination Plant</w:t>
      </w:r>
      <w:r>
        <w:rPr>
          <w:lang w:eastAsia="en-US"/>
        </w:rPr>
        <w:t xml:space="preserve"> for 2020-21. The Minister for Water also announced an order for a further 125 billion litres to be delivered in 2021-22. Operational and planning advice provided by Melbourne Water and Melbourne’s retail water companies helped inform this decision. Since 2017, more than 326 billion litres of water has been supplied from the </w:t>
      </w:r>
      <w:r w:rsidR="00DC0A06">
        <w:rPr>
          <w:lang w:eastAsia="en-US"/>
        </w:rPr>
        <w:t>Victorian Desalination Plant</w:t>
      </w:r>
      <w:r>
        <w:rPr>
          <w:lang w:eastAsia="en-US"/>
        </w:rPr>
        <w:t>. Without this water, Melbourne’s water storages would be around 18 per cent lower than they were on June 30 2020.</w:t>
      </w:r>
    </w:p>
    <w:p w14:paraId="091DDB33" w14:textId="77777777" w:rsidR="0069449F" w:rsidRDefault="0069449F" w:rsidP="0069449F">
      <w:pPr>
        <w:pStyle w:val="Heading3"/>
      </w:pPr>
      <w:bookmarkStart w:id="115" w:name="_Toc89722964"/>
      <w:bookmarkStart w:id="116" w:name="_Toc90325907"/>
      <w:bookmarkStart w:id="117" w:name="_Toc93659313"/>
      <w:r>
        <w:t>Supplying our customers</w:t>
      </w:r>
      <w:bookmarkEnd w:id="115"/>
      <w:bookmarkEnd w:id="116"/>
      <w:bookmarkEnd w:id="117"/>
    </w:p>
    <w:p w14:paraId="596EF16B" w14:textId="77777777" w:rsidR="0069449F" w:rsidRDefault="0069449F" w:rsidP="0069449F">
      <w:pPr>
        <w:pStyle w:val="BodyText"/>
        <w:rPr>
          <w:lang w:eastAsia="en-US"/>
        </w:rPr>
      </w:pPr>
      <w:r>
        <w:rPr>
          <w:lang w:eastAsia="en-US"/>
        </w:rPr>
        <w:t>Melbourne Water supplied 439 billion litres of water in 2020-21, which is 2 per cent less than the previous year, to meet customer demand for water.</w:t>
      </w:r>
    </w:p>
    <w:p w14:paraId="10307110" w14:textId="77777777" w:rsidR="0069449F" w:rsidRDefault="0069449F" w:rsidP="00554ADD">
      <w:pPr>
        <w:pStyle w:val="Heading3"/>
      </w:pPr>
      <w:bookmarkStart w:id="118" w:name="_Toc89722965"/>
      <w:bookmarkStart w:id="119" w:name="_Toc90325908"/>
      <w:bookmarkStart w:id="120" w:name="_Toc93659314"/>
      <w:r>
        <w:lastRenderedPageBreak/>
        <w:t>Water consumption</w:t>
      </w:r>
      <w:bookmarkEnd w:id="118"/>
      <w:bookmarkEnd w:id="119"/>
      <w:bookmarkEnd w:id="120"/>
    </w:p>
    <w:p w14:paraId="2D6E2876" w14:textId="77777777" w:rsidR="0069449F" w:rsidRDefault="0069449F" w:rsidP="00554ADD">
      <w:pPr>
        <w:pStyle w:val="BodyText"/>
        <w:keepNext/>
        <w:keepLines/>
        <w:rPr>
          <w:lang w:eastAsia="en-US"/>
        </w:rPr>
      </w:pPr>
      <w:r>
        <w:rPr>
          <w:lang w:eastAsia="en-US"/>
        </w:rPr>
        <w:t>Permanent water saving (use) rules apply across Victoria so we continue to use water wisely. Melbourne’s residential water use in 2020-21 was 160 litres per person per day</w:t>
      </w:r>
      <w:r>
        <w:rPr>
          <w:rStyle w:val="FootnoteReference"/>
          <w:lang w:eastAsia="en-US"/>
        </w:rPr>
        <w:footnoteReference w:id="4"/>
      </w:r>
      <w:r>
        <w:rPr>
          <w:lang w:eastAsia="en-US"/>
        </w:rPr>
        <w:t xml:space="preserve"> – 5 litres more than the Victorian Government target of 155 litres. This is 6 litres more than last year’s consumption, but 1 litre less than the five-year average.</w:t>
      </w:r>
    </w:p>
    <w:p w14:paraId="761312CD" w14:textId="320F312B" w:rsidR="0069449F" w:rsidRDefault="0069449F" w:rsidP="0069449F">
      <w:pPr>
        <w:pStyle w:val="BodyText"/>
        <w:rPr>
          <w:lang w:eastAsia="en-US"/>
        </w:rPr>
      </w:pPr>
      <w:r>
        <w:rPr>
          <w:lang w:eastAsia="en-US"/>
        </w:rPr>
        <w:t>Melburnians averaged 1.2 billion litres of water per day this year – equal to the last five-year average. This is despite ongoing growth in population over the five-year period. While water consumption has been generally increasing over the past nine years, it is 14 per cent lower than in 1997.</w:t>
      </w:r>
    </w:p>
    <w:p w14:paraId="6C23232B" w14:textId="66B85238" w:rsidR="007F4000" w:rsidRPr="007B39DB" w:rsidRDefault="007F4000" w:rsidP="007B39DB">
      <w:pPr>
        <w:pStyle w:val="BodyText"/>
        <w:rPr>
          <w:rStyle w:val="Bold"/>
        </w:rPr>
      </w:pPr>
      <w:r w:rsidRPr="007B39DB">
        <w:rPr>
          <w:rStyle w:val="Bold"/>
        </w:rPr>
        <w:t>2020-21 retail water consumption</w:t>
      </w:r>
    </w:p>
    <w:p w14:paraId="485EE49C" w14:textId="5FA254AC" w:rsidR="007F4000" w:rsidRDefault="0026189E" w:rsidP="0026189E">
      <w:pPr>
        <w:rPr>
          <w:lang w:eastAsia="en-US"/>
        </w:rPr>
      </w:pPr>
      <w:r w:rsidRPr="0026189E">
        <w:rPr>
          <w:noProof/>
        </w:rPr>
        <w:drawing>
          <wp:inline distT="0" distB="0" distL="0" distR="0" wp14:anchorId="194CF338" wp14:editId="2D98F2AB">
            <wp:extent cx="1990800" cy="3060000"/>
            <wp:effectExtent l="0" t="0" r="0" b="7620"/>
            <wp:docPr id="11" name="Picture 11" descr="A graph showing retail water consumption for the year 2020-21. See data table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showing retail water consumption for the year 2020-21. See data table below.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90800" cy="3060000"/>
                    </a:xfrm>
                    <a:prstGeom prst="rect">
                      <a:avLst/>
                    </a:prstGeom>
                  </pic:spPr>
                </pic:pic>
              </a:graphicData>
            </a:graphic>
          </wp:inline>
        </w:drawing>
      </w:r>
    </w:p>
    <w:tbl>
      <w:tblPr>
        <w:tblStyle w:val="Style1"/>
        <w:tblW w:w="0" w:type="auto"/>
        <w:tblLook w:val="04A0" w:firstRow="1" w:lastRow="0" w:firstColumn="1" w:lastColumn="0" w:noHBand="0" w:noVBand="1"/>
      </w:tblPr>
      <w:tblGrid>
        <w:gridCol w:w="4111"/>
        <w:gridCol w:w="2693"/>
        <w:gridCol w:w="2827"/>
      </w:tblGrid>
      <w:tr w:rsidR="00C27D54" w14:paraId="04E0C7A5" w14:textId="77777777" w:rsidTr="002C1E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tcBorders>
            <w:vAlign w:val="bottom"/>
          </w:tcPr>
          <w:p w14:paraId="38B162AD" w14:textId="3E6167F6" w:rsidR="00C27D54" w:rsidRDefault="00C27D54" w:rsidP="00C27D54">
            <w:pPr>
              <w:pStyle w:val="TableBodyText"/>
            </w:pPr>
            <w:bookmarkStart w:id="121" w:name="ColumnTitle_5"/>
            <w:r>
              <w:t>Area</w:t>
            </w:r>
          </w:p>
        </w:tc>
        <w:tc>
          <w:tcPr>
            <w:tcW w:w="2693" w:type="dxa"/>
            <w:tcBorders>
              <w:top w:val="single" w:sz="4" w:space="0" w:color="auto"/>
            </w:tcBorders>
            <w:vAlign w:val="bottom"/>
          </w:tcPr>
          <w:p w14:paraId="082361AA" w14:textId="5725FF15" w:rsidR="00C27D54" w:rsidRDefault="00C27D54" w:rsidP="00C27D54">
            <w:pPr>
              <w:pStyle w:val="TableBodyText"/>
              <w:cnfStyle w:val="100000000000" w:firstRow="1" w:lastRow="0" w:firstColumn="0" w:lastColumn="0" w:oddVBand="0" w:evenVBand="0" w:oddHBand="0" w:evenHBand="0" w:firstRowFirstColumn="0" w:firstRowLastColumn="0" w:lastRowFirstColumn="0" w:lastRowLastColumn="0"/>
            </w:pPr>
            <w:r>
              <w:t>2020-21 Retail water consumption (litres)</w:t>
            </w:r>
          </w:p>
        </w:tc>
        <w:tc>
          <w:tcPr>
            <w:tcW w:w="2827" w:type="dxa"/>
            <w:tcBorders>
              <w:top w:val="single" w:sz="4" w:space="0" w:color="auto"/>
            </w:tcBorders>
            <w:vAlign w:val="bottom"/>
          </w:tcPr>
          <w:p w14:paraId="50666FED" w14:textId="4EB24C46" w:rsidR="00C27D54" w:rsidRDefault="00C27D54" w:rsidP="00C27D54">
            <w:pPr>
              <w:pStyle w:val="TableBodyText"/>
              <w:cnfStyle w:val="100000000000" w:firstRow="1" w:lastRow="0" w:firstColumn="0" w:lastColumn="0" w:oddVBand="0" w:evenVBand="0" w:oddHBand="0" w:evenHBand="0" w:firstRowFirstColumn="0" w:firstRowLastColumn="0" w:lastRowFirstColumn="0" w:lastRowLastColumn="0"/>
            </w:pPr>
            <w:r>
              <w:t>2020-21 Retail water consumption (percentage)</w:t>
            </w:r>
          </w:p>
        </w:tc>
      </w:tr>
      <w:bookmarkEnd w:id="121"/>
      <w:tr w:rsidR="00C27D54" w14:paraId="71543B70" w14:textId="77777777" w:rsidTr="00635B8E">
        <w:tc>
          <w:tcPr>
            <w:cnfStyle w:val="001000000000" w:firstRow="0" w:lastRow="0" w:firstColumn="1" w:lastColumn="0" w:oddVBand="0" w:evenVBand="0" w:oddHBand="0" w:evenHBand="0" w:firstRowFirstColumn="0" w:firstRowLastColumn="0" w:lastRowFirstColumn="0" w:lastRowLastColumn="0"/>
            <w:tcW w:w="4111" w:type="dxa"/>
            <w:vAlign w:val="top"/>
          </w:tcPr>
          <w:p w14:paraId="3E57B1AD" w14:textId="57D1B8BC" w:rsidR="00C27D54" w:rsidRDefault="0050166A" w:rsidP="00C27D54">
            <w:pPr>
              <w:pStyle w:val="TableBodyText"/>
            </w:pPr>
            <w:r>
              <w:t>Yarra Valley Water</w:t>
            </w:r>
          </w:p>
        </w:tc>
        <w:tc>
          <w:tcPr>
            <w:tcW w:w="2693" w:type="dxa"/>
            <w:vAlign w:val="top"/>
          </w:tcPr>
          <w:p w14:paraId="4547FE2F" w14:textId="313817FA" w:rsidR="00C27D54"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156.4 billion litres</w:t>
            </w:r>
          </w:p>
        </w:tc>
        <w:tc>
          <w:tcPr>
            <w:tcW w:w="2827" w:type="dxa"/>
            <w:vAlign w:val="top"/>
          </w:tcPr>
          <w:p w14:paraId="75EF1DB9" w14:textId="23D62C25" w:rsidR="00C27D54"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35.6%</w:t>
            </w:r>
          </w:p>
        </w:tc>
      </w:tr>
      <w:tr w:rsidR="00C27D54" w14:paraId="72E79266" w14:textId="77777777" w:rsidTr="00635B8E">
        <w:tc>
          <w:tcPr>
            <w:cnfStyle w:val="001000000000" w:firstRow="0" w:lastRow="0" w:firstColumn="1" w:lastColumn="0" w:oddVBand="0" w:evenVBand="0" w:oddHBand="0" w:evenHBand="0" w:firstRowFirstColumn="0" w:firstRowLastColumn="0" w:lastRowFirstColumn="0" w:lastRowLastColumn="0"/>
            <w:tcW w:w="4111" w:type="dxa"/>
            <w:vAlign w:val="top"/>
          </w:tcPr>
          <w:p w14:paraId="477933FE" w14:textId="0CBF6E25" w:rsidR="00C27D54" w:rsidRDefault="0050166A" w:rsidP="00C27D54">
            <w:pPr>
              <w:pStyle w:val="TableBodyText"/>
            </w:pPr>
            <w:r>
              <w:t>South East Water</w:t>
            </w:r>
          </w:p>
        </w:tc>
        <w:tc>
          <w:tcPr>
            <w:tcW w:w="2693" w:type="dxa"/>
            <w:vAlign w:val="top"/>
          </w:tcPr>
          <w:p w14:paraId="0FCC7E4E" w14:textId="415EA0A1" w:rsidR="00C27D54"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154.8 billion litres</w:t>
            </w:r>
          </w:p>
        </w:tc>
        <w:tc>
          <w:tcPr>
            <w:tcW w:w="2827" w:type="dxa"/>
            <w:vAlign w:val="top"/>
          </w:tcPr>
          <w:p w14:paraId="33162072" w14:textId="1ED0E4A2" w:rsidR="00C27D54"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35.3%</w:t>
            </w:r>
          </w:p>
        </w:tc>
      </w:tr>
      <w:tr w:rsidR="0050166A" w14:paraId="02D9EDE7" w14:textId="77777777" w:rsidTr="00635B8E">
        <w:tc>
          <w:tcPr>
            <w:cnfStyle w:val="001000000000" w:firstRow="0" w:lastRow="0" w:firstColumn="1" w:lastColumn="0" w:oddVBand="0" w:evenVBand="0" w:oddHBand="0" w:evenHBand="0" w:firstRowFirstColumn="0" w:firstRowLastColumn="0" w:lastRowFirstColumn="0" w:lastRowLastColumn="0"/>
            <w:tcW w:w="4111" w:type="dxa"/>
            <w:vAlign w:val="top"/>
          </w:tcPr>
          <w:p w14:paraId="4FE4DC25" w14:textId="3D9EA85A" w:rsidR="0050166A" w:rsidRDefault="0050166A" w:rsidP="00C27D54">
            <w:pPr>
              <w:pStyle w:val="TableBodyText"/>
            </w:pPr>
            <w:r>
              <w:t>City West Water</w:t>
            </w:r>
          </w:p>
        </w:tc>
        <w:tc>
          <w:tcPr>
            <w:tcW w:w="2693" w:type="dxa"/>
            <w:vAlign w:val="top"/>
          </w:tcPr>
          <w:p w14:paraId="19DE6630" w14:textId="462B33B9"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106.3 billion litres</w:t>
            </w:r>
          </w:p>
        </w:tc>
        <w:tc>
          <w:tcPr>
            <w:tcW w:w="2827" w:type="dxa"/>
            <w:vAlign w:val="top"/>
          </w:tcPr>
          <w:p w14:paraId="040304C0" w14:textId="4FB969A6"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24.2%</w:t>
            </w:r>
          </w:p>
        </w:tc>
      </w:tr>
      <w:tr w:rsidR="0050166A" w14:paraId="67FD2F0F" w14:textId="77777777" w:rsidTr="00635B8E">
        <w:tc>
          <w:tcPr>
            <w:cnfStyle w:val="001000000000" w:firstRow="0" w:lastRow="0" w:firstColumn="1" w:lastColumn="0" w:oddVBand="0" w:evenVBand="0" w:oddHBand="0" w:evenHBand="0" w:firstRowFirstColumn="0" w:firstRowLastColumn="0" w:lastRowFirstColumn="0" w:lastRowLastColumn="0"/>
            <w:tcW w:w="4111" w:type="dxa"/>
            <w:vAlign w:val="top"/>
          </w:tcPr>
          <w:p w14:paraId="54003F57" w14:textId="125207C6" w:rsidR="0050166A" w:rsidRDefault="0050166A" w:rsidP="00C27D54">
            <w:pPr>
              <w:pStyle w:val="TableBodyText"/>
            </w:pPr>
            <w:r>
              <w:t>Western Water</w:t>
            </w:r>
          </w:p>
        </w:tc>
        <w:tc>
          <w:tcPr>
            <w:tcW w:w="2693" w:type="dxa"/>
            <w:vAlign w:val="top"/>
          </w:tcPr>
          <w:p w14:paraId="288AD50F" w14:textId="54789E66"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13.9 billion litres</w:t>
            </w:r>
          </w:p>
        </w:tc>
        <w:tc>
          <w:tcPr>
            <w:tcW w:w="2827" w:type="dxa"/>
            <w:vAlign w:val="top"/>
          </w:tcPr>
          <w:p w14:paraId="711C5BDD" w14:textId="159B976A"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3.2%</w:t>
            </w:r>
          </w:p>
        </w:tc>
      </w:tr>
      <w:tr w:rsidR="0050166A" w14:paraId="4B7742F4" w14:textId="77777777" w:rsidTr="00635B8E">
        <w:tc>
          <w:tcPr>
            <w:cnfStyle w:val="001000000000" w:firstRow="0" w:lastRow="0" w:firstColumn="1" w:lastColumn="0" w:oddVBand="0" w:evenVBand="0" w:oddHBand="0" w:evenHBand="0" w:firstRowFirstColumn="0" w:firstRowLastColumn="0" w:lastRowFirstColumn="0" w:lastRowLastColumn="0"/>
            <w:tcW w:w="4111" w:type="dxa"/>
            <w:vAlign w:val="top"/>
          </w:tcPr>
          <w:p w14:paraId="16901E47" w14:textId="1E458CEA" w:rsidR="0050166A" w:rsidRDefault="0050166A" w:rsidP="00C27D54">
            <w:pPr>
              <w:pStyle w:val="TableBodyText"/>
            </w:pPr>
            <w:r>
              <w:t>Barwon Water</w:t>
            </w:r>
          </w:p>
        </w:tc>
        <w:tc>
          <w:tcPr>
            <w:tcW w:w="2693" w:type="dxa"/>
            <w:vAlign w:val="top"/>
          </w:tcPr>
          <w:p w14:paraId="31E63939" w14:textId="500622A4"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8.7 billion litres</w:t>
            </w:r>
          </w:p>
        </w:tc>
        <w:tc>
          <w:tcPr>
            <w:tcW w:w="2827" w:type="dxa"/>
            <w:vAlign w:val="top"/>
          </w:tcPr>
          <w:p w14:paraId="682E18B8" w14:textId="50945783"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1.0%</w:t>
            </w:r>
          </w:p>
        </w:tc>
      </w:tr>
      <w:tr w:rsidR="0050166A" w14:paraId="0B73CFDD" w14:textId="77777777" w:rsidTr="00635B8E">
        <w:tc>
          <w:tcPr>
            <w:cnfStyle w:val="001000000000" w:firstRow="0" w:lastRow="0" w:firstColumn="1" w:lastColumn="0" w:oddVBand="0" w:evenVBand="0" w:oddHBand="0" w:evenHBand="0" w:firstRowFirstColumn="0" w:firstRowLastColumn="0" w:lastRowFirstColumn="0" w:lastRowLastColumn="0"/>
            <w:tcW w:w="4111" w:type="dxa"/>
            <w:vAlign w:val="top"/>
          </w:tcPr>
          <w:p w14:paraId="5D203A91" w14:textId="6E9E4A08" w:rsidR="0050166A" w:rsidRDefault="0050166A" w:rsidP="00C27D54">
            <w:pPr>
              <w:pStyle w:val="TableBodyText"/>
            </w:pPr>
            <w:r>
              <w:t>Gippsland Water</w:t>
            </w:r>
          </w:p>
        </w:tc>
        <w:tc>
          <w:tcPr>
            <w:tcW w:w="2693" w:type="dxa"/>
            <w:vAlign w:val="top"/>
          </w:tcPr>
          <w:p w14:paraId="3873C7DC" w14:textId="14E07F23"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2.0 billion litres</w:t>
            </w:r>
          </w:p>
        </w:tc>
        <w:tc>
          <w:tcPr>
            <w:tcW w:w="2827" w:type="dxa"/>
            <w:vAlign w:val="top"/>
          </w:tcPr>
          <w:p w14:paraId="4CC70E13" w14:textId="005B8D23"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0.4%</w:t>
            </w:r>
          </w:p>
        </w:tc>
      </w:tr>
      <w:tr w:rsidR="0050166A" w14:paraId="594DF349" w14:textId="77777777" w:rsidTr="0050166A">
        <w:tc>
          <w:tcPr>
            <w:cnfStyle w:val="001000000000" w:firstRow="0" w:lastRow="0" w:firstColumn="1" w:lastColumn="0" w:oddVBand="0" w:evenVBand="0" w:oddHBand="0" w:evenHBand="0" w:firstRowFirstColumn="0" w:firstRowLastColumn="0" w:lastRowFirstColumn="0" w:lastRowLastColumn="0"/>
            <w:tcW w:w="4111" w:type="dxa"/>
            <w:vAlign w:val="top"/>
          </w:tcPr>
          <w:p w14:paraId="033039D4" w14:textId="11C82FA8" w:rsidR="0050166A" w:rsidRDefault="0050166A" w:rsidP="00C27D54">
            <w:pPr>
              <w:pStyle w:val="TableBodyText"/>
            </w:pPr>
            <w:r>
              <w:t>South Gippsland Water</w:t>
            </w:r>
          </w:p>
        </w:tc>
        <w:tc>
          <w:tcPr>
            <w:tcW w:w="2693" w:type="dxa"/>
            <w:vAlign w:val="top"/>
          </w:tcPr>
          <w:p w14:paraId="6C27259F" w14:textId="1B5C6D7A"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0.7 billion litres</w:t>
            </w:r>
          </w:p>
        </w:tc>
        <w:tc>
          <w:tcPr>
            <w:tcW w:w="2827" w:type="dxa"/>
            <w:vAlign w:val="top"/>
          </w:tcPr>
          <w:p w14:paraId="34DB3A07" w14:textId="5308BABC"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0.2%</w:t>
            </w:r>
          </w:p>
        </w:tc>
      </w:tr>
      <w:tr w:rsidR="0050166A" w14:paraId="37F8D875" w14:textId="77777777" w:rsidTr="0050166A">
        <w:tc>
          <w:tcPr>
            <w:cnfStyle w:val="001000000000" w:firstRow="0" w:lastRow="0" w:firstColumn="1" w:lastColumn="0" w:oddVBand="0" w:evenVBand="0" w:oddHBand="0" w:evenHBand="0" w:firstRowFirstColumn="0" w:firstRowLastColumn="0" w:lastRowFirstColumn="0" w:lastRowLastColumn="0"/>
            <w:tcW w:w="4111" w:type="dxa"/>
            <w:tcBorders>
              <w:bottom w:val="single" w:sz="4" w:space="0" w:color="auto"/>
            </w:tcBorders>
            <w:vAlign w:val="top"/>
          </w:tcPr>
          <w:p w14:paraId="0BEF114E" w14:textId="16F5566E" w:rsidR="0050166A" w:rsidRDefault="0050166A" w:rsidP="00C27D54">
            <w:pPr>
              <w:pStyle w:val="TableBodyText"/>
            </w:pPr>
            <w:r>
              <w:t>Westernport Water</w:t>
            </w:r>
          </w:p>
        </w:tc>
        <w:tc>
          <w:tcPr>
            <w:tcW w:w="2693" w:type="dxa"/>
            <w:tcBorders>
              <w:bottom w:val="single" w:sz="4" w:space="0" w:color="auto"/>
            </w:tcBorders>
            <w:vAlign w:val="top"/>
          </w:tcPr>
          <w:p w14:paraId="6D778199" w14:textId="6E3150C3"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0.3 billion litres</w:t>
            </w:r>
          </w:p>
        </w:tc>
        <w:tc>
          <w:tcPr>
            <w:tcW w:w="2827" w:type="dxa"/>
            <w:tcBorders>
              <w:bottom w:val="single" w:sz="4" w:space="0" w:color="auto"/>
            </w:tcBorders>
            <w:vAlign w:val="top"/>
          </w:tcPr>
          <w:p w14:paraId="1CB3C77D" w14:textId="06D259EB" w:rsidR="0050166A" w:rsidRDefault="0050166A" w:rsidP="00C27D54">
            <w:pPr>
              <w:pStyle w:val="TableBodyText"/>
              <w:cnfStyle w:val="000000000000" w:firstRow="0" w:lastRow="0" w:firstColumn="0" w:lastColumn="0" w:oddVBand="0" w:evenVBand="0" w:oddHBand="0" w:evenHBand="0" w:firstRowFirstColumn="0" w:firstRowLastColumn="0" w:lastRowFirstColumn="0" w:lastRowLastColumn="0"/>
            </w:pPr>
            <w:r>
              <w:t>0.1%</w:t>
            </w:r>
          </w:p>
        </w:tc>
      </w:tr>
    </w:tbl>
    <w:p w14:paraId="5BE0FB5B" w14:textId="4B13C07C" w:rsidR="007F4000" w:rsidRPr="0057614A" w:rsidRDefault="004C0CAC" w:rsidP="0057614A">
      <w:pPr>
        <w:pStyle w:val="BodyText"/>
        <w:rPr>
          <w:rStyle w:val="Bold"/>
        </w:rPr>
      </w:pPr>
      <w:r w:rsidRPr="0057614A">
        <w:rPr>
          <w:rStyle w:val="Bold"/>
        </w:rPr>
        <w:lastRenderedPageBreak/>
        <w:t>Average daily total water use for Melbourne including non-residential</w:t>
      </w:r>
    </w:p>
    <w:p w14:paraId="48253D43" w14:textId="76D16369" w:rsidR="004C0CAC" w:rsidRDefault="0057614A" w:rsidP="00DE5158">
      <w:pPr>
        <w:spacing w:after="120"/>
      </w:pPr>
      <w:r>
        <w:rPr>
          <w:noProof/>
        </w:rPr>
        <w:drawing>
          <wp:inline distT="0" distB="0" distL="0" distR="0" wp14:anchorId="39CF8ED5" wp14:editId="20CA4D0A">
            <wp:extent cx="5457600" cy="1443600"/>
            <wp:effectExtent l="0" t="0" r="0" b="4445"/>
            <wp:docPr id="12" name="Picture 12" descr="A graph showing the average daily water use for Melbourne including non-residential.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showing the average daily water use for Melbourne including non-residential. See data table below."/>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57600" cy="1443600"/>
                    </a:xfrm>
                    <a:prstGeom prst="rect">
                      <a:avLst/>
                    </a:prstGeom>
                  </pic:spPr>
                </pic:pic>
              </a:graphicData>
            </a:graphic>
          </wp:inline>
        </w:drawing>
      </w:r>
    </w:p>
    <w:tbl>
      <w:tblPr>
        <w:tblStyle w:val="Style1"/>
        <w:tblW w:w="0" w:type="auto"/>
        <w:tblLook w:val="04A0" w:firstRow="1" w:lastRow="0" w:firstColumn="1" w:lastColumn="0" w:noHBand="0" w:noVBand="1"/>
      </w:tblPr>
      <w:tblGrid>
        <w:gridCol w:w="4815"/>
        <w:gridCol w:w="4816"/>
      </w:tblGrid>
      <w:tr w:rsidR="0057614A" w14:paraId="2346F652" w14:textId="77777777" w:rsidTr="00CC42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tcBorders>
            <w:vAlign w:val="bottom"/>
          </w:tcPr>
          <w:p w14:paraId="305D2C79" w14:textId="307B2AEB" w:rsidR="0057614A" w:rsidRDefault="0057614A" w:rsidP="0057614A">
            <w:pPr>
              <w:pStyle w:val="TableBodyText"/>
            </w:pPr>
            <w:bookmarkStart w:id="122" w:name="ColumnTitle_6"/>
            <w:r>
              <w:t>Period</w:t>
            </w:r>
          </w:p>
        </w:tc>
        <w:tc>
          <w:tcPr>
            <w:tcW w:w="4816" w:type="dxa"/>
            <w:tcBorders>
              <w:top w:val="single" w:sz="4" w:space="0" w:color="auto"/>
            </w:tcBorders>
            <w:vAlign w:val="bottom"/>
          </w:tcPr>
          <w:p w14:paraId="017FEA2A" w14:textId="58504ED6" w:rsidR="0057614A" w:rsidRDefault="0057614A" w:rsidP="0057614A">
            <w:pPr>
              <w:pStyle w:val="TableBodyText"/>
              <w:cnfStyle w:val="100000000000" w:firstRow="1" w:lastRow="0" w:firstColumn="0" w:lastColumn="0" w:oddVBand="0" w:evenVBand="0" w:oddHBand="0" w:evenHBand="0" w:firstRowFirstColumn="0" w:firstRowLastColumn="0" w:lastRowFirstColumn="0" w:lastRowLastColumn="0"/>
            </w:pPr>
            <w:r>
              <w:t xml:space="preserve">Litres </w:t>
            </w:r>
            <w:r w:rsidR="00DE5158">
              <w:t>P</w:t>
            </w:r>
            <w:r>
              <w:t xml:space="preserve">er </w:t>
            </w:r>
            <w:r w:rsidR="00DE5158">
              <w:t>D</w:t>
            </w:r>
            <w:r>
              <w:t>ay</w:t>
            </w:r>
          </w:p>
        </w:tc>
      </w:tr>
      <w:bookmarkEnd w:id="122"/>
      <w:tr w:rsidR="0057614A" w14:paraId="2160CF47" w14:textId="77777777" w:rsidTr="0057614A">
        <w:tc>
          <w:tcPr>
            <w:cnfStyle w:val="001000000000" w:firstRow="0" w:lastRow="0" w:firstColumn="1" w:lastColumn="0" w:oddVBand="0" w:evenVBand="0" w:oddHBand="0" w:evenHBand="0" w:firstRowFirstColumn="0" w:firstRowLastColumn="0" w:lastRowFirstColumn="0" w:lastRowLastColumn="0"/>
            <w:tcW w:w="4815" w:type="dxa"/>
            <w:vAlign w:val="top"/>
          </w:tcPr>
          <w:p w14:paraId="74646FF1" w14:textId="4930CF7A" w:rsidR="0057614A" w:rsidRDefault="0057614A" w:rsidP="0057614A">
            <w:pPr>
              <w:pStyle w:val="TableBodyText"/>
            </w:pPr>
            <w:r>
              <w:t>Average daily water use 2020/21</w:t>
            </w:r>
          </w:p>
        </w:tc>
        <w:tc>
          <w:tcPr>
            <w:tcW w:w="4816" w:type="dxa"/>
            <w:vAlign w:val="top"/>
          </w:tcPr>
          <w:p w14:paraId="4C27792F" w14:textId="38828A37" w:rsidR="0057614A" w:rsidRDefault="0057614A" w:rsidP="0057614A">
            <w:pPr>
              <w:pStyle w:val="TableBodyText"/>
              <w:cnfStyle w:val="000000000000" w:firstRow="0" w:lastRow="0" w:firstColumn="0" w:lastColumn="0" w:oddVBand="0" w:evenVBand="0" w:oddHBand="0" w:evenHBand="0" w:firstRowFirstColumn="0" w:firstRowLastColumn="0" w:lastRowFirstColumn="0" w:lastRowLastColumn="0"/>
            </w:pPr>
            <w:r>
              <w:t>1.2 billion litres per day</w:t>
            </w:r>
          </w:p>
        </w:tc>
      </w:tr>
      <w:tr w:rsidR="0057614A" w14:paraId="6839137E" w14:textId="77777777" w:rsidTr="002C1E65">
        <w:tc>
          <w:tcPr>
            <w:cnfStyle w:val="001000000000" w:firstRow="0" w:lastRow="0" w:firstColumn="1" w:lastColumn="0" w:oddVBand="0" w:evenVBand="0" w:oddHBand="0" w:evenHBand="0" w:firstRowFirstColumn="0" w:firstRowLastColumn="0" w:lastRowFirstColumn="0" w:lastRowLastColumn="0"/>
            <w:tcW w:w="4815" w:type="dxa"/>
            <w:vAlign w:val="top"/>
          </w:tcPr>
          <w:p w14:paraId="3EB6EED2" w14:textId="2CDB782B" w:rsidR="0057614A" w:rsidRDefault="0057614A" w:rsidP="0057614A">
            <w:pPr>
              <w:pStyle w:val="TableBodyText"/>
            </w:pPr>
            <w:r>
              <w:t>Average daily water use 2015/16 – 2019/20</w:t>
            </w:r>
          </w:p>
        </w:tc>
        <w:tc>
          <w:tcPr>
            <w:tcW w:w="4816" w:type="dxa"/>
            <w:vAlign w:val="top"/>
          </w:tcPr>
          <w:p w14:paraId="0AF4B10E" w14:textId="1689B3CD" w:rsidR="0057614A" w:rsidRDefault="0057614A" w:rsidP="0057614A">
            <w:pPr>
              <w:pStyle w:val="TableBodyText"/>
              <w:cnfStyle w:val="000000000000" w:firstRow="0" w:lastRow="0" w:firstColumn="0" w:lastColumn="0" w:oddVBand="0" w:evenVBand="0" w:oddHBand="0" w:evenHBand="0" w:firstRowFirstColumn="0" w:firstRowLastColumn="0" w:lastRowFirstColumn="0" w:lastRowLastColumn="0"/>
            </w:pPr>
            <w:r>
              <w:t>1.2 billion litres per day</w:t>
            </w:r>
          </w:p>
        </w:tc>
      </w:tr>
      <w:tr w:rsidR="0057614A" w14:paraId="43AA9FCC" w14:textId="77777777" w:rsidTr="002C1E65">
        <w:tc>
          <w:tcPr>
            <w:cnfStyle w:val="001000000000" w:firstRow="0" w:lastRow="0" w:firstColumn="1" w:lastColumn="0" w:oddVBand="0" w:evenVBand="0" w:oddHBand="0" w:evenHBand="0" w:firstRowFirstColumn="0" w:firstRowLastColumn="0" w:lastRowFirstColumn="0" w:lastRowLastColumn="0"/>
            <w:tcW w:w="4815" w:type="dxa"/>
            <w:tcBorders>
              <w:bottom w:val="single" w:sz="4" w:space="0" w:color="auto"/>
            </w:tcBorders>
            <w:vAlign w:val="top"/>
          </w:tcPr>
          <w:p w14:paraId="4B1768F9" w14:textId="082AA208" w:rsidR="0057614A" w:rsidRDefault="0057614A" w:rsidP="0057614A">
            <w:pPr>
              <w:pStyle w:val="TableBodyText"/>
            </w:pPr>
            <w:r>
              <w:t>Average daily water use 1990/21 – 1998/99</w:t>
            </w:r>
          </w:p>
        </w:tc>
        <w:tc>
          <w:tcPr>
            <w:tcW w:w="4816" w:type="dxa"/>
            <w:tcBorders>
              <w:bottom w:val="single" w:sz="4" w:space="0" w:color="auto"/>
            </w:tcBorders>
            <w:vAlign w:val="top"/>
          </w:tcPr>
          <w:p w14:paraId="5C22F1FF" w14:textId="19F12547" w:rsidR="0057614A" w:rsidRDefault="0057614A" w:rsidP="0057614A">
            <w:pPr>
              <w:pStyle w:val="TableBodyText"/>
              <w:cnfStyle w:val="000000000000" w:firstRow="0" w:lastRow="0" w:firstColumn="0" w:lastColumn="0" w:oddVBand="0" w:evenVBand="0" w:oddHBand="0" w:evenHBand="0" w:firstRowFirstColumn="0" w:firstRowLastColumn="0" w:lastRowFirstColumn="0" w:lastRowLastColumn="0"/>
            </w:pPr>
            <w:r>
              <w:t>1.3 billion litres per day</w:t>
            </w:r>
          </w:p>
        </w:tc>
      </w:tr>
    </w:tbl>
    <w:p w14:paraId="15323F0B" w14:textId="59A49AE8" w:rsidR="007F4000" w:rsidRPr="0057614A" w:rsidRDefault="004C0CAC" w:rsidP="0057614A">
      <w:pPr>
        <w:pStyle w:val="BodyText"/>
        <w:rPr>
          <w:rStyle w:val="Bold"/>
        </w:rPr>
      </w:pPr>
      <w:r w:rsidRPr="0057614A">
        <w:rPr>
          <w:rStyle w:val="Bold"/>
        </w:rPr>
        <w:t>Long-term total consumption including non-residential by financial year</w:t>
      </w:r>
    </w:p>
    <w:p w14:paraId="0CDF066F" w14:textId="58FF0532" w:rsidR="004C0CAC" w:rsidRDefault="00671227" w:rsidP="00671227">
      <w:r>
        <w:rPr>
          <w:noProof/>
        </w:rPr>
        <w:drawing>
          <wp:inline distT="0" distB="0" distL="0" distR="0" wp14:anchorId="43B396F7" wp14:editId="7D8359CA">
            <wp:extent cx="5954400" cy="1458000"/>
            <wp:effectExtent l="0" t="0" r="8255" b="8890"/>
            <wp:docPr id="13" name="Picture 13" descr="A chart showing Long term total consumption including non-residential by financial year for the period 1950/51 through to 2020/21. It shows an increase in consumption of 169 gigalitres in 1950/51 for a population of 1.32 million to 520 gigalitres in 1997/98 for a population of 3.25 million. Since then there has been a decline in consumption dropping back to 351 gigalitres in 2010/11 for a population of 4.05 million and then a gradual increase back to 439 gigalitres in 2020/21 for a population of 5.0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hart showing Long term total consumption including non-residential by financial year for the period 1950/51 through to 2020/21. It shows an increase in consumption of 169 gigalitres in 1950/51 for a population of 1.32 million to 520 gigalitres in 1997/98 for a population of 3.25 million. Since then there has been a decline in consumption dropping back to 351 gigalitres in 2010/11 for a population of 4.05 million and then a gradual increase back to 439 gigalitres in 2020/21 for a population of 5.00 million."/>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54400" cy="1458000"/>
                    </a:xfrm>
                    <a:prstGeom prst="rect">
                      <a:avLst/>
                    </a:prstGeom>
                  </pic:spPr>
                </pic:pic>
              </a:graphicData>
            </a:graphic>
          </wp:inline>
        </w:drawing>
      </w:r>
    </w:p>
    <w:p w14:paraId="6E52349D" w14:textId="77777777" w:rsidR="004C0CAC" w:rsidRDefault="004C0CAC" w:rsidP="004C0CAC">
      <w:pPr>
        <w:pStyle w:val="Heading3"/>
      </w:pPr>
      <w:bookmarkStart w:id="123" w:name="_Toc89722966"/>
      <w:bookmarkStart w:id="124" w:name="_Ref89809858"/>
      <w:bookmarkStart w:id="125" w:name="_Ref89811341"/>
      <w:bookmarkStart w:id="126" w:name="_Toc90325909"/>
      <w:bookmarkStart w:id="127" w:name="_Toc93659315"/>
      <w:r>
        <w:t>Driving water conservation</w:t>
      </w:r>
      <w:bookmarkEnd w:id="123"/>
      <w:bookmarkEnd w:id="124"/>
      <w:bookmarkEnd w:id="125"/>
      <w:bookmarkEnd w:id="126"/>
      <w:bookmarkEnd w:id="127"/>
    </w:p>
    <w:p w14:paraId="282C6F29" w14:textId="03D75583" w:rsidR="004C0CAC" w:rsidRDefault="004C0CAC" w:rsidP="004C0CAC">
      <w:pPr>
        <w:pStyle w:val="BodyText"/>
        <w:rPr>
          <w:lang w:eastAsia="en-US"/>
        </w:rPr>
      </w:pPr>
      <w:r>
        <w:rPr>
          <w:lang w:eastAsia="en-US"/>
        </w:rPr>
        <w:t>With Melbourne’s population growing and climate change making rainfall less reliable, we all need to do our part to secure Melbourne’s water supply now and into the future.</w:t>
      </w:r>
    </w:p>
    <w:p w14:paraId="7E983A0C" w14:textId="40BA03C1" w:rsidR="004C0CAC" w:rsidRDefault="004C0CAC" w:rsidP="004C0CAC">
      <w:pPr>
        <w:pStyle w:val="BodyText"/>
        <w:rPr>
          <w:lang w:eastAsia="en-US"/>
        </w:rPr>
      </w:pPr>
      <w:r>
        <w:rPr>
          <w:lang w:eastAsia="en-US"/>
        </w:rPr>
        <w:t>Melbourne Water works closely with Melbourne’s retail water companies to promote efficient water use through public education campaigns, including the Target 155 program that encourages each household to limit water consumption to 155 litres per person, per day. Our broad communications focus is on educating the community about all aspects of the water cycle to improve water-saving habits. The key insight shaping this work is that higher water literacy is linked to higher uptake of water-saving behaviours. Water literacy is knowledge about all aspects of the water cycle including rainfall and runoff, rainfall and non-rainfall-based water supplies, stormwater management and sewage management.</w:t>
      </w:r>
    </w:p>
    <w:p w14:paraId="1AD7ABC5" w14:textId="612F05F0" w:rsidR="004C0CAC" w:rsidRDefault="004C0CAC" w:rsidP="004C0CAC">
      <w:pPr>
        <w:pStyle w:val="BodyText"/>
        <w:rPr>
          <w:lang w:eastAsia="en-US"/>
        </w:rPr>
      </w:pPr>
      <w:r>
        <w:rPr>
          <w:lang w:eastAsia="en-US"/>
        </w:rPr>
        <w:t>Our community awareness programs have contributed to Melburnians using much less water per person than they did 20 years ago, down from 247 litres per person per day in 2000-01 to 160 litres in 2020-21.</w:t>
      </w:r>
    </w:p>
    <w:p w14:paraId="1C5CE2DC" w14:textId="77777777" w:rsidR="004C0CAC" w:rsidRDefault="004C0CAC" w:rsidP="00554ADD">
      <w:pPr>
        <w:pStyle w:val="Heading3"/>
      </w:pPr>
      <w:bookmarkStart w:id="128" w:name="_Toc89722967"/>
      <w:bookmarkStart w:id="129" w:name="_Toc90325910"/>
      <w:bookmarkStart w:id="130" w:name="_Toc93659316"/>
      <w:r>
        <w:lastRenderedPageBreak/>
        <w:t>Ensuring our water quality</w:t>
      </w:r>
      <w:bookmarkEnd w:id="128"/>
      <w:bookmarkEnd w:id="129"/>
      <w:bookmarkEnd w:id="130"/>
    </w:p>
    <w:p w14:paraId="386F4522" w14:textId="7278E692" w:rsidR="004C0CAC" w:rsidRDefault="004C0CAC" w:rsidP="00554ADD">
      <w:pPr>
        <w:pStyle w:val="BodyText"/>
        <w:keepNext/>
        <w:rPr>
          <w:lang w:eastAsia="en-US"/>
        </w:rPr>
      </w:pPr>
      <w:r>
        <w:rPr>
          <w:lang w:eastAsia="en-US"/>
        </w:rPr>
        <w:t xml:space="preserve">Our </w:t>
      </w:r>
      <w:r w:rsidRPr="004C0CAC">
        <w:rPr>
          <w:rStyle w:val="ItalicText"/>
          <w:lang w:eastAsia="en-US"/>
        </w:rPr>
        <w:t>Drinking Water Quality Strategy</w:t>
      </w:r>
      <w:r>
        <w:rPr>
          <w:lang w:eastAsia="en-US"/>
        </w:rPr>
        <w:t xml:space="preserve"> guides Melbourne Water’s ongoing delivery of safe and secure drinking water.</w:t>
      </w:r>
    </w:p>
    <w:p w14:paraId="6403BB33" w14:textId="32088222" w:rsidR="004C0CAC" w:rsidRDefault="004C0CAC" w:rsidP="00554ADD">
      <w:pPr>
        <w:pStyle w:val="BodyText"/>
        <w:keepLines/>
        <w:rPr>
          <w:lang w:eastAsia="en-US"/>
        </w:rPr>
      </w:pPr>
      <w:r>
        <w:rPr>
          <w:lang w:eastAsia="en-US"/>
        </w:rPr>
        <w:t>Bushfires have long been recognised as a key risk for the water supply system in Melbourne. The work guides Melbourne Water to manage plausible catastrophic scenarios in which a bushfire compromises water quality and/or infrastructure in one or more water supply reservoirs, especially given the protected, forested water supply catchments which enable us to supply safe, affordable drinking water to the majority of Melbourne without the need for filtration treatment. In 2020-21 we delivered an assessment of the resilience of our water supply system to the potential impacts of future bushfires on water quality, identifying potential investment pathways to ensure strategic resilience is maintained over the short, medium and long term.</w:t>
      </w:r>
    </w:p>
    <w:p w14:paraId="545BA376" w14:textId="7F23E5C5" w:rsidR="00730714" w:rsidRDefault="00730714" w:rsidP="00730714">
      <w:pPr>
        <w:pStyle w:val="BodyText"/>
        <w:rPr>
          <w:lang w:eastAsia="en-US"/>
        </w:rPr>
      </w:pPr>
      <w:r>
        <w:rPr>
          <w:lang w:eastAsia="en-US"/>
        </w:rPr>
        <w:t>To achieve the strict drinking water quality targets for public health protection, we treat drinking water at 16 plants across Melbourne’s water system, including the Victorian Desalination Plant. During 2020-21, we continued planning and design work for:</w:t>
      </w:r>
    </w:p>
    <w:p w14:paraId="5FB85FB9" w14:textId="6BF8C82A" w:rsidR="00730714" w:rsidRDefault="00730714" w:rsidP="00C778D6">
      <w:pPr>
        <w:pStyle w:val="ListBullet"/>
        <w:rPr>
          <w:lang w:eastAsia="en-US"/>
        </w:rPr>
      </w:pPr>
      <w:r>
        <w:rPr>
          <w:lang w:eastAsia="en-US"/>
        </w:rPr>
        <w:t>the new Mount Evelyn water treatment plant. This new plant will enable continuity of primary disinfection for water supplied from the Silvan Reservoir during future planned and unplanned outages of the existing disinfection plant</w:t>
      </w:r>
    </w:p>
    <w:p w14:paraId="0EFF2A39" w14:textId="675C3F65" w:rsidR="00730714" w:rsidRDefault="00730714" w:rsidP="00C778D6">
      <w:pPr>
        <w:pStyle w:val="ListBullet"/>
        <w:rPr>
          <w:lang w:eastAsia="en-US"/>
        </w:rPr>
      </w:pPr>
      <w:r>
        <w:rPr>
          <w:lang w:eastAsia="en-US"/>
        </w:rPr>
        <w:t>a new ultraviolet treatment facility at the Winneke water treatment plant, in line with our preventive approach to risk management.</w:t>
      </w:r>
    </w:p>
    <w:p w14:paraId="6E0386B3" w14:textId="77777777" w:rsidR="00730714" w:rsidRDefault="00730714" w:rsidP="00730714">
      <w:pPr>
        <w:pStyle w:val="Heading3"/>
      </w:pPr>
      <w:bookmarkStart w:id="131" w:name="_Toc89722968"/>
      <w:bookmarkStart w:id="132" w:name="_Ref89805368"/>
      <w:bookmarkStart w:id="133" w:name="_Toc90325911"/>
      <w:bookmarkStart w:id="134" w:name="_Toc93659317"/>
      <w:r>
        <w:t>Water quality compliance</w:t>
      </w:r>
      <w:bookmarkEnd w:id="131"/>
      <w:bookmarkEnd w:id="132"/>
      <w:bookmarkEnd w:id="133"/>
      <w:bookmarkEnd w:id="134"/>
    </w:p>
    <w:p w14:paraId="71C3F0A5" w14:textId="3780B246" w:rsidR="00730714" w:rsidRDefault="00730714" w:rsidP="00730714">
      <w:pPr>
        <w:pStyle w:val="BodyText"/>
        <w:rPr>
          <w:lang w:eastAsia="en-US"/>
        </w:rPr>
      </w:pPr>
      <w:r>
        <w:rPr>
          <w:lang w:eastAsia="en-US"/>
        </w:rPr>
        <w:t xml:space="preserve">As a result of a severe storm on Thursday, 27 August 2020, power outages caused disruption to Melbourne Water's Silvan water treatment plant power supply, causing some un-disinfected water from Silvan Reservoir to enter the water supply system. Boil Water Advisory Notifications were issued by Yarra Valley Water and South East Water for potentially affected suburbs. The Melbourne Water Incident Management Team worked closely with Yarra Valley Water, South East Water, </w:t>
      </w:r>
      <w:r w:rsidR="0030196D">
        <w:rPr>
          <w:lang w:eastAsia="en-US"/>
        </w:rPr>
        <w:t>Department of Environment, Land, Water and Planning</w:t>
      </w:r>
      <w:r>
        <w:rPr>
          <w:lang w:eastAsia="en-US"/>
        </w:rPr>
        <w:t xml:space="preserve"> and the Department of Health on a coordinated response to the incident.</w:t>
      </w:r>
    </w:p>
    <w:p w14:paraId="36492224" w14:textId="77777777" w:rsidR="00730714" w:rsidRDefault="00730714" w:rsidP="00730714">
      <w:pPr>
        <w:pStyle w:val="BodyText"/>
        <w:rPr>
          <w:lang w:eastAsia="en-US"/>
        </w:rPr>
      </w:pPr>
      <w:r>
        <w:rPr>
          <w:lang w:eastAsia="en-US"/>
        </w:rPr>
        <w:t>Melbourne Water takes its responsibility for public health extremely seriously, and an extensive post-incident investigation was completed to ensure the root cause was established, all opportunities for improvement were identified and actions undertaken to rectify them. We also contributed to a joint water corporation debriefing process which identified common learnings and a collective industry improvement plan.</w:t>
      </w:r>
    </w:p>
    <w:p w14:paraId="0B7516C4" w14:textId="46D405AF" w:rsidR="004C0CAC" w:rsidRDefault="00730714" w:rsidP="00730714">
      <w:pPr>
        <w:pStyle w:val="BodyText"/>
        <w:rPr>
          <w:lang w:eastAsia="en-US"/>
        </w:rPr>
      </w:pPr>
      <w:r>
        <w:rPr>
          <w:lang w:eastAsia="en-US"/>
        </w:rPr>
        <w:t>There were no further similarly significant incidents within our treatment plants or distribution network with potential public health impacts in 2020-21.</w:t>
      </w:r>
    </w:p>
    <w:p w14:paraId="6ACE79F5" w14:textId="77777777" w:rsidR="00730714" w:rsidRDefault="00730714" w:rsidP="00730714">
      <w:pPr>
        <w:pStyle w:val="Heading3"/>
      </w:pPr>
      <w:bookmarkStart w:id="135" w:name="_Toc89722969"/>
      <w:bookmarkStart w:id="136" w:name="_Toc90325912"/>
      <w:bookmarkStart w:id="137" w:name="_Toc93659318"/>
      <w:r>
        <w:t>Recycled water</w:t>
      </w:r>
      <w:bookmarkEnd w:id="135"/>
      <w:bookmarkEnd w:id="136"/>
      <w:bookmarkEnd w:id="137"/>
    </w:p>
    <w:p w14:paraId="4A49FFB0" w14:textId="404729C6" w:rsidR="00730714" w:rsidRDefault="00730714" w:rsidP="00730714">
      <w:pPr>
        <w:pStyle w:val="BodyText"/>
        <w:rPr>
          <w:lang w:eastAsia="en-US"/>
        </w:rPr>
      </w:pPr>
      <w:r>
        <w:rPr>
          <w:lang w:eastAsia="en-US"/>
        </w:rPr>
        <w:t>Melbourne Water produces recycled water at the Western Treatment Plant and the Eastern Treatment Plant, providing recycled water to customers for a range of non-drinking purposes.</w:t>
      </w:r>
    </w:p>
    <w:p w14:paraId="59A73426" w14:textId="1FDC53B8" w:rsidR="00730714" w:rsidRDefault="00730714" w:rsidP="00730714">
      <w:pPr>
        <w:pStyle w:val="BodyText"/>
        <w:rPr>
          <w:lang w:eastAsia="en-US"/>
        </w:rPr>
      </w:pPr>
      <w:r>
        <w:rPr>
          <w:lang w:eastAsia="en-US"/>
        </w:rPr>
        <w:t>We continue to explore new opportunities to increase recycled water use at both the Eastern Treatment Plant and Western Treatment Plant, to provide a sustainable water supply for greater Melbourne.</w:t>
      </w:r>
    </w:p>
    <w:p w14:paraId="0E11111A" w14:textId="51F27B08" w:rsidR="00453CE3" w:rsidRDefault="00730714" w:rsidP="00730714">
      <w:pPr>
        <w:pStyle w:val="BodyText"/>
        <w:rPr>
          <w:lang w:eastAsia="en-US"/>
        </w:rPr>
      </w:pPr>
      <w:r>
        <w:rPr>
          <w:lang w:eastAsia="en-US"/>
        </w:rPr>
        <w:t xml:space="preserve">Recycled water volumes used onsite and supplied to our customers in 2020-21 are shown in </w:t>
      </w:r>
      <w:r w:rsidR="0010793A">
        <w:rPr>
          <w:lang w:eastAsia="en-US"/>
        </w:rPr>
        <w:fldChar w:fldCharType="begin"/>
      </w:r>
      <w:r w:rsidR="0010793A">
        <w:rPr>
          <w:lang w:eastAsia="en-US"/>
        </w:rPr>
        <w:instrText xml:space="preserve"> REF _Ref89644194 \h </w:instrText>
      </w:r>
      <w:r w:rsidR="0010793A">
        <w:rPr>
          <w:lang w:eastAsia="en-US"/>
        </w:rPr>
      </w:r>
      <w:r w:rsidR="0010793A">
        <w:rPr>
          <w:lang w:eastAsia="en-US"/>
        </w:rPr>
        <w:fldChar w:fldCharType="separate"/>
      </w:r>
      <w:r w:rsidR="00472151">
        <w:rPr>
          <w:lang w:eastAsia="en-US"/>
        </w:rPr>
        <w:t xml:space="preserve">Table </w:t>
      </w:r>
      <w:r w:rsidR="00472151">
        <w:rPr>
          <w:noProof/>
          <w:lang w:eastAsia="en-US"/>
        </w:rPr>
        <w:t>1</w:t>
      </w:r>
      <w:r w:rsidR="0010793A">
        <w:rPr>
          <w:lang w:eastAsia="en-US"/>
        </w:rPr>
        <w:fldChar w:fldCharType="end"/>
      </w:r>
      <w:r>
        <w:rPr>
          <w:lang w:eastAsia="en-US"/>
        </w:rPr>
        <w:t>.</w:t>
      </w:r>
    </w:p>
    <w:p w14:paraId="202E6C9D" w14:textId="2FFDAE5D" w:rsidR="00730714" w:rsidRDefault="00730714" w:rsidP="00730714">
      <w:pPr>
        <w:pStyle w:val="PullBox"/>
      </w:pPr>
      <w:r w:rsidRPr="00554ADD">
        <w:t>41 billion litres recycled water</w:t>
      </w:r>
    </w:p>
    <w:p w14:paraId="395EBF09" w14:textId="55C52184" w:rsidR="00730714" w:rsidRDefault="00730714" w:rsidP="00730714">
      <w:pPr>
        <w:pStyle w:val="Caption"/>
        <w:rPr>
          <w:lang w:eastAsia="en-US"/>
        </w:rPr>
      </w:pPr>
      <w:bookmarkStart w:id="138" w:name="_Ref89644194"/>
      <w:bookmarkStart w:id="139" w:name="_Ref89644240"/>
      <w:r>
        <w:rPr>
          <w:lang w:eastAsia="en-US"/>
        </w:rPr>
        <w:lastRenderedPageBreak/>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1</w:t>
      </w:r>
      <w:r>
        <w:rPr>
          <w:lang w:eastAsia="en-US"/>
        </w:rPr>
        <w:fldChar w:fldCharType="end"/>
      </w:r>
      <w:bookmarkEnd w:id="138"/>
      <w:r w:rsidRPr="00730714">
        <w:rPr>
          <w:lang w:eastAsia="en-US"/>
        </w:rPr>
        <w:t>: Recycled water produced for 2020-21</w:t>
      </w:r>
      <w:bookmarkEnd w:id="139"/>
    </w:p>
    <w:tbl>
      <w:tblPr>
        <w:tblStyle w:val="TableGrid"/>
        <w:tblW w:w="0" w:type="auto"/>
        <w:tblLook w:val="04A0" w:firstRow="1" w:lastRow="0" w:firstColumn="1" w:lastColumn="0" w:noHBand="0" w:noVBand="1"/>
      </w:tblPr>
      <w:tblGrid>
        <w:gridCol w:w="7797"/>
        <w:gridCol w:w="1834"/>
      </w:tblGrid>
      <w:tr w:rsidR="00730714" w:rsidRPr="002C1E65" w14:paraId="1B106D28"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7797" w:type="dxa"/>
            <w:vAlign w:val="bottom"/>
          </w:tcPr>
          <w:p w14:paraId="4E355DE2" w14:textId="1E63A933" w:rsidR="00730714" w:rsidRPr="002C1E65" w:rsidRDefault="00730714" w:rsidP="00554ADD">
            <w:pPr>
              <w:pStyle w:val="TableBodyText"/>
              <w:rPr>
                <w:szCs w:val="20"/>
                <w:lang w:eastAsia="en-US"/>
              </w:rPr>
            </w:pPr>
            <w:bookmarkStart w:id="140" w:name="ColumnTitle_7"/>
            <w:r w:rsidRPr="002C1E65">
              <w:rPr>
                <w:szCs w:val="20"/>
                <w:lang w:eastAsia="en-US"/>
              </w:rPr>
              <w:t>Item</w:t>
            </w:r>
          </w:p>
        </w:tc>
        <w:tc>
          <w:tcPr>
            <w:tcW w:w="1834" w:type="dxa"/>
            <w:vAlign w:val="bottom"/>
          </w:tcPr>
          <w:p w14:paraId="01CC9355" w14:textId="77777777" w:rsidR="00730714" w:rsidRPr="002C1E65" w:rsidRDefault="00730714" w:rsidP="00554ADD">
            <w:pPr>
              <w:pStyle w:val="TableBodyText"/>
              <w:jc w:val="right"/>
              <w:rPr>
                <w:b w:val="0"/>
                <w:szCs w:val="20"/>
                <w:lang w:eastAsia="en-US"/>
              </w:rPr>
            </w:pPr>
            <w:r w:rsidRPr="002C1E65">
              <w:rPr>
                <w:szCs w:val="20"/>
                <w:lang w:eastAsia="en-US"/>
              </w:rPr>
              <w:t>Volume</w:t>
            </w:r>
          </w:p>
          <w:p w14:paraId="2614D4E2" w14:textId="77777777" w:rsidR="00730714" w:rsidRPr="002C1E65" w:rsidRDefault="00730714" w:rsidP="00554ADD">
            <w:pPr>
              <w:pStyle w:val="TableBodyText"/>
              <w:jc w:val="right"/>
              <w:rPr>
                <w:b w:val="0"/>
                <w:szCs w:val="20"/>
                <w:lang w:eastAsia="en-US"/>
              </w:rPr>
            </w:pPr>
            <w:r w:rsidRPr="002C1E65">
              <w:rPr>
                <w:szCs w:val="20"/>
                <w:lang w:eastAsia="en-US"/>
              </w:rPr>
              <w:t>2020-21</w:t>
            </w:r>
          </w:p>
          <w:p w14:paraId="705F8223" w14:textId="7697F353" w:rsidR="00730714" w:rsidRPr="002C1E65" w:rsidRDefault="00730714" w:rsidP="00554ADD">
            <w:pPr>
              <w:pStyle w:val="TableBodyText"/>
              <w:jc w:val="right"/>
              <w:rPr>
                <w:szCs w:val="20"/>
                <w:lang w:eastAsia="en-US"/>
              </w:rPr>
            </w:pPr>
            <w:r w:rsidRPr="002C1E65">
              <w:rPr>
                <w:szCs w:val="20"/>
                <w:lang w:eastAsia="en-US"/>
              </w:rPr>
              <w:t>(ML)</w:t>
            </w:r>
          </w:p>
        </w:tc>
      </w:tr>
      <w:bookmarkEnd w:id="140"/>
      <w:tr w:rsidR="00730714" w:rsidRPr="002C1E65" w14:paraId="4067D423" w14:textId="77777777" w:rsidTr="00F70E4F">
        <w:tc>
          <w:tcPr>
            <w:tcW w:w="7797" w:type="dxa"/>
          </w:tcPr>
          <w:p w14:paraId="6038557F" w14:textId="4FFDB09F" w:rsidR="00730714" w:rsidRPr="002C1E65" w:rsidRDefault="00730714" w:rsidP="00F70E4F">
            <w:pPr>
              <w:pStyle w:val="TableBodyTextBold"/>
              <w:rPr>
                <w:sz w:val="20"/>
                <w:szCs w:val="20"/>
                <w:lang w:eastAsia="en-US"/>
              </w:rPr>
            </w:pPr>
            <w:r w:rsidRPr="002C1E65">
              <w:rPr>
                <w:sz w:val="20"/>
                <w:szCs w:val="20"/>
                <w:lang w:eastAsia="en-US"/>
              </w:rPr>
              <w:t>Total sewage treated (not all sewage treated is</w:t>
            </w:r>
            <w:r w:rsidR="00F70E4F" w:rsidRPr="002C1E65">
              <w:rPr>
                <w:sz w:val="20"/>
                <w:szCs w:val="20"/>
                <w:lang w:eastAsia="en-US"/>
              </w:rPr>
              <w:t xml:space="preserve"> </w:t>
            </w:r>
            <w:r w:rsidRPr="002C1E65">
              <w:rPr>
                <w:sz w:val="20"/>
                <w:szCs w:val="20"/>
                <w:lang w:eastAsia="en-US"/>
              </w:rPr>
              <w:t>available for re-use)</w:t>
            </w:r>
          </w:p>
        </w:tc>
        <w:tc>
          <w:tcPr>
            <w:tcW w:w="1834" w:type="dxa"/>
          </w:tcPr>
          <w:p w14:paraId="6C34CB4A" w14:textId="065FC311" w:rsidR="00730714" w:rsidRPr="002C1E65" w:rsidRDefault="00F70E4F" w:rsidP="00F70E4F">
            <w:pPr>
              <w:pStyle w:val="TableBodyTextBold"/>
              <w:jc w:val="right"/>
              <w:rPr>
                <w:sz w:val="20"/>
                <w:szCs w:val="20"/>
                <w:lang w:eastAsia="en-US"/>
              </w:rPr>
            </w:pPr>
            <w:r w:rsidRPr="002C1E65">
              <w:rPr>
                <w:sz w:val="20"/>
                <w:szCs w:val="20"/>
                <w:lang w:eastAsia="en-US"/>
              </w:rPr>
              <w:t>342,913</w:t>
            </w:r>
          </w:p>
        </w:tc>
      </w:tr>
      <w:tr w:rsidR="00730714" w:rsidRPr="002C1E65" w14:paraId="4C1DDEA6" w14:textId="77777777" w:rsidTr="00F70E4F">
        <w:tc>
          <w:tcPr>
            <w:tcW w:w="7797" w:type="dxa"/>
          </w:tcPr>
          <w:p w14:paraId="6A421F19" w14:textId="34DCAB65" w:rsidR="00730714" w:rsidRPr="002C1E65" w:rsidRDefault="00730714" w:rsidP="00F70E4F">
            <w:pPr>
              <w:pStyle w:val="TableBodyTextBold"/>
              <w:rPr>
                <w:sz w:val="20"/>
                <w:szCs w:val="20"/>
                <w:lang w:eastAsia="en-US"/>
              </w:rPr>
            </w:pPr>
            <w:r w:rsidRPr="002C1E65">
              <w:rPr>
                <w:sz w:val="20"/>
                <w:szCs w:val="20"/>
                <w:lang w:eastAsia="en-US"/>
              </w:rPr>
              <w:t>Total recycled water supplied</w:t>
            </w:r>
          </w:p>
        </w:tc>
        <w:tc>
          <w:tcPr>
            <w:tcW w:w="1834" w:type="dxa"/>
          </w:tcPr>
          <w:p w14:paraId="05B000DD" w14:textId="63449ABF" w:rsidR="00730714" w:rsidRPr="002C1E65" w:rsidRDefault="00730714" w:rsidP="00F70E4F">
            <w:pPr>
              <w:pStyle w:val="TableBodyTextBold"/>
              <w:jc w:val="right"/>
              <w:rPr>
                <w:sz w:val="20"/>
                <w:szCs w:val="20"/>
                <w:lang w:eastAsia="en-US"/>
              </w:rPr>
            </w:pPr>
            <w:r w:rsidRPr="002C1E65">
              <w:rPr>
                <w:sz w:val="20"/>
                <w:szCs w:val="20"/>
                <w:lang w:eastAsia="en-US"/>
              </w:rPr>
              <w:t>40,931</w:t>
            </w:r>
          </w:p>
        </w:tc>
      </w:tr>
      <w:tr w:rsidR="00730714" w:rsidRPr="002C1E65" w14:paraId="5DA18F48" w14:textId="77777777" w:rsidTr="00F70E4F">
        <w:tc>
          <w:tcPr>
            <w:tcW w:w="7797" w:type="dxa"/>
          </w:tcPr>
          <w:p w14:paraId="30F36145" w14:textId="79097870" w:rsidR="00730714" w:rsidRPr="002C1E65" w:rsidRDefault="00F70E4F" w:rsidP="00F70E4F">
            <w:pPr>
              <w:pStyle w:val="TableBodyTextBold"/>
              <w:rPr>
                <w:sz w:val="20"/>
                <w:szCs w:val="20"/>
                <w:lang w:eastAsia="en-US"/>
              </w:rPr>
            </w:pPr>
            <w:r w:rsidRPr="002C1E65">
              <w:rPr>
                <w:sz w:val="20"/>
                <w:szCs w:val="20"/>
                <w:lang w:eastAsia="en-US"/>
              </w:rPr>
              <w:t>Western Treatment Plant</w:t>
            </w:r>
          </w:p>
        </w:tc>
        <w:tc>
          <w:tcPr>
            <w:tcW w:w="1834" w:type="dxa"/>
          </w:tcPr>
          <w:p w14:paraId="03E75B2D" w14:textId="47E3A9E3" w:rsidR="00730714" w:rsidRPr="002C1E65" w:rsidRDefault="00F70E4F" w:rsidP="00F70E4F">
            <w:pPr>
              <w:pStyle w:val="TableBodyText"/>
              <w:jc w:val="right"/>
              <w:rPr>
                <w:szCs w:val="20"/>
                <w:lang w:eastAsia="en-US"/>
              </w:rPr>
            </w:pPr>
            <w:r w:rsidRPr="002C1E65">
              <w:rPr>
                <w:szCs w:val="20"/>
                <w:lang w:eastAsia="en-US"/>
              </w:rPr>
              <w:t>N/A</w:t>
            </w:r>
          </w:p>
        </w:tc>
      </w:tr>
      <w:tr w:rsidR="00730714" w:rsidRPr="002C1E65" w14:paraId="0D3F6C5F" w14:textId="77777777" w:rsidTr="00F70E4F">
        <w:tc>
          <w:tcPr>
            <w:tcW w:w="7797" w:type="dxa"/>
          </w:tcPr>
          <w:p w14:paraId="6266073E" w14:textId="49B2127D" w:rsidR="00730714" w:rsidRPr="002C1E65" w:rsidRDefault="00F70E4F" w:rsidP="00730714">
            <w:pPr>
              <w:pStyle w:val="TableBodyText"/>
              <w:rPr>
                <w:szCs w:val="20"/>
                <w:lang w:eastAsia="en-US"/>
              </w:rPr>
            </w:pPr>
            <w:r w:rsidRPr="002C1E65">
              <w:rPr>
                <w:szCs w:val="20"/>
                <w:lang w:eastAsia="en-US"/>
              </w:rPr>
              <w:t>Conservation flows used onsite</w:t>
            </w:r>
          </w:p>
        </w:tc>
        <w:tc>
          <w:tcPr>
            <w:tcW w:w="1834" w:type="dxa"/>
          </w:tcPr>
          <w:p w14:paraId="7F30C696" w14:textId="24D17781" w:rsidR="00730714" w:rsidRPr="002C1E65" w:rsidRDefault="00F70E4F" w:rsidP="00F70E4F">
            <w:pPr>
              <w:pStyle w:val="TableBodyText"/>
              <w:jc w:val="right"/>
              <w:rPr>
                <w:szCs w:val="20"/>
                <w:lang w:eastAsia="en-US"/>
              </w:rPr>
            </w:pPr>
            <w:r w:rsidRPr="002C1E65">
              <w:rPr>
                <w:szCs w:val="20"/>
                <w:lang w:eastAsia="en-US"/>
              </w:rPr>
              <w:t>8252</w:t>
            </w:r>
          </w:p>
        </w:tc>
      </w:tr>
      <w:tr w:rsidR="00730714" w:rsidRPr="002C1E65" w14:paraId="68816835" w14:textId="77777777" w:rsidTr="00F70E4F">
        <w:tc>
          <w:tcPr>
            <w:tcW w:w="7797" w:type="dxa"/>
          </w:tcPr>
          <w:p w14:paraId="6686B103" w14:textId="5AC0854D" w:rsidR="00730714" w:rsidRPr="002C1E65" w:rsidRDefault="00F70E4F" w:rsidP="00730714">
            <w:pPr>
              <w:pStyle w:val="TableBodyText"/>
              <w:rPr>
                <w:szCs w:val="20"/>
                <w:lang w:eastAsia="en-US"/>
              </w:rPr>
            </w:pPr>
            <w:r w:rsidRPr="002C1E65">
              <w:rPr>
                <w:szCs w:val="20"/>
                <w:lang w:eastAsia="en-US"/>
              </w:rPr>
              <w:t>Non-agricultural use onsite</w:t>
            </w:r>
          </w:p>
        </w:tc>
        <w:tc>
          <w:tcPr>
            <w:tcW w:w="1834" w:type="dxa"/>
          </w:tcPr>
          <w:p w14:paraId="58419F19" w14:textId="6848F139" w:rsidR="00730714" w:rsidRPr="002C1E65" w:rsidRDefault="00F70E4F" w:rsidP="00F70E4F">
            <w:pPr>
              <w:pStyle w:val="TableBodyText"/>
              <w:jc w:val="right"/>
              <w:rPr>
                <w:szCs w:val="20"/>
                <w:lang w:eastAsia="en-US"/>
              </w:rPr>
            </w:pPr>
            <w:r w:rsidRPr="002C1E65">
              <w:rPr>
                <w:szCs w:val="20"/>
                <w:lang w:eastAsia="en-US"/>
              </w:rPr>
              <w:t>259</w:t>
            </w:r>
          </w:p>
        </w:tc>
      </w:tr>
      <w:tr w:rsidR="00730714" w:rsidRPr="002C1E65" w14:paraId="648A3B25" w14:textId="77777777" w:rsidTr="00F70E4F">
        <w:tc>
          <w:tcPr>
            <w:tcW w:w="7797" w:type="dxa"/>
          </w:tcPr>
          <w:p w14:paraId="60EBC876" w14:textId="33BDDA13" w:rsidR="00730714" w:rsidRPr="002C1E65" w:rsidRDefault="00F70E4F" w:rsidP="00730714">
            <w:pPr>
              <w:pStyle w:val="TableBodyText"/>
              <w:rPr>
                <w:szCs w:val="20"/>
                <w:lang w:eastAsia="en-US"/>
              </w:rPr>
            </w:pPr>
            <w:r w:rsidRPr="002C1E65">
              <w:rPr>
                <w:szCs w:val="20"/>
                <w:lang w:eastAsia="en-US"/>
              </w:rPr>
              <w:t>Agricultural use onsite</w:t>
            </w:r>
          </w:p>
        </w:tc>
        <w:tc>
          <w:tcPr>
            <w:tcW w:w="1834" w:type="dxa"/>
          </w:tcPr>
          <w:p w14:paraId="507646E2" w14:textId="5F39EFF7" w:rsidR="00730714" w:rsidRPr="002C1E65" w:rsidRDefault="00F70E4F" w:rsidP="00F70E4F">
            <w:pPr>
              <w:pStyle w:val="TableBodyText"/>
              <w:jc w:val="right"/>
              <w:rPr>
                <w:szCs w:val="20"/>
                <w:lang w:eastAsia="en-US"/>
              </w:rPr>
            </w:pPr>
            <w:r w:rsidRPr="002C1E65">
              <w:rPr>
                <w:szCs w:val="20"/>
                <w:lang w:eastAsia="en-US"/>
              </w:rPr>
              <w:t>13,573</w:t>
            </w:r>
          </w:p>
        </w:tc>
      </w:tr>
      <w:tr w:rsidR="00F70E4F" w:rsidRPr="002C1E65" w14:paraId="32C88E1F" w14:textId="77777777" w:rsidTr="00F70E4F">
        <w:tc>
          <w:tcPr>
            <w:tcW w:w="7797" w:type="dxa"/>
          </w:tcPr>
          <w:p w14:paraId="18A7AA54" w14:textId="0349DEDA" w:rsidR="00F70E4F" w:rsidRPr="002C1E65" w:rsidRDefault="00F70E4F" w:rsidP="00730714">
            <w:pPr>
              <w:pStyle w:val="TableBodyText"/>
              <w:rPr>
                <w:szCs w:val="20"/>
                <w:lang w:eastAsia="en-US"/>
              </w:rPr>
            </w:pPr>
            <w:r w:rsidRPr="002C1E65">
              <w:rPr>
                <w:szCs w:val="20"/>
                <w:lang w:eastAsia="en-US"/>
              </w:rPr>
              <w:t>Southern Rural Water</w:t>
            </w:r>
          </w:p>
        </w:tc>
        <w:tc>
          <w:tcPr>
            <w:tcW w:w="1834" w:type="dxa"/>
          </w:tcPr>
          <w:p w14:paraId="733E296F" w14:textId="230549CF" w:rsidR="00F70E4F" w:rsidRPr="002C1E65" w:rsidRDefault="00F70E4F" w:rsidP="00F70E4F">
            <w:pPr>
              <w:pStyle w:val="TableBodyText"/>
              <w:jc w:val="right"/>
              <w:rPr>
                <w:szCs w:val="20"/>
                <w:lang w:eastAsia="en-US"/>
              </w:rPr>
            </w:pPr>
            <w:r w:rsidRPr="002C1E65">
              <w:rPr>
                <w:szCs w:val="20"/>
                <w:lang w:eastAsia="en-US"/>
              </w:rPr>
              <w:t>N/A</w:t>
            </w:r>
          </w:p>
        </w:tc>
      </w:tr>
      <w:tr w:rsidR="00F70E4F" w:rsidRPr="002C1E65" w14:paraId="6235B2D9" w14:textId="77777777" w:rsidTr="00F70E4F">
        <w:tc>
          <w:tcPr>
            <w:tcW w:w="7797" w:type="dxa"/>
          </w:tcPr>
          <w:p w14:paraId="67E0453F" w14:textId="5AF261D5" w:rsidR="00F70E4F" w:rsidRPr="002C1E65" w:rsidRDefault="00F70E4F" w:rsidP="004C627C">
            <w:pPr>
              <w:pStyle w:val="TableBullet"/>
              <w:spacing w:before="60" w:after="60"/>
              <w:rPr>
                <w:szCs w:val="20"/>
              </w:rPr>
            </w:pPr>
            <w:r w:rsidRPr="002C1E65">
              <w:rPr>
                <w:szCs w:val="20"/>
              </w:rPr>
              <w:t>Werribee Irrigation District</w:t>
            </w:r>
          </w:p>
        </w:tc>
        <w:tc>
          <w:tcPr>
            <w:tcW w:w="1834" w:type="dxa"/>
          </w:tcPr>
          <w:p w14:paraId="21CD7607" w14:textId="21EBE8D1" w:rsidR="00F70E4F" w:rsidRPr="002C1E65" w:rsidRDefault="00F70E4F" w:rsidP="00F70E4F">
            <w:pPr>
              <w:pStyle w:val="TableBodyText"/>
              <w:jc w:val="right"/>
              <w:rPr>
                <w:szCs w:val="20"/>
                <w:lang w:eastAsia="en-US"/>
              </w:rPr>
            </w:pPr>
            <w:r w:rsidRPr="002C1E65">
              <w:rPr>
                <w:szCs w:val="20"/>
                <w:lang w:eastAsia="en-US"/>
              </w:rPr>
              <w:t>3743</w:t>
            </w:r>
          </w:p>
        </w:tc>
      </w:tr>
      <w:tr w:rsidR="00F70E4F" w:rsidRPr="002C1E65" w14:paraId="747D939F" w14:textId="77777777" w:rsidTr="00F70E4F">
        <w:tc>
          <w:tcPr>
            <w:tcW w:w="7797" w:type="dxa"/>
          </w:tcPr>
          <w:p w14:paraId="33AB5211" w14:textId="7454FAB5" w:rsidR="00F70E4F" w:rsidRPr="002C1E65" w:rsidRDefault="00F70E4F" w:rsidP="004C627C">
            <w:pPr>
              <w:pStyle w:val="TableBullet"/>
              <w:spacing w:before="60" w:after="60"/>
              <w:rPr>
                <w:szCs w:val="20"/>
              </w:rPr>
            </w:pPr>
            <w:r w:rsidRPr="002C1E65">
              <w:rPr>
                <w:szCs w:val="20"/>
              </w:rPr>
              <w:t>Werribee Tourist District</w:t>
            </w:r>
          </w:p>
        </w:tc>
        <w:tc>
          <w:tcPr>
            <w:tcW w:w="1834" w:type="dxa"/>
          </w:tcPr>
          <w:p w14:paraId="4E78345C" w14:textId="0683B783" w:rsidR="00F70E4F" w:rsidRPr="002C1E65" w:rsidRDefault="00F70E4F" w:rsidP="00F70E4F">
            <w:pPr>
              <w:pStyle w:val="TableBodyText"/>
              <w:jc w:val="right"/>
              <w:rPr>
                <w:szCs w:val="20"/>
                <w:lang w:eastAsia="en-US"/>
              </w:rPr>
            </w:pPr>
            <w:r w:rsidRPr="002C1E65">
              <w:rPr>
                <w:szCs w:val="20"/>
                <w:lang w:eastAsia="en-US"/>
              </w:rPr>
              <w:t>46</w:t>
            </w:r>
          </w:p>
        </w:tc>
      </w:tr>
      <w:tr w:rsidR="00F70E4F" w:rsidRPr="002C1E65" w14:paraId="04A6D1E0" w14:textId="77777777" w:rsidTr="00F70E4F">
        <w:tc>
          <w:tcPr>
            <w:tcW w:w="7797" w:type="dxa"/>
          </w:tcPr>
          <w:p w14:paraId="6EB8C93C" w14:textId="42636D5B" w:rsidR="00F70E4F" w:rsidRPr="002C1E65" w:rsidRDefault="00F70E4F" w:rsidP="00730714">
            <w:pPr>
              <w:pStyle w:val="TableBodyText"/>
              <w:rPr>
                <w:szCs w:val="20"/>
                <w:lang w:eastAsia="en-US"/>
              </w:rPr>
            </w:pPr>
            <w:r w:rsidRPr="002C1E65">
              <w:rPr>
                <w:szCs w:val="20"/>
                <w:lang w:eastAsia="en-US"/>
              </w:rPr>
              <w:t>City West Water</w:t>
            </w:r>
          </w:p>
        </w:tc>
        <w:tc>
          <w:tcPr>
            <w:tcW w:w="1834" w:type="dxa"/>
          </w:tcPr>
          <w:p w14:paraId="420CEB2C" w14:textId="72188EBF" w:rsidR="00F70E4F" w:rsidRPr="002C1E65" w:rsidRDefault="00F70E4F" w:rsidP="00F70E4F">
            <w:pPr>
              <w:pStyle w:val="TableBodyText"/>
              <w:jc w:val="right"/>
              <w:rPr>
                <w:szCs w:val="20"/>
                <w:lang w:eastAsia="en-US"/>
              </w:rPr>
            </w:pPr>
            <w:r w:rsidRPr="002C1E65">
              <w:rPr>
                <w:szCs w:val="20"/>
                <w:lang w:eastAsia="en-US"/>
              </w:rPr>
              <w:t>N/A</w:t>
            </w:r>
          </w:p>
        </w:tc>
      </w:tr>
      <w:tr w:rsidR="00F70E4F" w:rsidRPr="002C1E65" w14:paraId="2527E51D" w14:textId="77777777" w:rsidTr="00F70E4F">
        <w:tc>
          <w:tcPr>
            <w:tcW w:w="7797" w:type="dxa"/>
          </w:tcPr>
          <w:p w14:paraId="70A98A8F" w14:textId="4FCA9DB4" w:rsidR="00F70E4F" w:rsidRPr="002C1E65" w:rsidRDefault="00F70E4F" w:rsidP="004C627C">
            <w:pPr>
              <w:pStyle w:val="TableBullet"/>
              <w:spacing w:before="60" w:after="60"/>
              <w:rPr>
                <w:szCs w:val="20"/>
              </w:rPr>
            </w:pPr>
            <w:r w:rsidRPr="002C1E65">
              <w:rPr>
                <w:szCs w:val="20"/>
              </w:rPr>
              <w:t>Werribee Employment Precinct</w:t>
            </w:r>
          </w:p>
        </w:tc>
        <w:tc>
          <w:tcPr>
            <w:tcW w:w="1834" w:type="dxa"/>
          </w:tcPr>
          <w:p w14:paraId="33357720" w14:textId="6CD8E672" w:rsidR="00F70E4F" w:rsidRPr="002C1E65" w:rsidRDefault="00F70E4F" w:rsidP="00F70E4F">
            <w:pPr>
              <w:pStyle w:val="TableBodyText"/>
              <w:jc w:val="right"/>
              <w:rPr>
                <w:szCs w:val="20"/>
                <w:lang w:eastAsia="en-US"/>
              </w:rPr>
            </w:pPr>
            <w:r w:rsidRPr="002C1E65">
              <w:rPr>
                <w:szCs w:val="20"/>
                <w:lang w:eastAsia="en-US"/>
              </w:rPr>
              <w:t>148</w:t>
            </w:r>
          </w:p>
        </w:tc>
      </w:tr>
      <w:tr w:rsidR="00F70E4F" w:rsidRPr="002C1E65" w14:paraId="5CCA1B1D" w14:textId="77777777" w:rsidTr="00F70E4F">
        <w:tc>
          <w:tcPr>
            <w:tcW w:w="7797" w:type="dxa"/>
          </w:tcPr>
          <w:p w14:paraId="19E20280" w14:textId="4D20C3D3" w:rsidR="00F70E4F" w:rsidRPr="002C1E65" w:rsidRDefault="00F70E4F" w:rsidP="004C627C">
            <w:pPr>
              <w:pStyle w:val="TableBullet"/>
              <w:spacing w:before="60" w:after="60"/>
              <w:rPr>
                <w:szCs w:val="20"/>
              </w:rPr>
            </w:pPr>
            <w:r w:rsidRPr="002C1E65">
              <w:rPr>
                <w:szCs w:val="20"/>
              </w:rPr>
              <w:t>MacKillop College</w:t>
            </w:r>
          </w:p>
        </w:tc>
        <w:tc>
          <w:tcPr>
            <w:tcW w:w="1834" w:type="dxa"/>
          </w:tcPr>
          <w:p w14:paraId="0E8699E2" w14:textId="1D14441D" w:rsidR="00F70E4F" w:rsidRPr="002C1E65" w:rsidRDefault="00F70E4F" w:rsidP="00F70E4F">
            <w:pPr>
              <w:pStyle w:val="TableBodyText"/>
              <w:jc w:val="right"/>
              <w:rPr>
                <w:szCs w:val="20"/>
                <w:lang w:eastAsia="en-US"/>
              </w:rPr>
            </w:pPr>
            <w:r w:rsidRPr="002C1E65">
              <w:rPr>
                <w:szCs w:val="20"/>
                <w:lang w:eastAsia="en-US"/>
              </w:rPr>
              <w:t>30</w:t>
            </w:r>
          </w:p>
        </w:tc>
      </w:tr>
      <w:tr w:rsidR="00F70E4F" w:rsidRPr="002C1E65" w14:paraId="40505F56" w14:textId="77777777" w:rsidTr="00F70E4F">
        <w:tc>
          <w:tcPr>
            <w:tcW w:w="7797" w:type="dxa"/>
          </w:tcPr>
          <w:p w14:paraId="57A3AD77" w14:textId="6F29739B" w:rsidR="00F70E4F" w:rsidRPr="002C1E65" w:rsidRDefault="00F70E4F" w:rsidP="004C627C">
            <w:pPr>
              <w:pStyle w:val="TableBullet"/>
              <w:spacing w:before="60" w:after="60"/>
              <w:rPr>
                <w:szCs w:val="20"/>
              </w:rPr>
            </w:pPr>
            <w:r w:rsidRPr="002C1E65">
              <w:rPr>
                <w:szCs w:val="20"/>
              </w:rPr>
              <w:t>Water tankers/standpipes</w:t>
            </w:r>
          </w:p>
        </w:tc>
        <w:tc>
          <w:tcPr>
            <w:tcW w:w="1834" w:type="dxa"/>
          </w:tcPr>
          <w:p w14:paraId="3D42A212" w14:textId="2D85DD9C" w:rsidR="00F70E4F" w:rsidRPr="002C1E65" w:rsidRDefault="00F70E4F" w:rsidP="00F70E4F">
            <w:pPr>
              <w:pStyle w:val="TableBodyText"/>
              <w:jc w:val="right"/>
              <w:rPr>
                <w:szCs w:val="20"/>
                <w:lang w:eastAsia="en-US"/>
              </w:rPr>
            </w:pPr>
            <w:r w:rsidRPr="002C1E65">
              <w:rPr>
                <w:szCs w:val="20"/>
                <w:lang w:eastAsia="en-US"/>
              </w:rPr>
              <w:t>0</w:t>
            </w:r>
          </w:p>
        </w:tc>
      </w:tr>
      <w:tr w:rsidR="00F70E4F" w:rsidRPr="002C1E65" w14:paraId="14612758" w14:textId="77777777" w:rsidTr="00F70E4F">
        <w:tc>
          <w:tcPr>
            <w:tcW w:w="7797" w:type="dxa"/>
          </w:tcPr>
          <w:p w14:paraId="1FA89070" w14:textId="6F09371D" w:rsidR="00F70E4F" w:rsidRPr="002C1E65" w:rsidRDefault="00F70E4F" w:rsidP="004C627C">
            <w:pPr>
              <w:pStyle w:val="TableBullet"/>
              <w:spacing w:before="60" w:after="60"/>
              <w:rPr>
                <w:szCs w:val="20"/>
              </w:rPr>
            </w:pPr>
            <w:r w:rsidRPr="002C1E65">
              <w:rPr>
                <w:szCs w:val="20"/>
              </w:rPr>
              <w:t>West Werribee Dual Supply (non-residential)</w:t>
            </w:r>
          </w:p>
        </w:tc>
        <w:tc>
          <w:tcPr>
            <w:tcW w:w="1834" w:type="dxa"/>
          </w:tcPr>
          <w:p w14:paraId="20B9D65B" w14:textId="039371AF" w:rsidR="00F70E4F" w:rsidRPr="002C1E65" w:rsidRDefault="00F70E4F" w:rsidP="00F70E4F">
            <w:pPr>
              <w:pStyle w:val="TableBodyText"/>
              <w:jc w:val="right"/>
              <w:rPr>
                <w:szCs w:val="20"/>
                <w:lang w:eastAsia="en-US"/>
              </w:rPr>
            </w:pPr>
            <w:r w:rsidRPr="002C1E65">
              <w:rPr>
                <w:szCs w:val="20"/>
                <w:lang w:eastAsia="en-US"/>
              </w:rPr>
              <w:t>0</w:t>
            </w:r>
          </w:p>
        </w:tc>
      </w:tr>
      <w:tr w:rsidR="00F70E4F" w:rsidRPr="002C1E65" w14:paraId="40B22D5B" w14:textId="77777777" w:rsidTr="00F70E4F">
        <w:tc>
          <w:tcPr>
            <w:tcW w:w="7797" w:type="dxa"/>
          </w:tcPr>
          <w:p w14:paraId="28DB4D2C" w14:textId="5CD59302" w:rsidR="00F70E4F" w:rsidRPr="002C1E65" w:rsidRDefault="00F70E4F" w:rsidP="004C627C">
            <w:pPr>
              <w:pStyle w:val="TableBullet"/>
              <w:spacing w:before="60" w:after="60"/>
              <w:rPr>
                <w:szCs w:val="20"/>
              </w:rPr>
            </w:pPr>
            <w:r w:rsidRPr="002C1E65">
              <w:rPr>
                <w:szCs w:val="20"/>
              </w:rPr>
              <w:t>West Werribee Dual Supply (residential)</w:t>
            </w:r>
          </w:p>
        </w:tc>
        <w:tc>
          <w:tcPr>
            <w:tcW w:w="1834" w:type="dxa"/>
          </w:tcPr>
          <w:p w14:paraId="002C5B2B" w14:textId="1ED394E7" w:rsidR="00F70E4F" w:rsidRPr="002C1E65" w:rsidRDefault="00F70E4F" w:rsidP="00F70E4F">
            <w:pPr>
              <w:pStyle w:val="TableBodyText"/>
              <w:jc w:val="right"/>
              <w:rPr>
                <w:szCs w:val="20"/>
                <w:lang w:eastAsia="en-US"/>
              </w:rPr>
            </w:pPr>
            <w:r w:rsidRPr="002C1E65">
              <w:rPr>
                <w:szCs w:val="20"/>
                <w:lang w:eastAsia="en-US"/>
              </w:rPr>
              <w:t>438</w:t>
            </w:r>
          </w:p>
        </w:tc>
      </w:tr>
      <w:tr w:rsidR="00F70E4F" w:rsidRPr="002C1E65" w14:paraId="67DF2D80" w14:textId="77777777" w:rsidTr="00F70E4F">
        <w:tc>
          <w:tcPr>
            <w:tcW w:w="7797" w:type="dxa"/>
          </w:tcPr>
          <w:p w14:paraId="484A7D02" w14:textId="76EE77C5" w:rsidR="00F70E4F" w:rsidRPr="002C1E65" w:rsidRDefault="00F70E4F" w:rsidP="00F70E4F">
            <w:pPr>
              <w:pStyle w:val="TableBodyTextBold"/>
              <w:rPr>
                <w:sz w:val="20"/>
                <w:szCs w:val="20"/>
                <w:lang w:eastAsia="en-US"/>
              </w:rPr>
            </w:pPr>
            <w:r w:rsidRPr="002C1E65">
              <w:rPr>
                <w:sz w:val="20"/>
                <w:szCs w:val="20"/>
                <w:lang w:eastAsia="en-US"/>
              </w:rPr>
              <w:t>Western Treatment Plant total recycled water</w:t>
            </w:r>
          </w:p>
        </w:tc>
        <w:tc>
          <w:tcPr>
            <w:tcW w:w="1834" w:type="dxa"/>
          </w:tcPr>
          <w:p w14:paraId="6CAA99E7" w14:textId="780DA689" w:rsidR="00F70E4F" w:rsidRPr="002C1E65" w:rsidRDefault="00F70E4F" w:rsidP="00F70E4F">
            <w:pPr>
              <w:pStyle w:val="TableBodyTextBold"/>
              <w:jc w:val="right"/>
              <w:rPr>
                <w:sz w:val="20"/>
                <w:szCs w:val="20"/>
                <w:lang w:eastAsia="en-US"/>
              </w:rPr>
            </w:pPr>
            <w:r w:rsidRPr="002C1E65">
              <w:rPr>
                <w:sz w:val="20"/>
                <w:szCs w:val="20"/>
                <w:lang w:eastAsia="en-US"/>
              </w:rPr>
              <w:t>26,489</w:t>
            </w:r>
          </w:p>
        </w:tc>
      </w:tr>
      <w:tr w:rsidR="00F70E4F" w:rsidRPr="002C1E65" w14:paraId="35324681" w14:textId="77777777" w:rsidTr="00F70E4F">
        <w:tc>
          <w:tcPr>
            <w:tcW w:w="7797" w:type="dxa"/>
          </w:tcPr>
          <w:p w14:paraId="5CAAF426" w14:textId="702F3144" w:rsidR="00F70E4F" w:rsidRPr="002C1E65" w:rsidRDefault="00F70E4F" w:rsidP="00F70E4F">
            <w:pPr>
              <w:pStyle w:val="TableBodyTextBold"/>
              <w:rPr>
                <w:sz w:val="20"/>
                <w:szCs w:val="20"/>
                <w:lang w:eastAsia="en-US"/>
              </w:rPr>
            </w:pPr>
            <w:r w:rsidRPr="002C1E65">
              <w:rPr>
                <w:sz w:val="20"/>
                <w:szCs w:val="20"/>
                <w:lang w:eastAsia="en-US"/>
              </w:rPr>
              <w:t>Eastern Treatment Plant</w:t>
            </w:r>
          </w:p>
        </w:tc>
        <w:tc>
          <w:tcPr>
            <w:tcW w:w="1834" w:type="dxa"/>
          </w:tcPr>
          <w:p w14:paraId="25652B13" w14:textId="1D8018D2" w:rsidR="00F70E4F" w:rsidRPr="002C1E65" w:rsidRDefault="00F70E4F" w:rsidP="00F70E4F">
            <w:pPr>
              <w:pStyle w:val="TableBodyText"/>
              <w:jc w:val="right"/>
              <w:rPr>
                <w:szCs w:val="20"/>
                <w:lang w:eastAsia="en-US"/>
              </w:rPr>
            </w:pPr>
            <w:r w:rsidRPr="002C1E65">
              <w:rPr>
                <w:szCs w:val="20"/>
                <w:lang w:eastAsia="en-US"/>
              </w:rPr>
              <w:t>N/A</w:t>
            </w:r>
          </w:p>
        </w:tc>
      </w:tr>
      <w:tr w:rsidR="00F70E4F" w:rsidRPr="002C1E65" w14:paraId="13104411" w14:textId="77777777" w:rsidTr="00F70E4F">
        <w:tc>
          <w:tcPr>
            <w:tcW w:w="7797" w:type="dxa"/>
          </w:tcPr>
          <w:p w14:paraId="5195E86B" w14:textId="49076F03" w:rsidR="00F70E4F" w:rsidRPr="002C1E65" w:rsidRDefault="00F70E4F" w:rsidP="00730714">
            <w:pPr>
              <w:pStyle w:val="TableBodyText"/>
              <w:rPr>
                <w:szCs w:val="20"/>
                <w:lang w:eastAsia="en-US"/>
              </w:rPr>
            </w:pPr>
            <w:r w:rsidRPr="002C1E65">
              <w:rPr>
                <w:szCs w:val="20"/>
                <w:lang w:eastAsia="en-US"/>
              </w:rPr>
              <w:t>Re-used onsite</w:t>
            </w:r>
          </w:p>
        </w:tc>
        <w:tc>
          <w:tcPr>
            <w:tcW w:w="1834" w:type="dxa"/>
          </w:tcPr>
          <w:p w14:paraId="7F02374B" w14:textId="4FD9F3BA" w:rsidR="00F70E4F" w:rsidRPr="002C1E65" w:rsidRDefault="00F70E4F" w:rsidP="00F70E4F">
            <w:pPr>
              <w:pStyle w:val="TableBodyText"/>
              <w:jc w:val="right"/>
              <w:rPr>
                <w:szCs w:val="20"/>
                <w:lang w:eastAsia="en-US"/>
              </w:rPr>
            </w:pPr>
            <w:r w:rsidRPr="002C1E65">
              <w:rPr>
                <w:szCs w:val="20"/>
                <w:lang w:eastAsia="en-US"/>
              </w:rPr>
              <w:t>8630</w:t>
            </w:r>
          </w:p>
        </w:tc>
      </w:tr>
      <w:tr w:rsidR="00F70E4F" w:rsidRPr="002C1E65" w14:paraId="250FBC36" w14:textId="77777777" w:rsidTr="00F70E4F">
        <w:tc>
          <w:tcPr>
            <w:tcW w:w="7797" w:type="dxa"/>
          </w:tcPr>
          <w:p w14:paraId="41BCF4B9" w14:textId="353C59F6" w:rsidR="00F70E4F" w:rsidRPr="002C1E65" w:rsidRDefault="00F70E4F" w:rsidP="00730714">
            <w:pPr>
              <w:pStyle w:val="TableBodyText"/>
              <w:rPr>
                <w:szCs w:val="20"/>
                <w:lang w:eastAsia="en-US"/>
              </w:rPr>
            </w:pPr>
            <w:r w:rsidRPr="002C1E65">
              <w:rPr>
                <w:szCs w:val="20"/>
                <w:lang w:eastAsia="en-US"/>
              </w:rPr>
              <w:t>Trility – Eastern Irrigation Scheme</w:t>
            </w:r>
          </w:p>
        </w:tc>
        <w:tc>
          <w:tcPr>
            <w:tcW w:w="1834" w:type="dxa"/>
          </w:tcPr>
          <w:p w14:paraId="090522AB" w14:textId="70EF6654" w:rsidR="00F70E4F" w:rsidRPr="002C1E65" w:rsidRDefault="00F70E4F" w:rsidP="00F70E4F">
            <w:pPr>
              <w:pStyle w:val="TableBodyText"/>
              <w:jc w:val="right"/>
              <w:rPr>
                <w:szCs w:val="20"/>
                <w:lang w:eastAsia="en-US"/>
              </w:rPr>
            </w:pPr>
            <w:r w:rsidRPr="002C1E65">
              <w:rPr>
                <w:szCs w:val="20"/>
                <w:lang w:eastAsia="en-US"/>
              </w:rPr>
              <w:t>4500</w:t>
            </w:r>
          </w:p>
        </w:tc>
      </w:tr>
      <w:tr w:rsidR="00F70E4F" w:rsidRPr="002C1E65" w14:paraId="330CD688" w14:textId="77777777" w:rsidTr="00F70E4F">
        <w:tc>
          <w:tcPr>
            <w:tcW w:w="7797" w:type="dxa"/>
          </w:tcPr>
          <w:p w14:paraId="122E59B1" w14:textId="288B0D47" w:rsidR="00F70E4F" w:rsidRPr="002C1E65" w:rsidRDefault="00F70E4F" w:rsidP="00730714">
            <w:pPr>
              <w:pStyle w:val="TableBodyText"/>
              <w:rPr>
                <w:szCs w:val="20"/>
                <w:lang w:eastAsia="en-US"/>
              </w:rPr>
            </w:pPr>
            <w:r w:rsidRPr="002C1E65">
              <w:rPr>
                <w:szCs w:val="20"/>
                <w:lang w:eastAsia="en-US"/>
              </w:rPr>
              <w:t>Supply to South East Water – South Eastern Outfall</w:t>
            </w:r>
          </w:p>
        </w:tc>
        <w:tc>
          <w:tcPr>
            <w:tcW w:w="1834" w:type="dxa"/>
          </w:tcPr>
          <w:p w14:paraId="1733A34F" w14:textId="614A6AC5" w:rsidR="00F70E4F" w:rsidRPr="002C1E65" w:rsidRDefault="00F70E4F" w:rsidP="00F70E4F">
            <w:pPr>
              <w:pStyle w:val="TableBodyText"/>
              <w:jc w:val="right"/>
              <w:rPr>
                <w:szCs w:val="20"/>
                <w:lang w:eastAsia="en-US"/>
              </w:rPr>
            </w:pPr>
            <w:r w:rsidRPr="002C1E65">
              <w:rPr>
                <w:szCs w:val="20"/>
                <w:lang w:eastAsia="en-US"/>
              </w:rPr>
              <w:t>1312</w:t>
            </w:r>
          </w:p>
        </w:tc>
      </w:tr>
      <w:tr w:rsidR="00F70E4F" w:rsidRPr="002C1E65" w14:paraId="563BA839" w14:textId="77777777" w:rsidTr="00F70E4F">
        <w:tc>
          <w:tcPr>
            <w:tcW w:w="7797" w:type="dxa"/>
          </w:tcPr>
          <w:p w14:paraId="3CDE7BA4" w14:textId="6C2DBF2E" w:rsidR="00F70E4F" w:rsidRPr="002C1E65" w:rsidRDefault="00F70E4F" w:rsidP="00F70E4F">
            <w:pPr>
              <w:pStyle w:val="TableBodyTextBold"/>
              <w:rPr>
                <w:sz w:val="20"/>
                <w:szCs w:val="20"/>
                <w:lang w:eastAsia="en-US"/>
              </w:rPr>
            </w:pPr>
            <w:r w:rsidRPr="002C1E65">
              <w:rPr>
                <w:sz w:val="20"/>
                <w:szCs w:val="20"/>
                <w:lang w:eastAsia="en-US"/>
              </w:rPr>
              <w:t>Eastern Treatment Plant total recycled water</w:t>
            </w:r>
          </w:p>
        </w:tc>
        <w:tc>
          <w:tcPr>
            <w:tcW w:w="1834" w:type="dxa"/>
          </w:tcPr>
          <w:p w14:paraId="3E3A1B72" w14:textId="7F7FA9D2" w:rsidR="00F70E4F" w:rsidRPr="002C1E65" w:rsidRDefault="00F70E4F" w:rsidP="00F70E4F">
            <w:pPr>
              <w:pStyle w:val="TableBodyTextBold"/>
              <w:jc w:val="right"/>
              <w:rPr>
                <w:sz w:val="20"/>
                <w:szCs w:val="20"/>
                <w:lang w:eastAsia="en-US"/>
              </w:rPr>
            </w:pPr>
            <w:r w:rsidRPr="002C1E65">
              <w:rPr>
                <w:sz w:val="20"/>
                <w:szCs w:val="20"/>
                <w:lang w:eastAsia="en-US"/>
              </w:rPr>
              <w:t>14,442</w:t>
            </w:r>
          </w:p>
        </w:tc>
      </w:tr>
    </w:tbl>
    <w:p w14:paraId="3B68D452" w14:textId="77777777" w:rsidR="00F70E4F" w:rsidRDefault="00F70E4F" w:rsidP="00F70E4F">
      <w:pPr>
        <w:pStyle w:val="Heading3"/>
      </w:pPr>
      <w:bookmarkStart w:id="141" w:name="_Toc89722970"/>
      <w:bookmarkStart w:id="142" w:name="_Toc90325913"/>
      <w:bookmarkStart w:id="143" w:name="_Toc93659319"/>
      <w:r>
        <w:t>Maintaining our world-class infrastructure</w:t>
      </w:r>
      <w:bookmarkEnd w:id="141"/>
      <w:bookmarkEnd w:id="142"/>
      <w:bookmarkEnd w:id="143"/>
    </w:p>
    <w:p w14:paraId="3FA6102D" w14:textId="77777777" w:rsidR="00F70E4F" w:rsidRDefault="00F70E4F" w:rsidP="00F70E4F">
      <w:pPr>
        <w:pStyle w:val="BodyText"/>
        <w:rPr>
          <w:lang w:eastAsia="en-US"/>
        </w:rPr>
      </w:pPr>
      <w:r>
        <w:rPr>
          <w:lang w:eastAsia="en-US"/>
        </w:rPr>
        <w:t>Melbourne Water invested $147.8 million to support Melbourne’s critical water infrastructure in 2020-21. About a quarter of this expenditure was on the Upper Yarra Dam Safety Upgrade. Upper Yarra stores water from its own catchment, and also assists the supply of water from the Thomson catchment which controls around 70 per cent of Melbourne’s total system storage. These works will install filters and a seepage weir to ensure continued critical supply, in line with world’s best practice contemporary standards. We also invested $13.7 million to commence upgrading the Yan Yean treatment plant, which will enable us to bring back water from our northern catchments into the network.</w:t>
      </w:r>
    </w:p>
    <w:p w14:paraId="60C765A3" w14:textId="77777777" w:rsidR="00F70E4F" w:rsidRDefault="00F70E4F" w:rsidP="00554ADD">
      <w:pPr>
        <w:pStyle w:val="BodyText"/>
        <w:keepLines/>
        <w:rPr>
          <w:lang w:eastAsia="en-US"/>
        </w:rPr>
      </w:pPr>
      <w:r>
        <w:rPr>
          <w:lang w:eastAsia="en-US"/>
        </w:rPr>
        <w:lastRenderedPageBreak/>
        <w:t>The outer north-west of Melbourne is a growing region, and Melbourne Water has been investing in providing a vital and reliable water supply to this area through a range of projects. In 2020-21 we worked closely with a range of stakeholders – including City West Water, Western Water, VicRoads, Melton City Council, Brimbank City Council and local businesses – to complete construction of the new Holden Reservoir Inlet Pipeline. We also invested $22 million in progressing the installation of a new service reservoir at Bald Hill and a pipeline to connect it to Yan Yean.</w:t>
      </w:r>
    </w:p>
    <w:p w14:paraId="0478756C" w14:textId="4729F704" w:rsidR="00730714" w:rsidRPr="00852C21" w:rsidRDefault="00852C21" w:rsidP="00852C21">
      <w:pPr>
        <w:pStyle w:val="Heading2"/>
      </w:pPr>
      <w:bookmarkStart w:id="144" w:name="_Ref89718734"/>
      <w:bookmarkStart w:id="145" w:name="_Toc89722971"/>
      <w:bookmarkStart w:id="146" w:name="_Toc89723211"/>
      <w:bookmarkStart w:id="147" w:name="_Toc89723271"/>
      <w:bookmarkStart w:id="148" w:name="_Toc89860535"/>
      <w:bookmarkStart w:id="149" w:name="_Toc89860679"/>
      <w:bookmarkStart w:id="150" w:name="_Toc90325914"/>
      <w:bookmarkStart w:id="151" w:name="_Toc93659320"/>
      <w:r w:rsidRPr="00852C21">
        <w:t>Sewerage Management</w:t>
      </w:r>
      <w:bookmarkEnd w:id="144"/>
      <w:bookmarkEnd w:id="145"/>
      <w:bookmarkEnd w:id="146"/>
      <w:bookmarkEnd w:id="147"/>
      <w:bookmarkEnd w:id="148"/>
      <w:bookmarkEnd w:id="149"/>
      <w:bookmarkEnd w:id="150"/>
      <w:bookmarkEnd w:id="151"/>
    </w:p>
    <w:p w14:paraId="324383AE" w14:textId="57B71A43" w:rsidR="00852C21" w:rsidRDefault="00852C21" w:rsidP="00852C21">
      <w:pPr>
        <w:pStyle w:val="PullBox"/>
      </w:pPr>
      <w:r w:rsidRPr="00852C21">
        <w:t>A reliable sewerage system is vital to the health of Melbourne’s people and environment, and Melbourne Water plays a critical role in safely transporting sewage to our treatment plants for processing. Increasingly, we are recovering and re-using more resources like recycled water, biosolids and energy from the sewage</w:t>
      </w:r>
      <w:r>
        <w:t xml:space="preserve"> treatment process to reduce our impact on the environment.</w:t>
      </w:r>
    </w:p>
    <w:p w14:paraId="4AF2B73A" w14:textId="01CF6F0E" w:rsidR="00852C21" w:rsidRDefault="00852C21" w:rsidP="00852C21">
      <w:pPr>
        <w:pStyle w:val="GreyBox"/>
      </w:pPr>
      <w:r w:rsidRPr="00296848">
        <w:t>Aligns with goals 3, 6</w:t>
      </w:r>
      <w:r>
        <w:t xml:space="preserve">, 7, 9, 11, 12 and </w:t>
      </w:r>
      <w:r w:rsidRPr="00296848">
        <w:t>1</w:t>
      </w:r>
      <w:r>
        <w:t>3</w:t>
      </w:r>
    </w:p>
    <w:p w14:paraId="4A422218" w14:textId="22CA01BE" w:rsidR="00852C21" w:rsidRDefault="00852C21" w:rsidP="00852C21">
      <w:pPr>
        <w:pStyle w:val="Heading3"/>
      </w:pPr>
      <w:bookmarkStart w:id="152" w:name="_Toc89722972"/>
      <w:bookmarkStart w:id="153" w:name="_Toc90325915"/>
      <w:bookmarkStart w:id="154" w:name="_Toc93659321"/>
      <w:r>
        <w:t>Our Approach</w:t>
      </w:r>
      <w:bookmarkEnd w:id="152"/>
      <w:bookmarkEnd w:id="153"/>
      <w:bookmarkEnd w:id="154"/>
    </w:p>
    <w:p w14:paraId="4E3B2C42" w14:textId="403932BD" w:rsidR="00852C21" w:rsidRDefault="00852C21" w:rsidP="00852C21">
      <w:pPr>
        <w:pStyle w:val="BodyText"/>
        <w:rPr>
          <w:lang w:eastAsia="en-US"/>
        </w:rPr>
      </w:pPr>
      <w:r w:rsidRPr="004C627C">
        <w:rPr>
          <w:lang w:eastAsia="en-US"/>
        </w:rPr>
        <w:t>Melbourne owes much of its liveability to the reliability of its sewerage system. Construction on the network of pipes, pumps and treatment plants commenced in the 1890s and the system has grown and adapted with Melbourne to ensure ongoing protection of public health and wellbeing.</w:t>
      </w:r>
    </w:p>
    <w:p w14:paraId="3AB19A6F" w14:textId="4DA0613D" w:rsidR="00852C21" w:rsidRDefault="00852C21" w:rsidP="00852C21">
      <w:pPr>
        <w:pStyle w:val="BodyText"/>
        <w:rPr>
          <w:lang w:eastAsia="en-US"/>
        </w:rPr>
      </w:pPr>
      <w:r>
        <w:rPr>
          <w:lang w:eastAsia="en-US"/>
        </w:rPr>
        <w:t>Our system is characterised by two major treatment plants – the Western Treatment Plant (WTP) at Werribee and the Eastern Treatment Plant (ETP) at Bangholme – and the sewerage transfer system, which moves large volumes of sewage across the city via 400 kilometres of sewers and nine sewage pumping stations.</w:t>
      </w:r>
    </w:p>
    <w:p w14:paraId="7B18142C" w14:textId="1840EDE0" w:rsidR="00852C21" w:rsidRDefault="00852C21" w:rsidP="00852C21">
      <w:pPr>
        <w:pStyle w:val="BodyText"/>
        <w:rPr>
          <w:lang w:eastAsia="en-US"/>
        </w:rPr>
      </w:pPr>
      <w:r>
        <w:rPr>
          <w:lang w:eastAsia="en-US"/>
        </w:rPr>
        <w:t>Our long-term investment planning considers the implications of external factors such as a growing population and climate change to ensure that our sewerage system continues to reliably deliver these outcomes.</w:t>
      </w:r>
    </w:p>
    <w:p w14:paraId="605078A5" w14:textId="6BBC1F0C" w:rsidR="00852C21" w:rsidRDefault="00852C21" w:rsidP="00852C21">
      <w:pPr>
        <w:pStyle w:val="BodyText"/>
        <w:rPr>
          <w:lang w:eastAsia="en-US"/>
        </w:rPr>
      </w:pPr>
      <w:r>
        <w:rPr>
          <w:lang w:eastAsia="en-US"/>
        </w:rPr>
        <w:t xml:space="preserve">Along with Melbourne’s retail water companies, we work to deliver the </w:t>
      </w:r>
      <w:r w:rsidRPr="00852C21">
        <w:rPr>
          <w:rStyle w:val="ItalicText"/>
          <w:lang w:eastAsia="en-US"/>
        </w:rPr>
        <w:t>Melbourne Sewerage Strategy</w:t>
      </w:r>
      <w:r>
        <w:rPr>
          <w:lang w:eastAsia="en-US"/>
        </w:rPr>
        <w:t xml:space="preserve">. The strategy takes a long-term view, planning for a population of 10 million people thriving in a water-sensitive city. The </w:t>
      </w:r>
      <w:r w:rsidRPr="00852C21">
        <w:rPr>
          <w:rStyle w:val="ItalicText"/>
          <w:lang w:eastAsia="en-US"/>
        </w:rPr>
        <w:t>Melbourne Sewerage Strategy</w:t>
      </w:r>
      <w:r>
        <w:rPr>
          <w:lang w:eastAsia="en-US"/>
        </w:rPr>
        <w:t xml:space="preserve"> describes a 50-year transformation in our sewerage system from a mostly one-way process that collects, treats and discharges, to a circular process focused on the recovery, re-use and recycling of valuable resources like water, biosolids and energy.</w:t>
      </w:r>
    </w:p>
    <w:p w14:paraId="4B3ED8E2" w14:textId="77777777" w:rsidR="00852C21" w:rsidRDefault="00852C21" w:rsidP="00852C21">
      <w:pPr>
        <w:pStyle w:val="Heading3"/>
      </w:pPr>
      <w:bookmarkStart w:id="155" w:name="_Ref89718534"/>
      <w:bookmarkStart w:id="156" w:name="_Toc89722973"/>
      <w:bookmarkStart w:id="157" w:name="_Toc90325916"/>
      <w:bookmarkStart w:id="158" w:name="_Toc93659322"/>
      <w:r>
        <w:t>The Melbourne Sewerage Strategy</w:t>
      </w:r>
      <w:bookmarkEnd w:id="155"/>
      <w:bookmarkEnd w:id="156"/>
      <w:bookmarkEnd w:id="157"/>
      <w:bookmarkEnd w:id="158"/>
    </w:p>
    <w:p w14:paraId="4EA8EDDB" w14:textId="29A80E3B" w:rsidR="00852C21" w:rsidRDefault="00852C21" w:rsidP="00852C21">
      <w:pPr>
        <w:pStyle w:val="BodyText"/>
        <w:rPr>
          <w:lang w:eastAsia="en-US"/>
        </w:rPr>
      </w:pPr>
      <w:r>
        <w:rPr>
          <w:lang w:eastAsia="en-US"/>
        </w:rPr>
        <w:t xml:space="preserve">Implementing this strategy in 2020-21 included completing a ‘Case for Change’ which focuses on the use of key facts to describe the need for the change set out in the </w:t>
      </w:r>
      <w:r w:rsidRPr="00852C21">
        <w:rPr>
          <w:rStyle w:val="ItalicText"/>
          <w:lang w:eastAsia="en-US"/>
        </w:rPr>
        <w:t>Melbourne</w:t>
      </w:r>
      <w:r w:rsidRPr="00852C21">
        <w:rPr>
          <w:rStyle w:val="ItalicText"/>
        </w:rPr>
        <w:t xml:space="preserve"> </w:t>
      </w:r>
      <w:r w:rsidRPr="00852C21">
        <w:rPr>
          <w:rStyle w:val="ItalicText"/>
          <w:lang w:eastAsia="en-US"/>
        </w:rPr>
        <w:t>Sewerage Strategy</w:t>
      </w:r>
      <w:r>
        <w:rPr>
          <w:lang w:eastAsia="en-US"/>
        </w:rPr>
        <w:t>, and establishes the planning principles we will use to ensure Melbourne’s sewerage service continues to protect public health and the environment while becoming an increasingly circular system. Adaptive pathway plans have also progressed, which will ensure our system is prepared for the future while providing the flexibility needed to respond appropriately in our rapidly changing world.</w:t>
      </w:r>
    </w:p>
    <w:p w14:paraId="5C41A661" w14:textId="1635A979" w:rsidR="00852C21" w:rsidRDefault="00852C21" w:rsidP="00852C21">
      <w:pPr>
        <w:pStyle w:val="BodyText"/>
        <w:rPr>
          <w:lang w:eastAsia="en-US"/>
        </w:rPr>
      </w:pPr>
      <w:r>
        <w:rPr>
          <w:lang w:eastAsia="en-US"/>
        </w:rPr>
        <w:t xml:space="preserve">Work on the adaptive pathway plans for the </w:t>
      </w:r>
      <w:r w:rsidR="0030196D">
        <w:rPr>
          <w:lang w:eastAsia="en-US"/>
        </w:rPr>
        <w:t>Eastern Treatment Plant</w:t>
      </w:r>
      <w:r>
        <w:rPr>
          <w:lang w:eastAsia="en-US"/>
        </w:rPr>
        <w:t xml:space="preserve"> and </w:t>
      </w:r>
      <w:r w:rsidR="0030196D">
        <w:rPr>
          <w:lang w:eastAsia="en-US"/>
        </w:rPr>
        <w:t>Western Treatment Plant</w:t>
      </w:r>
      <w:r>
        <w:rPr>
          <w:lang w:eastAsia="en-US"/>
        </w:rPr>
        <w:t xml:space="preserve"> will continue through 2021-22 and will be completed in close collaboration with Melbourne’s retail water companies.</w:t>
      </w:r>
    </w:p>
    <w:p w14:paraId="244D9D27" w14:textId="2F07E0A3" w:rsidR="00852C21" w:rsidRDefault="00852C21" w:rsidP="00852C21">
      <w:pPr>
        <w:pStyle w:val="Heading3"/>
      </w:pPr>
      <w:bookmarkStart w:id="159" w:name="_Toc89722974"/>
      <w:bookmarkStart w:id="160" w:name="_Toc90325917"/>
      <w:bookmarkStart w:id="161" w:name="_Toc93659323"/>
      <w:r>
        <w:lastRenderedPageBreak/>
        <w:t>Delivering our service</w:t>
      </w:r>
      <w:bookmarkEnd w:id="159"/>
      <w:bookmarkEnd w:id="160"/>
      <w:bookmarkEnd w:id="161"/>
    </w:p>
    <w:p w14:paraId="68407C05" w14:textId="2185625D" w:rsidR="00852C21" w:rsidRDefault="00852C21" w:rsidP="00852C21">
      <w:pPr>
        <w:pStyle w:val="BodyText"/>
        <w:rPr>
          <w:lang w:eastAsia="en-US"/>
        </w:rPr>
      </w:pPr>
      <w:r>
        <w:rPr>
          <w:lang w:eastAsia="en-US"/>
        </w:rPr>
        <w:t xml:space="preserve">Operating to high customer and regulatory standards, Melbourne Water treated a total of 343 billion litres of sewage at the </w:t>
      </w:r>
      <w:r w:rsidR="0030196D">
        <w:rPr>
          <w:lang w:eastAsia="en-US"/>
        </w:rPr>
        <w:t>Eastern Treatment Plant</w:t>
      </w:r>
      <w:r>
        <w:rPr>
          <w:lang w:eastAsia="en-US"/>
        </w:rPr>
        <w:t xml:space="preserve"> and </w:t>
      </w:r>
      <w:r w:rsidR="0030196D">
        <w:rPr>
          <w:lang w:eastAsia="en-US"/>
        </w:rPr>
        <w:t>Western Treatment Plant</w:t>
      </w:r>
      <w:r>
        <w:rPr>
          <w:lang w:eastAsia="en-US"/>
        </w:rPr>
        <w:t xml:space="preserve"> in 2020-21. More than 26 billion litres of recycled water was re-used from the </w:t>
      </w:r>
      <w:r w:rsidR="0030196D">
        <w:rPr>
          <w:lang w:eastAsia="en-US"/>
        </w:rPr>
        <w:t>Western Treatment Plant</w:t>
      </w:r>
      <w:r>
        <w:rPr>
          <w:lang w:eastAsia="en-US"/>
        </w:rPr>
        <w:t xml:space="preserve"> (including conservations flows to the environment), and more than 14 billion litres from the </w:t>
      </w:r>
      <w:r w:rsidR="0030196D">
        <w:rPr>
          <w:lang w:eastAsia="en-US"/>
        </w:rPr>
        <w:t>Eastern Treatment Plant</w:t>
      </w:r>
      <w:r>
        <w:rPr>
          <w:lang w:eastAsia="en-US"/>
        </w:rPr>
        <w:t>. Further details can be seen in</w:t>
      </w:r>
      <w:r w:rsidR="0010793A">
        <w:rPr>
          <w:lang w:eastAsia="en-US"/>
        </w:rPr>
        <w:t xml:space="preserve"> </w:t>
      </w:r>
      <w:r w:rsidR="0010793A">
        <w:rPr>
          <w:lang w:eastAsia="en-US"/>
        </w:rPr>
        <w:fldChar w:fldCharType="begin"/>
      </w:r>
      <w:r w:rsidR="0010793A">
        <w:rPr>
          <w:lang w:eastAsia="en-US"/>
        </w:rPr>
        <w:instrText xml:space="preserve"> REF _Ref89644194 \h </w:instrText>
      </w:r>
      <w:r w:rsidR="0010793A">
        <w:rPr>
          <w:lang w:eastAsia="en-US"/>
        </w:rPr>
      </w:r>
      <w:r w:rsidR="0010793A">
        <w:rPr>
          <w:lang w:eastAsia="en-US"/>
        </w:rPr>
        <w:fldChar w:fldCharType="separate"/>
      </w:r>
      <w:r w:rsidR="00472151">
        <w:rPr>
          <w:lang w:eastAsia="en-US"/>
        </w:rPr>
        <w:t xml:space="preserve">Table </w:t>
      </w:r>
      <w:r w:rsidR="00472151">
        <w:rPr>
          <w:noProof/>
          <w:lang w:eastAsia="en-US"/>
        </w:rPr>
        <w:t>1</w:t>
      </w:r>
      <w:r w:rsidR="0010793A">
        <w:rPr>
          <w:lang w:eastAsia="en-US"/>
        </w:rPr>
        <w:fldChar w:fldCharType="end"/>
      </w:r>
      <w:r>
        <w:rPr>
          <w:lang w:eastAsia="en-US"/>
        </w:rPr>
        <w:t xml:space="preserve"> on page</w:t>
      </w:r>
      <w:r w:rsidR="009D31FD">
        <w:rPr>
          <w:lang w:eastAsia="en-US"/>
        </w:rPr>
        <w:t xml:space="preserve"> </w:t>
      </w:r>
      <w:r w:rsidR="009D31FD">
        <w:rPr>
          <w:lang w:eastAsia="en-US"/>
        </w:rPr>
        <w:fldChar w:fldCharType="begin"/>
      </w:r>
      <w:r w:rsidR="009D31FD">
        <w:rPr>
          <w:lang w:eastAsia="en-US"/>
        </w:rPr>
        <w:instrText xml:space="preserve"> PAGEREF _Ref89644240 \h </w:instrText>
      </w:r>
      <w:r w:rsidR="009D31FD">
        <w:rPr>
          <w:lang w:eastAsia="en-US"/>
        </w:rPr>
      </w:r>
      <w:r w:rsidR="009D31FD">
        <w:rPr>
          <w:lang w:eastAsia="en-US"/>
        </w:rPr>
        <w:fldChar w:fldCharType="separate"/>
      </w:r>
      <w:r w:rsidR="00472151">
        <w:rPr>
          <w:noProof/>
          <w:lang w:eastAsia="en-US"/>
        </w:rPr>
        <w:t>28</w:t>
      </w:r>
      <w:r w:rsidR="009D31FD">
        <w:rPr>
          <w:lang w:eastAsia="en-US"/>
        </w:rPr>
        <w:fldChar w:fldCharType="end"/>
      </w:r>
      <w:r>
        <w:rPr>
          <w:lang w:eastAsia="en-US"/>
        </w:rPr>
        <w:t>.</w:t>
      </w:r>
    </w:p>
    <w:p w14:paraId="37E36F32" w14:textId="0B3C5279" w:rsidR="00852C21" w:rsidRDefault="00852C21" w:rsidP="00852C21">
      <w:pPr>
        <w:pStyle w:val="BodyText"/>
        <w:rPr>
          <w:lang w:eastAsia="en-US"/>
        </w:rPr>
      </w:pPr>
      <w:r>
        <w:rPr>
          <w:lang w:eastAsia="en-US"/>
        </w:rPr>
        <w:t xml:space="preserve">As part of the </w:t>
      </w:r>
      <w:r w:rsidRPr="00715D41">
        <w:rPr>
          <w:rStyle w:val="ItalicText"/>
          <w:lang w:eastAsia="en-US"/>
        </w:rPr>
        <w:t>Port Phillip Bay Environmental Management Plan,</w:t>
      </w:r>
      <w:r w:rsidRPr="00715D41">
        <w:rPr>
          <w:rStyle w:val="ItalicText"/>
        </w:rPr>
        <w:t xml:space="preserve"> </w:t>
      </w:r>
      <w:r w:rsidRPr="00715D41">
        <w:rPr>
          <w:rStyle w:val="ItalicText"/>
          <w:lang w:eastAsia="en-US"/>
        </w:rPr>
        <w:t>(2017-2027,)</w:t>
      </w:r>
      <w:r>
        <w:rPr>
          <w:lang w:eastAsia="en-US"/>
        </w:rPr>
        <w:t xml:space="preserve"> the </w:t>
      </w:r>
      <w:r w:rsidR="0030196D">
        <w:rPr>
          <w:lang w:eastAsia="en-US"/>
        </w:rPr>
        <w:t>Western Treatment Plant</w:t>
      </w:r>
      <w:r>
        <w:rPr>
          <w:lang w:eastAsia="en-US"/>
        </w:rPr>
        <w:t xml:space="preserve"> has a three-year rolling average limit of 3100 tonnes per annum of nitrogen that can be discharged to Port Phillip Bay. The limit was set as a precautionary measure to prevent Bay eutrophication, noting there are other factors that affect the likelihood of this occurring other than nitrogen from </w:t>
      </w:r>
      <w:r w:rsidR="0030196D">
        <w:rPr>
          <w:lang w:eastAsia="en-US"/>
        </w:rPr>
        <w:t>Western Treatment Plant</w:t>
      </w:r>
      <w:r>
        <w:rPr>
          <w:lang w:eastAsia="en-US"/>
        </w:rPr>
        <w:t>.</w:t>
      </w:r>
    </w:p>
    <w:p w14:paraId="1E63270F" w14:textId="23F37852" w:rsidR="00852C21" w:rsidRDefault="00852C21" w:rsidP="00852C21">
      <w:pPr>
        <w:pStyle w:val="BodyText"/>
        <w:rPr>
          <w:lang w:eastAsia="en-US"/>
        </w:rPr>
      </w:pPr>
      <w:r>
        <w:rPr>
          <w:lang w:eastAsia="en-US"/>
        </w:rPr>
        <w:t>In 2020-21, approximately 3373 tonnes of nitrogen (three-year</w:t>
      </w:r>
      <w:r w:rsidR="00715D41">
        <w:rPr>
          <w:lang w:eastAsia="en-US"/>
        </w:rPr>
        <w:t xml:space="preserve"> </w:t>
      </w:r>
      <w:r>
        <w:rPr>
          <w:lang w:eastAsia="en-US"/>
        </w:rPr>
        <w:t>rolling</w:t>
      </w:r>
      <w:r w:rsidR="00715D41">
        <w:rPr>
          <w:lang w:eastAsia="en-US"/>
        </w:rPr>
        <w:t xml:space="preserve"> </w:t>
      </w:r>
      <w:r>
        <w:rPr>
          <w:lang w:eastAsia="en-US"/>
        </w:rPr>
        <w:t>average)</w:t>
      </w:r>
      <w:r w:rsidR="00715D41">
        <w:rPr>
          <w:lang w:eastAsia="en-US"/>
        </w:rPr>
        <w:t xml:space="preserve"> </w:t>
      </w:r>
      <w:r>
        <w:rPr>
          <w:lang w:eastAsia="en-US"/>
        </w:rPr>
        <w:t>was</w:t>
      </w:r>
      <w:r w:rsidR="00715D41">
        <w:rPr>
          <w:lang w:eastAsia="en-US"/>
        </w:rPr>
        <w:t xml:space="preserve"> </w:t>
      </w:r>
      <w:r>
        <w:rPr>
          <w:lang w:eastAsia="en-US"/>
        </w:rPr>
        <w:t>discharged</w:t>
      </w:r>
      <w:r w:rsidR="00715D41">
        <w:rPr>
          <w:lang w:eastAsia="en-US"/>
        </w:rPr>
        <w:t xml:space="preserve"> </w:t>
      </w:r>
      <w:r>
        <w:rPr>
          <w:lang w:eastAsia="en-US"/>
        </w:rPr>
        <w:t>from</w:t>
      </w:r>
      <w:r w:rsidR="00715D41">
        <w:rPr>
          <w:lang w:eastAsia="en-US"/>
        </w:rPr>
        <w:t xml:space="preserve"> </w:t>
      </w:r>
      <w:r w:rsidR="0030196D">
        <w:rPr>
          <w:lang w:eastAsia="en-US"/>
        </w:rPr>
        <w:t>Western Treatment Plant</w:t>
      </w:r>
      <w:r>
        <w:rPr>
          <w:lang w:eastAsia="en-US"/>
        </w:rPr>
        <w:t xml:space="preserve"> as a</w:t>
      </w:r>
      <w:r w:rsidR="00715D41">
        <w:rPr>
          <w:lang w:eastAsia="en-US"/>
        </w:rPr>
        <w:t xml:space="preserve"> </w:t>
      </w:r>
      <w:r>
        <w:rPr>
          <w:lang w:eastAsia="en-US"/>
        </w:rPr>
        <w:t>result</w:t>
      </w:r>
      <w:r w:rsidR="00715D41">
        <w:rPr>
          <w:lang w:eastAsia="en-US"/>
        </w:rPr>
        <w:t xml:space="preserve"> </w:t>
      </w:r>
      <w:r>
        <w:rPr>
          <w:lang w:eastAsia="en-US"/>
        </w:rPr>
        <w:t>of higher</w:t>
      </w:r>
      <w:r w:rsidR="00715D41">
        <w:rPr>
          <w:lang w:eastAsia="en-US"/>
        </w:rPr>
        <w:t xml:space="preserve"> </w:t>
      </w:r>
      <w:r>
        <w:rPr>
          <w:lang w:eastAsia="en-US"/>
        </w:rPr>
        <w:t>than</w:t>
      </w:r>
      <w:r w:rsidR="00715D41">
        <w:rPr>
          <w:lang w:eastAsia="en-US"/>
        </w:rPr>
        <w:t xml:space="preserve"> </w:t>
      </w:r>
      <w:r>
        <w:rPr>
          <w:lang w:eastAsia="en-US"/>
        </w:rPr>
        <w:t>forecast</w:t>
      </w:r>
      <w:r w:rsidR="00715D41">
        <w:rPr>
          <w:lang w:eastAsia="en-US"/>
        </w:rPr>
        <w:t xml:space="preserve"> </w:t>
      </w:r>
      <w:r>
        <w:rPr>
          <w:lang w:eastAsia="en-US"/>
        </w:rPr>
        <w:t>nitrogen loads entering</w:t>
      </w:r>
      <w:r w:rsidR="00715D41">
        <w:rPr>
          <w:lang w:eastAsia="en-US"/>
        </w:rPr>
        <w:t xml:space="preserve"> </w:t>
      </w:r>
      <w:r w:rsidR="0030196D">
        <w:rPr>
          <w:lang w:eastAsia="en-US"/>
        </w:rPr>
        <w:t>Western Treatment Plant</w:t>
      </w:r>
      <w:r>
        <w:rPr>
          <w:lang w:eastAsia="en-US"/>
        </w:rPr>
        <w:t>, combined</w:t>
      </w:r>
      <w:r w:rsidR="00715D41">
        <w:rPr>
          <w:lang w:eastAsia="en-US"/>
        </w:rPr>
        <w:t xml:space="preserve"> </w:t>
      </w:r>
      <w:r>
        <w:rPr>
          <w:lang w:eastAsia="en-US"/>
        </w:rPr>
        <w:t>with</w:t>
      </w:r>
      <w:r w:rsidR="00715D41">
        <w:rPr>
          <w:lang w:eastAsia="en-US"/>
        </w:rPr>
        <w:t xml:space="preserve"> </w:t>
      </w:r>
      <w:r>
        <w:rPr>
          <w:lang w:eastAsia="en-US"/>
        </w:rPr>
        <w:t>above</w:t>
      </w:r>
      <w:r w:rsidR="00715D41">
        <w:rPr>
          <w:lang w:eastAsia="en-US"/>
        </w:rPr>
        <w:t xml:space="preserve"> </w:t>
      </w:r>
      <w:r>
        <w:rPr>
          <w:lang w:eastAsia="en-US"/>
        </w:rPr>
        <w:t>average</w:t>
      </w:r>
      <w:r w:rsidR="00715D41">
        <w:rPr>
          <w:lang w:eastAsia="en-US"/>
        </w:rPr>
        <w:t xml:space="preserve"> </w:t>
      </w:r>
      <w:r>
        <w:rPr>
          <w:lang w:eastAsia="en-US"/>
        </w:rPr>
        <w:t>rainfall,</w:t>
      </w:r>
      <w:r w:rsidR="00715D41">
        <w:rPr>
          <w:lang w:eastAsia="en-US"/>
        </w:rPr>
        <w:t xml:space="preserve"> </w:t>
      </w:r>
      <w:r>
        <w:rPr>
          <w:lang w:eastAsia="en-US"/>
        </w:rPr>
        <w:t>which impacts</w:t>
      </w:r>
      <w:r w:rsidR="00715D41">
        <w:rPr>
          <w:lang w:eastAsia="en-US"/>
        </w:rPr>
        <w:t xml:space="preserve"> </w:t>
      </w:r>
      <w:r>
        <w:rPr>
          <w:lang w:eastAsia="en-US"/>
        </w:rPr>
        <w:t>nitrogen</w:t>
      </w:r>
      <w:r w:rsidR="00715D41">
        <w:rPr>
          <w:lang w:eastAsia="en-US"/>
        </w:rPr>
        <w:t xml:space="preserve"> </w:t>
      </w:r>
      <w:r>
        <w:rPr>
          <w:lang w:eastAsia="en-US"/>
        </w:rPr>
        <w:t>removal</w:t>
      </w:r>
      <w:r w:rsidR="00715D41">
        <w:rPr>
          <w:lang w:eastAsia="en-US"/>
        </w:rPr>
        <w:t xml:space="preserve"> </w:t>
      </w:r>
      <w:r>
        <w:rPr>
          <w:lang w:eastAsia="en-US"/>
        </w:rPr>
        <w:t>performance. Planned</w:t>
      </w:r>
      <w:r w:rsidR="00715D41">
        <w:rPr>
          <w:lang w:eastAsia="en-US"/>
        </w:rPr>
        <w:t xml:space="preserve"> </w:t>
      </w:r>
      <w:r>
        <w:rPr>
          <w:lang w:eastAsia="en-US"/>
        </w:rPr>
        <w:t>works</w:t>
      </w:r>
      <w:r w:rsidR="00715D41">
        <w:rPr>
          <w:lang w:eastAsia="en-US"/>
        </w:rPr>
        <w:t xml:space="preserve"> </w:t>
      </w:r>
      <w:r>
        <w:rPr>
          <w:lang w:eastAsia="en-US"/>
        </w:rPr>
        <w:t>are underway</w:t>
      </w:r>
      <w:r w:rsidR="00715D41">
        <w:rPr>
          <w:lang w:eastAsia="en-US"/>
        </w:rPr>
        <w:t xml:space="preserve"> </w:t>
      </w:r>
      <w:r>
        <w:rPr>
          <w:lang w:eastAsia="en-US"/>
        </w:rPr>
        <w:t>to support</w:t>
      </w:r>
      <w:r w:rsidR="00715D41">
        <w:rPr>
          <w:lang w:eastAsia="en-US"/>
        </w:rPr>
        <w:t xml:space="preserve"> </w:t>
      </w:r>
      <w:r>
        <w:rPr>
          <w:lang w:eastAsia="en-US"/>
        </w:rPr>
        <w:t>reducing</w:t>
      </w:r>
      <w:r w:rsidR="00715D41">
        <w:rPr>
          <w:lang w:eastAsia="en-US"/>
        </w:rPr>
        <w:t xml:space="preserve"> </w:t>
      </w:r>
      <w:r>
        <w:rPr>
          <w:lang w:eastAsia="en-US"/>
        </w:rPr>
        <w:t>nitrogen</w:t>
      </w:r>
      <w:r w:rsidR="00715D41">
        <w:rPr>
          <w:lang w:eastAsia="en-US"/>
        </w:rPr>
        <w:t xml:space="preserve"> </w:t>
      </w:r>
      <w:r>
        <w:rPr>
          <w:lang w:eastAsia="en-US"/>
        </w:rPr>
        <w:t>loads</w:t>
      </w:r>
      <w:r w:rsidR="00715D41">
        <w:rPr>
          <w:lang w:eastAsia="en-US"/>
        </w:rPr>
        <w:t xml:space="preserve"> </w:t>
      </w:r>
      <w:r>
        <w:rPr>
          <w:lang w:eastAsia="en-US"/>
        </w:rPr>
        <w:t>discharged</w:t>
      </w:r>
      <w:r w:rsidR="00715D41">
        <w:rPr>
          <w:lang w:eastAsia="en-US"/>
        </w:rPr>
        <w:t xml:space="preserve"> </w:t>
      </w:r>
      <w:r>
        <w:rPr>
          <w:lang w:eastAsia="en-US"/>
        </w:rPr>
        <w:t>from</w:t>
      </w:r>
      <w:r w:rsidR="00715D41">
        <w:rPr>
          <w:lang w:eastAsia="en-US"/>
        </w:rPr>
        <w:t xml:space="preserve"> </w:t>
      </w:r>
      <w:r w:rsidR="0030196D">
        <w:rPr>
          <w:lang w:eastAsia="en-US"/>
        </w:rPr>
        <w:t>Western Treatment Plant</w:t>
      </w:r>
      <w:r w:rsidR="00715D41">
        <w:rPr>
          <w:lang w:eastAsia="en-US"/>
        </w:rPr>
        <w:t xml:space="preserve"> </w:t>
      </w:r>
      <w:r>
        <w:rPr>
          <w:lang w:eastAsia="en-US"/>
        </w:rPr>
        <w:t>over the</w:t>
      </w:r>
      <w:r w:rsidR="00715D41">
        <w:rPr>
          <w:lang w:eastAsia="en-US"/>
        </w:rPr>
        <w:t xml:space="preserve"> </w:t>
      </w:r>
      <w:r>
        <w:rPr>
          <w:lang w:eastAsia="en-US"/>
        </w:rPr>
        <w:t>next</w:t>
      </w:r>
      <w:r w:rsidR="00715D41">
        <w:rPr>
          <w:lang w:eastAsia="en-US"/>
        </w:rPr>
        <w:t xml:space="preserve"> </w:t>
      </w:r>
      <w:r>
        <w:rPr>
          <w:lang w:eastAsia="en-US"/>
        </w:rPr>
        <w:t>few</w:t>
      </w:r>
      <w:r w:rsidR="00715D41">
        <w:rPr>
          <w:lang w:eastAsia="en-US"/>
        </w:rPr>
        <w:t xml:space="preserve"> </w:t>
      </w:r>
      <w:r>
        <w:rPr>
          <w:lang w:eastAsia="en-US"/>
        </w:rPr>
        <w:t>years,</w:t>
      </w:r>
      <w:r w:rsidR="00715D41">
        <w:rPr>
          <w:lang w:eastAsia="en-US"/>
        </w:rPr>
        <w:t xml:space="preserve"> </w:t>
      </w:r>
      <w:r>
        <w:rPr>
          <w:lang w:eastAsia="en-US"/>
        </w:rPr>
        <w:t>including a $220 million</w:t>
      </w:r>
      <w:r w:rsidR="00715D41">
        <w:rPr>
          <w:lang w:eastAsia="en-US"/>
        </w:rPr>
        <w:t xml:space="preserve"> </w:t>
      </w:r>
      <w:r>
        <w:rPr>
          <w:lang w:eastAsia="en-US"/>
        </w:rPr>
        <w:t>upgrade</w:t>
      </w:r>
      <w:r w:rsidR="00715D41">
        <w:rPr>
          <w:lang w:eastAsia="en-US"/>
        </w:rPr>
        <w:t xml:space="preserve"> </w:t>
      </w:r>
      <w:r>
        <w:rPr>
          <w:lang w:eastAsia="en-US"/>
        </w:rPr>
        <w:t>to</w:t>
      </w:r>
      <w:r w:rsidR="00715D41">
        <w:rPr>
          <w:lang w:eastAsia="en-US"/>
        </w:rPr>
        <w:t xml:space="preserve"> </w:t>
      </w:r>
      <w:r>
        <w:rPr>
          <w:lang w:eastAsia="en-US"/>
        </w:rPr>
        <w:t>the</w:t>
      </w:r>
      <w:r w:rsidR="00715D41">
        <w:rPr>
          <w:lang w:eastAsia="en-US"/>
        </w:rPr>
        <w:t xml:space="preserve"> </w:t>
      </w:r>
      <w:r>
        <w:rPr>
          <w:lang w:eastAsia="en-US"/>
        </w:rPr>
        <w:t>nitrogen</w:t>
      </w:r>
      <w:r w:rsidR="00715D41">
        <w:rPr>
          <w:lang w:eastAsia="en-US"/>
        </w:rPr>
        <w:t xml:space="preserve"> </w:t>
      </w:r>
      <w:r>
        <w:rPr>
          <w:lang w:eastAsia="en-US"/>
        </w:rPr>
        <w:t>removal</w:t>
      </w:r>
      <w:r w:rsidR="00715D41">
        <w:rPr>
          <w:lang w:eastAsia="en-US"/>
        </w:rPr>
        <w:t xml:space="preserve"> </w:t>
      </w:r>
      <w:r>
        <w:rPr>
          <w:lang w:eastAsia="en-US"/>
        </w:rPr>
        <w:t>process.</w:t>
      </w:r>
      <w:r w:rsidR="00715D41">
        <w:rPr>
          <w:lang w:eastAsia="en-US"/>
        </w:rPr>
        <w:t xml:space="preserve"> </w:t>
      </w:r>
      <w:r>
        <w:rPr>
          <w:lang w:eastAsia="en-US"/>
        </w:rPr>
        <w:t>This</w:t>
      </w:r>
      <w:r w:rsidR="00715D41">
        <w:rPr>
          <w:lang w:eastAsia="en-US"/>
        </w:rPr>
        <w:t xml:space="preserve"> </w:t>
      </w:r>
      <w:r>
        <w:rPr>
          <w:lang w:eastAsia="en-US"/>
        </w:rPr>
        <w:t>project is in</w:t>
      </w:r>
      <w:r w:rsidR="00715D41">
        <w:rPr>
          <w:lang w:eastAsia="en-US"/>
        </w:rPr>
        <w:t xml:space="preserve"> </w:t>
      </w:r>
      <w:r>
        <w:rPr>
          <w:lang w:eastAsia="en-US"/>
        </w:rPr>
        <w:t>detailed</w:t>
      </w:r>
      <w:r w:rsidR="00715D41">
        <w:rPr>
          <w:lang w:eastAsia="en-US"/>
        </w:rPr>
        <w:t xml:space="preserve"> </w:t>
      </w:r>
      <w:r>
        <w:rPr>
          <w:lang w:eastAsia="en-US"/>
        </w:rPr>
        <w:t>design and</w:t>
      </w:r>
      <w:r w:rsidR="00715D41">
        <w:rPr>
          <w:lang w:eastAsia="en-US"/>
        </w:rPr>
        <w:t xml:space="preserve"> </w:t>
      </w:r>
      <w:r>
        <w:rPr>
          <w:lang w:eastAsia="en-US"/>
        </w:rPr>
        <w:t>will</w:t>
      </w:r>
      <w:r w:rsidR="00715D41">
        <w:rPr>
          <w:lang w:eastAsia="en-US"/>
        </w:rPr>
        <w:t xml:space="preserve"> </w:t>
      </w:r>
      <w:r>
        <w:rPr>
          <w:lang w:eastAsia="en-US"/>
        </w:rPr>
        <w:t>increase</w:t>
      </w:r>
      <w:r w:rsidR="00715D41">
        <w:rPr>
          <w:lang w:eastAsia="en-US"/>
        </w:rPr>
        <w:t xml:space="preserve"> </w:t>
      </w:r>
      <w:r>
        <w:rPr>
          <w:lang w:eastAsia="en-US"/>
        </w:rPr>
        <w:t>nitrogen</w:t>
      </w:r>
      <w:r w:rsidR="00715D41">
        <w:rPr>
          <w:lang w:eastAsia="en-US"/>
        </w:rPr>
        <w:t xml:space="preserve"> </w:t>
      </w:r>
      <w:r>
        <w:rPr>
          <w:lang w:eastAsia="en-US"/>
        </w:rPr>
        <w:t>removed</w:t>
      </w:r>
      <w:r w:rsidR="00715D41">
        <w:rPr>
          <w:lang w:eastAsia="en-US"/>
        </w:rPr>
        <w:t xml:space="preserve"> </w:t>
      </w:r>
      <w:r>
        <w:rPr>
          <w:lang w:eastAsia="en-US"/>
        </w:rPr>
        <w:t>by</w:t>
      </w:r>
      <w:r w:rsidR="00715D41">
        <w:rPr>
          <w:lang w:eastAsia="en-US"/>
        </w:rPr>
        <w:t xml:space="preserve"> </w:t>
      </w:r>
      <w:r>
        <w:rPr>
          <w:lang w:eastAsia="en-US"/>
        </w:rPr>
        <w:t>the</w:t>
      </w:r>
      <w:r w:rsidR="00715D41">
        <w:rPr>
          <w:lang w:eastAsia="en-US"/>
        </w:rPr>
        <w:t xml:space="preserve"> </w:t>
      </w:r>
      <w:r>
        <w:rPr>
          <w:lang w:eastAsia="en-US"/>
        </w:rPr>
        <w:t>treatment</w:t>
      </w:r>
      <w:r w:rsidR="00715D41">
        <w:rPr>
          <w:lang w:eastAsia="en-US"/>
        </w:rPr>
        <w:t xml:space="preserve"> </w:t>
      </w:r>
      <w:r>
        <w:rPr>
          <w:lang w:eastAsia="en-US"/>
        </w:rPr>
        <w:t>process</w:t>
      </w:r>
      <w:r w:rsidR="00715D41">
        <w:rPr>
          <w:lang w:eastAsia="en-US"/>
        </w:rPr>
        <w:t xml:space="preserve"> </w:t>
      </w:r>
      <w:r>
        <w:rPr>
          <w:lang w:eastAsia="en-US"/>
        </w:rPr>
        <w:t>from</w:t>
      </w:r>
      <w:r w:rsidR="00715D41">
        <w:rPr>
          <w:lang w:eastAsia="en-US"/>
        </w:rPr>
        <w:t xml:space="preserve"> </w:t>
      </w:r>
      <w:r>
        <w:rPr>
          <w:lang w:eastAsia="en-US"/>
        </w:rPr>
        <w:t>2024.</w:t>
      </w:r>
    </w:p>
    <w:p w14:paraId="532E5C3D" w14:textId="5396B148" w:rsidR="00852C21" w:rsidRDefault="00715D41" w:rsidP="00715D41">
      <w:pPr>
        <w:pStyle w:val="PullBox"/>
      </w:pPr>
      <w:r>
        <w:t>343 billion litres sewage treated</w:t>
      </w:r>
    </w:p>
    <w:p w14:paraId="4203C023" w14:textId="42EBC887" w:rsidR="00715D41" w:rsidRDefault="00715D41" w:rsidP="00715D41">
      <w:pPr>
        <w:pStyle w:val="Heading3"/>
      </w:pPr>
      <w:bookmarkStart w:id="162" w:name="_Toc89722975"/>
      <w:bookmarkStart w:id="163" w:name="_Toc90325918"/>
      <w:bookmarkStart w:id="164" w:name="_Toc93659324"/>
      <w:r>
        <w:t>Improving our understanding of biogas production</w:t>
      </w:r>
      <w:bookmarkEnd w:id="162"/>
      <w:bookmarkEnd w:id="163"/>
      <w:bookmarkEnd w:id="164"/>
    </w:p>
    <w:p w14:paraId="659BB61F" w14:textId="2B23BBBF" w:rsidR="00715D41" w:rsidRDefault="00715D41" w:rsidP="00715D41">
      <w:pPr>
        <w:pStyle w:val="BodyText"/>
        <w:rPr>
          <w:lang w:eastAsia="en-US"/>
        </w:rPr>
      </w:pPr>
      <w:r>
        <w:rPr>
          <w:lang w:eastAsia="en-US"/>
        </w:rPr>
        <w:t xml:space="preserve">Methane-rich biogas is produced from parts of our treatment process. This biogas is used to generate renewable energy onsite, which powers our sewage treatment plants. This year, we have continued to deepen our understanding of biogas production at the covered anaerobic lagoons at the </w:t>
      </w:r>
      <w:r w:rsidR="0030196D">
        <w:rPr>
          <w:lang w:eastAsia="en-US"/>
        </w:rPr>
        <w:t>Western Treatment Plant</w:t>
      </w:r>
      <w:r>
        <w:rPr>
          <w:lang w:eastAsia="en-US"/>
        </w:rPr>
        <w:t>. This will help with optimising production of biogas and potentially improve the service life of lagoon covers and the performance of our treatment process, through research into the factors that contribute to their deterioration.</w:t>
      </w:r>
    </w:p>
    <w:p w14:paraId="2D5971D9" w14:textId="7C22A259" w:rsidR="00715D41" w:rsidRDefault="00715D41" w:rsidP="00715D41">
      <w:pPr>
        <w:pStyle w:val="BodyText"/>
        <w:rPr>
          <w:lang w:eastAsia="en-US"/>
        </w:rPr>
      </w:pPr>
      <w:r>
        <w:rPr>
          <w:lang w:eastAsia="en-US"/>
        </w:rPr>
        <w:t>Melbourne Water is working with the University of</w:t>
      </w:r>
      <w:r w:rsidR="006F579F">
        <w:rPr>
          <w:lang w:eastAsia="en-US"/>
        </w:rPr>
        <w:t xml:space="preserve"> </w:t>
      </w:r>
      <w:r>
        <w:rPr>
          <w:lang w:eastAsia="en-US"/>
        </w:rPr>
        <w:t>Queensland, University of Melbourne and RMIT University to</w:t>
      </w:r>
      <w:r w:rsidR="006F579F">
        <w:rPr>
          <w:lang w:eastAsia="en-US"/>
        </w:rPr>
        <w:t xml:space="preserve"> </w:t>
      </w:r>
      <w:r>
        <w:rPr>
          <w:lang w:eastAsia="en-US"/>
        </w:rPr>
        <w:t>develop evidence-based solids management strategies. For the</w:t>
      </w:r>
      <w:r w:rsidR="006F579F">
        <w:rPr>
          <w:lang w:eastAsia="en-US"/>
        </w:rPr>
        <w:t xml:space="preserve"> </w:t>
      </w:r>
      <w:r>
        <w:rPr>
          <w:lang w:eastAsia="en-US"/>
        </w:rPr>
        <w:t>past three years, a pilot plant with a glass window has been</w:t>
      </w:r>
      <w:r w:rsidR="006F579F">
        <w:rPr>
          <w:lang w:eastAsia="en-US"/>
        </w:rPr>
        <w:t xml:space="preserve"> </w:t>
      </w:r>
      <w:r>
        <w:rPr>
          <w:lang w:eastAsia="en-US"/>
        </w:rPr>
        <w:t>operating, which allows us to see and understand the solids</w:t>
      </w:r>
      <w:r w:rsidR="006F579F">
        <w:rPr>
          <w:lang w:eastAsia="en-US"/>
        </w:rPr>
        <w:t xml:space="preserve"> </w:t>
      </w:r>
      <w:r>
        <w:rPr>
          <w:lang w:eastAsia="en-US"/>
        </w:rPr>
        <w:t>dynamics. We have built a biochemical-hydrodynamic model</w:t>
      </w:r>
      <w:r w:rsidR="006F579F">
        <w:rPr>
          <w:lang w:eastAsia="en-US"/>
        </w:rPr>
        <w:t xml:space="preserve"> </w:t>
      </w:r>
      <w:r>
        <w:rPr>
          <w:lang w:eastAsia="en-US"/>
        </w:rPr>
        <w:t>that replicates the pilot plant and full-scale lagoons. This will</w:t>
      </w:r>
      <w:r w:rsidR="006F579F">
        <w:rPr>
          <w:lang w:eastAsia="en-US"/>
        </w:rPr>
        <w:t xml:space="preserve"> </w:t>
      </w:r>
      <w:r>
        <w:rPr>
          <w:lang w:eastAsia="en-US"/>
        </w:rPr>
        <w:t>allow testing of different scenarios on how best to manage</w:t>
      </w:r>
      <w:r w:rsidR="006F579F">
        <w:rPr>
          <w:lang w:eastAsia="en-US"/>
        </w:rPr>
        <w:t xml:space="preserve"> </w:t>
      </w:r>
      <w:r>
        <w:rPr>
          <w:lang w:eastAsia="en-US"/>
        </w:rPr>
        <w:t>solids and optimise biogas production, reducing waste from our</w:t>
      </w:r>
      <w:r w:rsidR="006F579F">
        <w:rPr>
          <w:lang w:eastAsia="en-US"/>
        </w:rPr>
        <w:t xml:space="preserve"> </w:t>
      </w:r>
      <w:r>
        <w:rPr>
          <w:lang w:eastAsia="en-US"/>
        </w:rPr>
        <w:t>sewerage service and supporting a circular economy.</w:t>
      </w:r>
    </w:p>
    <w:p w14:paraId="27C1083B" w14:textId="1397669E" w:rsidR="00715D41" w:rsidRDefault="00715D41" w:rsidP="006F579F">
      <w:pPr>
        <w:pStyle w:val="Heading3"/>
      </w:pPr>
      <w:bookmarkStart w:id="165" w:name="_Toc89722976"/>
      <w:bookmarkStart w:id="166" w:name="_Toc90325919"/>
      <w:bookmarkStart w:id="167" w:name="_Toc93659325"/>
      <w:r>
        <w:t>Delivering an internationally significant</w:t>
      </w:r>
      <w:r w:rsidR="006F579F">
        <w:t xml:space="preserve"> </w:t>
      </w:r>
      <w:r>
        <w:t>wastewater treatment innovation</w:t>
      </w:r>
      <w:bookmarkEnd w:id="165"/>
      <w:bookmarkEnd w:id="166"/>
      <w:bookmarkEnd w:id="167"/>
    </w:p>
    <w:p w14:paraId="40448250" w14:textId="6436C1E4" w:rsidR="00715D41" w:rsidRDefault="00715D41" w:rsidP="00715D41">
      <w:pPr>
        <w:pStyle w:val="BodyText"/>
        <w:rPr>
          <w:lang w:eastAsia="en-US"/>
        </w:rPr>
      </w:pPr>
      <w:r>
        <w:rPr>
          <w:lang w:eastAsia="en-US"/>
        </w:rPr>
        <w:t>Nitrogen removal is a vital step in the wastewater treatment</w:t>
      </w:r>
      <w:r w:rsidR="006F579F">
        <w:rPr>
          <w:lang w:eastAsia="en-US"/>
        </w:rPr>
        <w:t xml:space="preserve"> </w:t>
      </w:r>
      <w:r>
        <w:rPr>
          <w:lang w:eastAsia="en-US"/>
        </w:rPr>
        <w:t xml:space="preserve">process at </w:t>
      </w:r>
      <w:r w:rsidR="0030196D">
        <w:rPr>
          <w:lang w:eastAsia="en-US"/>
        </w:rPr>
        <w:t>Western Treatment Plant</w:t>
      </w:r>
      <w:r>
        <w:rPr>
          <w:lang w:eastAsia="en-US"/>
        </w:rPr>
        <w:t>. It reduces nutrients in the treated water that</w:t>
      </w:r>
      <w:r w:rsidR="006F579F">
        <w:rPr>
          <w:lang w:eastAsia="en-US"/>
        </w:rPr>
        <w:t xml:space="preserve"> </w:t>
      </w:r>
      <w:r>
        <w:rPr>
          <w:lang w:eastAsia="en-US"/>
        </w:rPr>
        <w:t>is discharged to Port Phillip Bay, protecting the environment.</w:t>
      </w:r>
      <w:r w:rsidR="006F579F">
        <w:rPr>
          <w:lang w:eastAsia="en-US"/>
        </w:rPr>
        <w:t xml:space="preserve"> </w:t>
      </w:r>
      <w:r>
        <w:rPr>
          <w:lang w:eastAsia="en-US"/>
        </w:rPr>
        <w:t>Our existing nitrogen removal processes rely on bacteria that</w:t>
      </w:r>
      <w:r w:rsidR="006F579F">
        <w:rPr>
          <w:lang w:eastAsia="en-US"/>
        </w:rPr>
        <w:t xml:space="preserve"> </w:t>
      </w:r>
      <w:r>
        <w:rPr>
          <w:lang w:eastAsia="en-US"/>
        </w:rPr>
        <w:t>use large quantities of oxygen and carbon, and consequently</w:t>
      </w:r>
      <w:r w:rsidR="006F579F">
        <w:rPr>
          <w:lang w:eastAsia="en-US"/>
        </w:rPr>
        <w:t xml:space="preserve"> </w:t>
      </w:r>
      <w:r>
        <w:rPr>
          <w:lang w:eastAsia="en-US"/>
        </w:rPr>
        <w:t>require a lot of energy. A shortcut for the nitrogen removal</w:t>
      </w:r>
      <w:r w:rsidR="006F579F">
        <w:rPr>
          <w:lang w:eastAsia="en-US"/>
        </w:rPr>
        <w:t xml:space="preserve"> </w:t>
      </w:r>
      <w:r>
        <w:rPr>
          <w:lang w:eastAsia="en-US"/>
        </w:rPr>
        <w:t>process is being used in other parts of the world on</w:t>
      </w:r>
      <w:r w:rsidR="006F579F">
        <w:rPr>
          <w:lang w:eastAsia="en-US"/>
        </w:rPr>
        <w:t xml:space="preserve"> </w:t>
      </w:r>
      <w:r>
        <w:rPr>
          <w:lang w:eastAsia="en-US"/>
        </w:rPr>
        <w:t>concentrated sewage, to reduce both the oxygen and carbon</w:t>
      </w:r>
      <w:r w:rsidR="006F579F">
        <w:rPr>
          <w:lang w:eastAsia="en-US"/>
        </w:rPr>
        <w:t xml:space="preserve"> </w:t>
      </w:r>
      <w:r>
        <w:rPr>
          <w:lang w:eastAsia="en-US"/>
        </w:rPr>
        <w:t>requirements for nitrogen removal.</w:t>
      </w:r>
    </w:p>
    <w:p w14:paraId="16D94E03" w14:textId="118C8071" w:rsidR="00715D41" w:rsidRDefault="00715D41" w:rsidP="00715D41">
      <w:pPr>
        <w:pStyle w:val="BodyText"/>
        <w:rPr>
          <w:lang w:eastAsia="en-US"/>
        </w:rPr>
      </w:pPr>
      <w:r>
        <w:rPr>
          <w:lang w:eastAsia="en-US"/>
        </w:rPr>
        <w:t>Melbourne Water recently concluded a two-and-a-half-year</w:t>
      </w:r>
      <w:r w:rsidR="006F579F">
        <w:rPr>
          <w:lang w:eastAsia="en-US"/>
        </w:rPr>
        <w:t xml:space="preserve"> </w:t>
      </w:r>
      <w:r>
        <w:rPr>
          <w:lang w:eastAsia="en-US"/>
        </w:rPr>
        <w:t xml:space="preserve">trial of the shortcut nitrogen removal process at </w:t>
      </w:r>
      <w:r w:rsidR="0030196D">
        <w:rPr>
          <w:lang w:eastAsia="en-US"/>
        </w:rPr>
        <w:t>Western Treatment Plant</w:t>
      </w:r>
      <w:r>
        <w:rPr>
          <w:lang w:eastAsia="en-US"/>
        </w:rPr>
        <w:t>. The</w:t>
      </w:r>
      <w:r w:rsidR="006F579F">
        <w:rPr>
          <w:lang w:eastAsia="en-US"/>
        </w:rPr>
        <w:t xml:space="preserve"> </w:t>
      </w:r>
      <w:r>
        <w:rPr>
          <w:lang w:eastAsia="en-US"/>
        </w:rPr>
        <w:t>plant was able to continuously maintain the right balance of</w:t>
      </w:r>
      <w:r w:rsidR="006F579F">
        <w:rPr>
          <w:lang w:eastAsia="en-US"/>
        </w:rPr>
        <w:t xml:space="preserve"> </w:t>
      </w:r>
      <w:r>
        <w:rPr>
          <w:lang w:eastAsia="en-US"/>
        </w:rPr>
        <w:t>bacteria over the full range of expected conditions – a world</w:t>
      </w:r>
      <w:r w:rsidR="004C627C">
        <w:rPr>
          <w:lang w:eastAsia="en-US"/>
        </w:rPr>
        <w:t>-</w:t>
      </w:r>
      <w:r>
        <w:rPr>
          <w:lang w:eastAsia="en-US"/>
        </w:rPr>
        <w:t>first</w:t>
      </w:r>
      <w:r w:rsidR="006F579F">
        <w:rPr>
          <w:lang w:eastAsia="en-US"/>
        </w:rPr>
        <w:t xml:space="preserve"> </w:t>
      </w:r>
      <w:r>
        <w:rPr>
          <w:lang w:eastAsia="en-US"/>
        </w:rPr>
        <w:t>for continuous</w:t>
      </w:r>
      <w:r w:rsidR="006F579F">
        <w:rPr>
          <w:lang w:eastAsia="en-US"/>
        </w:rPr>
        <w:t xml:space="preserve"> </w:t>
      </w:r>
      <w:r>
        <w:rPr>
          <w:lang w:eastAsia="en-US"/>
        </w:rPr>
        <w:t>robust</w:t>
      </w:r>
      <w:r w:rsidR="006F579F">
        <w:rPr>
          <w:lang w:eastAsia="en-US"/>
        </w:rPr>
        <w:t xml:space="preserve"> </w:t>
      </w:r>
      <w:r>
        <w:rPr>
          <w:lang w:eastAsia="en-US"/>
        </w:rPr>
        <w:t>operation in</w:t>
      </w:r>
      <w:r w:rsidR="006F579F">
        <w:rPr>
          <w:lang w:eastAsia="en-US"/>
        </w:rPr>
        <w:t xml:space="preserve"> </w:t>
      </w:r>
      <w:r>
        <w:rPr>
          <w:lang w:eastAsia="en-US"/>
        </w:rPr>
        <w:t>temperate conditions.</w:t>
      </w:r>
      <w:r w:rsidR="006F579F">
        <w:rPr>
          <w:lang w:eastAsia="en-US"/>
        </w:rPr>
        <w:t xml:space="preserve"> </w:t>
      </w:r>
      <w:r>
        <w:rPr>
          <w:lang w:eastAsia="en-US"/>
        </w:rPr>
        <w:t>The</w:t>
      </w:r>
      <w:r w:rsidR="006F579F">
        <w:rPr>
          <w:lang w:eastAsia="en-US"/>
        </w:rPr>
        <w:t xml:space="preserve"> </w:t>
      </w:r>
      <w:r>
        <w:rPr>
          <w:lang w:eastAsia="en-US"/>
        </w:rPr>
        <w:t>process also</w:t>
      </w:r>
      <w:r w:rsidR="006F579F">
        <w:rPr>
          <w:lang w:eastAsia="en-US"/>
        </w:rPr>
        <w:t xml:space="preserve"> </w:t>
      </w:r>
      <w:r>
        <w:rPr>
          <w:lang w:eastAsia="en-US"/>
        </w:rPr>
        <w:t>achieved a 35-45 per cent</w:t>
      </w:r>
      <w:r w:rsidR="006F579F">
        <w:rPr>
          <w:lang w:eastAsia="en-US"/>
        </w:rPr>
        <w:t xml:space="preserve"> </w:t>
      </w:r>
      <w:r>
        <w:rPr>
          <w:lang w:eastAsia="en-US"/>
        </w:rPr>
        <w:t>improvement</w:t>
      </w:r>
      <w:r w:rsidR="006F579F">
        <w:rPr>
          <w:lang w:eastAsia="en-US"/>
        </w:rPr>
        <w:t xml:space="preserve"> </w:t>
      </w:r>
      <w:r>
        <w:rPr>
          <w:lang w:eastAsia="en-US"/>
        </w:rPr>
        <w:t>in carbon</w:t>
      </w:r>
      <w:r w:rsidR="006F579F">
        <w:rPr>
          <w:lang w:eastAsia="en-US"/>
        </w:rPr>
        <w:t xml:space="preserve"> </w:t>
      </w:r>
      <w:r>
        <w:rPr>
          <w:lang w:eastAsia="en-US"/>
        </w:rPr>
        <w:t>efficiency,</w:t>
      </w:r>
      <w:r w:rsidR="006F579F">
        <w:rPr>
          <w:lang w:eastAsia="en-US"/>
        </w:rPr>
        <w:t xml:space="preserve"> </w:t>
      </w:r>
      <w:r>
        <w:rPr>
          <w:lang w:eastAsia="en-US"/>
        </w:rPr>
        <w:t>which</w:t>
      </w:r>
      <w:r w:rsidR="006F579F">
        <w:rPr>
          <w:lang w:eastAsia="en-US"/>
        </w:rPr>
        <w:t xml:space="preserve"> </w:t>
      </w:r>
      <w:r>
        <w:rPr>
          <w:lang w:eastAsia="en-US"/>
        </w:rPr>
        <w:t>will allow Melbourne</w:t>
      </w:r>
      <w:r w:rsidR="006F579F">
        <w:rPr>
          <w:lang w:eastAsia="en-US"/>
        </w:rPr>
        <w:t xml:space="preserve"> </w:t>
      </w:r>
      <w:r>
        <w:rPr>
          <w:lang w:eastAsia="en-US"/>
        </w:rPr>
        <w:t>Water</w:t>
      </w:r>
      <w:r w:rsidR="006F579F">
        <w:rPr>
          <w:lang w:eastAsia="en-US"/>
        </w:rPr>
        <w:t xml:space="preserve"> </w:t>
      </w:r>
      <w:r>
        <w:rPr>
          <w:lang w:eastAsia="en-US"/>
        </w:rPr>
        <w:t>to</w:t>
      </w:r>
      <w:r w:rsidR="006F579F">
        <w:rPr>
          <w:lang w:eastAsia="en-US"/>
        </w:rPr>
        <w:t xml:space="preserve"> </w:t>
      </w:r>
      <w:r>
        <w:rPr>
          <w:lang w:eastAsia="en-US"/>
        </w:rPr>
        <w:t>optimise</w:t>
      </w:r>
      <w:r w:rsidR="006F579F">
        <w:rPr>
          <w:lang w:eastAsia="en-US"/>
        </w:rPr>
        <w:t xml:space="preserve"> </w:t>
      </w:r>
      <w:r>
        <w:rPr>
          <w:lang w:eastAsia="en-US"/>
        </w:rPr>
        <w:t>nitrogen</w:t>
      </w:r>
      <w:r w:rsidR="006F579F">
        <w:rPr>
          <w:lang w:eastAsia="en-US"/>
        </w:rPr>
        <w:t xml:space="preserve"> </w:t>
      </w:r>
      <w:r>
        <w:rPr>
          <w:lang w:eastAsia="en-US"/>
        </w:rPr>
        <w:t>removal and</w:t>
      </w:r>
      <w:r w:rsidR="006F579F">
        <w:rPr>
          <w:lang w:eastAsia="en-US"/>
        </w:rPr>
        <w:t xml:space="preserve"> </w:t>
      </w:r>
      <w:r>
        <w:rPr>
          <w:lang w:eastAsia="en-US"/>
        </w:rPr>
        <w:t>renewable</w:t>
      </w:r>
      <w:r w:rsidR="006F579F">
        <w:rPr>
          <w:lang w:eastAsia="en-US"/>
        </w:rPr>
        <w:t xml:space="preserve"> </w:t>
      </w:r>
      <w:r>
        <w:rPr>
          <w:lang w:eastAsia="en-US"/>
        </w:rPr>
        <w:t>energy</w:t>
      </w:r>
      <w:r w:rsidR="006F579F">
        <w:rPr>
          <w:lang w:eastAsia="en-US"/>
        </w:rPr>
        <w:t xml:space="preserve"> </w:t>
      </w:r>
      <w:r>
        <w:rPr>
          <w:lang w:eastAsia="en-US"/>
        </w:rPr>
        <w:t>production</w:t>
      </w:r>
      <w:r w:rsidR="006F579F">
        <w:rPr>
          <w:lang w:eastAsia="en-US"/>
        </w:rPr>
        <w:t xml:space="preserve"> </w:t>
      </w:r>
      <w:r>
        <w:rPr>
          <w:lang w:eastAsia="en-US"/>
        </w:rPr>
        <w:t>onsite,</w:t>
      </w:r>
      <w:r w:rsidR="006F579F">
        <w:rPr>
          <w:lang w:eastAsia="en-US"/>
        </w:rPr>
        <w:t xml:space="preserve"> </w:t>
      </w:r>
      <w:r>
        <w:rPr>
          <w:lang w:eastAsia="en-US"/>
        </w:rPr>
        <w:t>providing cost savings</w:t>
      </w:r>
      <w:r w:rsidR="006F579F">
        <w:rPr>
          <w:lang w:eastAsia="en-US"/>
        </w:rPr>
        <w:t xml:space="preserve"> </w:t>
      </w:r>
      <w:r>
        <w:rPr>
          <w:lang w:eastAsia="en-US"/>
        </w:rPr>
        <w:t>to customers.</w:t>
      </w:r>
      <w:r w:rsidR="006F579F">
        <w:rPr>
          <w:lang w:eastAsia="en-US"/>
        </w:rPr>
        <w:t xml:space="preserve"> </w:t>
      </w:r>
      <w:r>
        <w:rPr>
          <w:lang w:eastAsia="en-US"/>
        </w:rPr>
        <w:t>Delivering an</w:t>
      </w:r>
      <w:r w:rsidR="006F579F">
        <w:rPr>
          <w:lang w:eastAsia="en-US"/>
        </w:rPr>
        <w:t xml:space="preserve"> </w:t>
      </w:r>
      <w:r>
        <w:rPr>
          <w:lang w:eastAsia="en-US"/>
        </w:rPr>
        <w:t>international</w:t>
      </w:r>
      <w:r w:rsidR="006F579F">
        <w:rPr>
          <w:lang w:eastAsia="en-US"/>
        </w:rPr>
        <w:t xml:space="preserve"> </w:t>
      </w:r>
      <w:r>
        <w:rPr>
          <w:lang w:eastAsia="en-US"/>
        </w:rPr>
        <w:t>breakthrough aimed at</w:t>
      </w:r>
      <w:r w:rsidR="006F579F">
        <w:rPr>
          <w:lang w:eastAsia="en-US"/>
        </w:rPr>
        <w:t xml:space="preserve"> </w:t>
      </w:r>
      <w:r>
        <w:rPr>
          <w:lang w:eastAsia="en-US"/>
        </w:rPr>
        <w:t>improving effluent</w:t>
      </w:r>
      <w:r w:rsidR="006F579F">
        <w:rPr>
          <w:lang w:eastAsia="en-US"/>
        </w:rPr>
        <w:t xml:space="preserve"> </w:t>
      </w:r>
      <w:r>
        <w:rPr>
          <w:lang w:eastAsia="en-US"/>
        </w:rPr>
        <w:t>quality and</w:t>
      </w:r>
      <w:r w:rsidR="006F579F">
        <w:rPr>
          <w:lang w:eastAsia="en-US"/>
        </w:rPr>
        <w:t xml:space="preserve"> </w:t>
      </w:r>
      <w:r>
        <w:rPr>
          <w:lang w:eastAsia="en-US"/>
        </w:rPr>
        <w:t>energy</w:t>
      </w:r>
      <w:r w:rsidR="006F579F">
        <w:rPr>
          <w:lang w:eastAsia="en-US"/>
        </w:rPr>
        <w:t xml:space="preserve"> </w:t>
      </w:r>
      <w:r>
        <w:rPr>
          <w:lang w:eastAsia="en-US"/>
        </w:rPr>
        <w:t>neutral</w:t>
      </w:r>
      <w:r w:rsidR="006F579F">
        <w:rPr>
          <w:lang w:eastAsia="en-US"/>
        </w:rPr>
        <w:t xml:space="preserve"> </w:t>
      </w:r>
      <w:r>
        <w:rPr>
          <w:lang w:eastAsia="en-US"/>
        </w:rPr>
        <w:t>wastewater</w:t>
      </w:r>
      <w:r w:rsidR="006F579F">
        <w:rPr>
          <w:lang w:eastAsia="en-US"/>
        </w:rPr>
        <w:t xml:space="preserve"> </w:t>
      </w:r>
      <w:r>
        <w:rPr>
          <w:lang w:eastAsia="en-US"/>
        </w:rPr>
        <w:lastRenderedPageBreak/>
        <w:t>treatment,</w:t>
      </w:r>
      <w:r w:rsidR="006F579F">
        <w:rPr>
          <w:lang w:eastAsia="en-US"/>
        </w:rPr>
        <w:t xml:space="preserve"> </w:t>
      </w:r>
      <w:r>
        <w:rPr>
          <w:lang w:eastAsia="en-US"/>
        </w:rPr>
        <w:t>the shortcut</w:t>
      </w:r>
      <w:r w:rsidR="006F579F">
        <w:rPr>
          <w:lang w:eastAsia="en-US"/>
        </w:rPr>
        <w:t xml:space="preserve"> </w:t>
      </w:r>
      <w:r>
        <w:rPr>
          <w:lang w:eastAsia="en-US"/>
        </w:rPr>
        <w:t>nitrogen pilot plant</w:t>
      </w:r>
      <w:r w:rsidR="006F579F">
        <w:rPr>
          <w:lang w:eastAsia="en-US"/>
        </w:rPr>
        <w:t xml:space="preserve"> </w:t>
      </w:r>
      <w:r>
        <w:rPr>
          <w:lang w:eastAsia="en-US"/>
        </w:rPr>
        <w:t>trial</w:t>
      </w:r>
      <w:r w:rsidR="006F579F">
        <w:rPr>
          <w:lang w:eastAsia="en-US"/>
        </w:rPr>
        <w:t xml:space="preserve"> </w:t>
      </w:r>
      <w:r>
        <w:rPr>
          <w:lang w:eastAsia="en-US"/>
        </w:rPr>
        <w:t>was a</w:t>
      </w:r>
      <w:r w:rsidR="006F579F">
        <w:rPr>
          <w:lang w:eastAsia="en-US"/>
        </w:rPr>
        <w:t xml:space="preserve"> </w:t>
      </w:r>
      <w:r>
        <w:rPr>
          <w:lang w:eastAsia="en-US"/>
        </w:rPr>
        <w:t>finalist in</w:t>
      </w:r>
      <w:r w:rsidR="006F579F">
        <w:rPr>
          <w:lang w:eastAsia="en-US"/>
        </w:rPr>
        <w:t xml:space="preserve"> </w:t>
      </w:r>
      <w:r>
        <w:rPr>
          <w:lang w:eastAsia="en-US"/>
        </w:rPr>
        <w:t>the</w:t>
      </w:r>
      <w:r w:rsidR="006F579F">
        <w:rPr>
          <w:lang w:eastAsia="en-US"/>
        </w:rPr>
        <w:t xml:space="preserve"> </w:t>
      </w:r>
      <w:r>
        <w:rPr>
          <w:lang w:eastAsia="en-US"/>
        </w:rPr>
        <w:t>Australian</w:t>
      </w:r>
      <w:r w:rsidR="006F579F">
        <w:rPr>
          <w:lang w:eastAsia="en-US"/>
        </w:rPr>
        <w:t xml:space="preserve"> </w:t>
      </w:r>
      <w:r>
        <w:rPr>
          <w:lang w:eastAsia="en-US"/>
        </w:rPr>
        <w:t>Water</w:t>
      </w:r>
      <w:r w:rsidR="006F579F">
        <w:rPr>
          <w:lang w:eastAsia="en-US"/>
        </w:rPr>
        <w:t xml:space="preserve"> </w:t>
      </w:r>
      <w:r>
        <w:rPr>
          <w:lang w:eastAsia="en-US"/>
        </w:rPr>
        <w:t>Association's Victorian</w:t>
      </w:r>
      <w:r w:rsidR="006F579F">
        <w:rPr>
          <w:lang w:eastAsia="en-US"/>
        </w:rPr>
        <w:t xml:space="preserve"> </w:t>
      </w:r>
      <w:r>
        <w:rPr>
          <w:lang w:eastAsia="en-US"/>
        </w:rPr>
        <w:t>awards.</w:t>
      </w:r>
    </w:p>
    <w:p w14:paraId="07D8A984" w14:textId="7D1C194A" w:rsidR="00715D41" w:rsidRDefault="00715D41" w:rsidP="00715D41">
      <w:pPr>
        <w:pStyle w:val="BodyText"/>
        <w:rPr>
          <w:lang w:eastAsia="en-US"/>
        </w:rPr>
      </w:pPr>
      <w:r>
        <w:rPr>
          <w:lang w:eastAsia="en-US"/>
        </w:rPr>
        <w:t>In 2020-21 the outcomes from the pilot plant were analysed as</w:t>
      </w:r>
      <w:r w:rsidR="006F579F">
        <w:rPr>
          <w:lang w:eastAsia="en-US"/>
        </w:rPr>
        <w:t xml:space="preserve"> </w:t>
      </w:r>
      <w:r>
        <w:rPr>
          <w:lang w:eastAsia="en-US"/>
        </w:rPr>
        <w:t>part of the value engineering assessment for the augmentation</w:t>
      </w:r>
      <w:r w:rsidR="006F579F">
        <w:rPr>
          <w:lang w:eastAsia="en-US"/>
        </w:rPr>
        <w:t xml:space="preserve"> </w:t>
      </w:r>
      <w:r>
        <w:rPr>
          <w:lang w:eastAsia="en-US"/>
        </w:rPr>
        <w:t>of the existing 55E Activated Sludge Plant. The new treatment</w:t>
      </w:r>
      <w:r w:rsidR="006F579F">
        <w:rPr>
          <w:lang w:eastAsia="en-US"/>
        </w:rPr>
        <w:t xml:space="preserve"> </w:t>
      </w:r>
      <w:r>
        <w:rPr>
          <w:lang w:eastAsia="en-US"/>
        </w:rPr>
        <w:t>process was chosen as the preferred option for this significant</w:t>
      </w:r>
      <w:r w:rsidR="006F579F">
        <w:rPr>
          <w:lang w:eastAsia="en-US"/>
        </w:rPr>
        <w:t xml:space="preserve"> </w:t>
      </w:r>
      <w:r>
        <w:rPr>
          <w:lang w:eastAsia="en-US"/>
        </w:rPr>
        <w:t>capital upgrade project, and a full-scale plant is currently planned to be commissioned in late 2024.</w:t>
      </w:r>
    </w:p>
    <w:p w14:paraId="1D1D0287" w14:textId="551E1190" w:rsidR="006F579F" w:rsidRDefault="006F579F" w:rsidP="006F579F">
      <w:pPr>
        <w:pStyle w:val="Heading3"/>
      </w:pPr>
      <w:bookmarkStart w:id="168" w:name="_Toc89722977"/>
      <w:bookmarkStart w:id="169" w:name="_Toc90325920"/>
      <w:bookmarkStart w:id="170" w:name="_Toc93659326"/>
      <w:r>
        <w:t>Expanding our system to support a growing region</w:t>
      </w:r>
      <w:bookmarkEnd w:id="168"/>
      <w:bookmarkEnd w:id="169"/>
      <w:bookmarkEnd w:id="170"/>
    </w:p>
    <w:p w14:paraId="1D718795" w14:textId="51E47B2F" w:rsidR="006F579F" w:rsidRDefault="006F579F" w:rsidP="006F579F">
      <w:pPr>
        <w:pStyle w:val="BodyText"/>
        <w:rPr>
          <w:lang w:eastAsia="en-US"/>
        </w:rPr>
      </w:pPr>
      <w:r>
        <w:rPr>
          <w:lang w:eastAsia="en-US"/>
        </w:rPr>
        <w:t xml:space="preserve">Due to high growth in the west and north of Melbourne, the anaerobic lagoons at </w:t>
      </w:r>
      <w:r w:rsidR="0030196D">
        <w:rPr>
          <w:lang w:eastAsia="en-US"/>
        </w:rPr>
        <w:t>Western Treatment Plant</w:t>
      </w:r>
      <w:r>
        <w:rPr>
          <w:lang w:eastAsia="en-US"/>
        </w:rPr>
        <w:t xml:space="preserve"> are nearing capacity. While research projects underway will assist with optimising performance and the cost of managing the lagoons (see page </w:t>
      </w:r>
      <w:r w:rsidR="009D31FD">
        <w:rPr>
          <w:lang w:eastAsia="en-US"/>
        </w:rPr>
        <w:fldChar w:fldCharType="begin"/>
      </w:r>
      <w:r w:rsidR="009D31FD">
        <w:rPr>
          <w:lang w:eastAsia="en-US"/>
        </w:rPr>
        <w:instrText xml:space="preserve"> PAGEREF _Ref89718534 \h </w:instrText>
      </w:r>
      <w:r w:rsidR="009D31FD">
        <w:rPr>
          <w:lang w:eastAsia="en-US"/>
        </w:rPr>
      </w:r>
      <w:r w:rsidR="009D31FD">
        <w:rPr>
          <w:lang w:eastAsia="en-US"/>
        </w:rPr>
        <w:fldChar w:fldCharType="separate"/>
      </w:r>
      <w:r w:rsidR="00472151">
        <w:rPr>
          <w:noProof/>
          <w:lang w:eastAsia="en-US"/>
        </w:rPr>
        <w:t>29</w:t>
      </w:r>
      <w:r w:rsidR="009D31FD">
        <w:rPr>
          <w:lang w:eastAsia="en-US"/>
        </w:rPr>
        <w:fldChar w:fldCharType="end"/>
      </w:r>
      <w:r>
        <w:rPr>
          <w:lang w:eastAsia="en-US"/>
        </w:rPr>
        <w:t>), the system needs to be augmented to manage this population growth.</w:t>
      </w:r>
    </w:p>
    <w:p w14:paraId="52824479" w14:textId="33984B59" w:rsidR="006F579F" w:rsidRDefault="006F579F" w:rsidP="006F579F">
      <w:pPr>
        <w:pStyle w:val="BodyText"/>
        <w:rPr>
          <w:lang w:eastAsia="en-US"/>
        </w:rPr>
      </w:pPr>
      <w:r>
        <w:rPr>
          <w:lang w:eastAsia="en-US"/>
        </w:rPr>
        <w:t xml:space="preserve">Planning is underway for the </w:t>
      </w:r>
      <w:r w:rsidR="0030196D">
        <w:rPr>
          <w:lang w:eastAsia="en-US"/>
        </w:rPr>
        <w:t>Western Treatment Plant</w:t>
      </w:r>
      <w:r>
        <w:rPr>
          <w:lang w:eastAsia="en-US"/>
        </w:rPr>
        <w:t xml:space="preserve"> Primary Treatment Capacity Augmentation (PTCA) – a $340 million project to create a new primary treatment process that uses technology similar to </w:t>
      </w:r>
      <w:r w:rsidR="0030196D">
        <w:rPr>
          <w:lang w:eastAsia="en-US"/>
        </w:rPr>
        <w:t>Eastern Treatment Plant</w:t>
      </w:r>
      <w:r>
        <w:rPr>
          <w:lang w:eastAsia="en-US"/>
        </w:rPr>
        <w:t>. This new asset will reduce the load on the existing anaerobic lagoons, restore them to a sustainable operating condition and build system resilience.</w:t>
      </w:r>
    </w:p>
    <w:p w14:paraId="7E4F9F25" w14:textId="594859BE" w:rsidR="00715D41" w:rsidRDefault="006F579F" w:rsidP="006F579F">
      <w:pPr>
        <w:pStyle w:val="BodyText"/>
        <w:rPr>
          <w:lang w:eastAsia="en-US"/>
        </w:rPr>
      </w:pPr>
      <w:r>
        <w:rPr>
          <w:lang w:eastAsia="en-US"/>
        </w:rPr>
        <w:t xml:space="preserve">The </w:t>
      </w:r>
      <w:r w:rsidR="00A52F94">
        <w:rPr>
          <w:lang w:eastAsia="en-US"/>
        </w:rPr>
        <w:t>Primary Treatment Capacity Augmentation</w:t>
      </w:r>
      <w:r>
        <w:rPr>
          <w:lang w:eastAsia="en-US"/>
        </w:rPr>
        <w:t xml:space="preserve"> is a transformational sewerage treatment project, which reflects an adaptive pathways approach to infrastructure planning, and is scheduled to be commissioned by 2025-26.</w:t>
      </w:r>
    </w:p>
    <w:p w14:paraId="6D511D1E" w14:textId="03EA120B" w:rsidR="006F579F" w:rsidRDefault="006F579F" w:rsidP="006F579F">
      <w:pPr>
        <w:pStyle w:val="Heading3"/>
      </w:pPr>
      <w:bookmarkStart w:id="171" w:name="_Toc89722978"/>
      <w:bookmarkStart w:id="172" w:name="_Toc90325921"/>
      <w:bookmarkStart w:id="173" w:name="_Toc93659327"/>
      <w:r>
        <w:t>Improving our infrastructure to support Melbourne’s growing population</w:t>
      </w:r>
      <w:bookmarkEnd w:id="171"/>
      <w:bookmarkEnd w:id="172"/>
      <w:bookmarkEnd w:id="173"/>
    </w:p>
    <w:p w14:paraId="4DD97818" w14:textId="39BAA9EC" w:rsidR="006F579F" w:rsidRDefault="006F579F" w:rsidP="006F579F">
      <w:pPr>
        <w:pStyle w:val="BodyText"/>
        <w:rPr>
          <w:lang w:eastAsia="en-US"/>
        </w:rPr>
      </w:pPr>
      <w:r>
        <w:rPr>
          <w:lang w:eastAsia="en-US"/>
        </w:rPr>
        <w:t xml:space="preserve">In 2020-21, our sewerage capital program invested $195.7 million to support Melbourne’s future health and liveability. A quarter of this expenditure was used to increase the capacity of the sludge drying pans at </w:t>
      </w:r>
      <w:r w:rsidR="0030196D">
        <w:rPr>
          <w:lang w:eastAsia="en-US"/>
        </w:rPr>
        <w:t>Western Treatment Plant</w:t>
      </w:r>
      <w:r>
        <w:rPr>
          <w:lang w:eastAsia="en-US"/>
        </w:rPr>
        <w:t xml:space="preserve"> by around 50 per cent, and by doing so, remove a bottleneck which will allow for the treatment process to run more effectively. We also invested $20.9 million to increase the capacity of the solids treatment process at </w:t>
      </w:r>
      <w:r w:rsidR="0030196D">
        <w:rPr>
          <w:lang w:eastAsia="en-US"/>
        </w:rPr>
        <w:t>Eastern Treatment Plant</w:t>
      </w:r>
      <w:r>
        <w:rPr>
          <w:lang w:eastAsia="en-US"/>
        </w:rPr>
        <w:t xml:space="preserve">, $11.1 million to renew the biogas covers on the anaerobic lagoons at </w:t>
      </w:r>
      <w:r w:rsidR="0030196D">
        <w:rPr>
          <w:lang w:eastAsia="en-US"/>
        </w:rPr>
        <w:t>Western Treatment Plant</w:t>
      </w:r>
      <w:r>
        <w:rPr>
          <w:lang w:eastAsia="en-US"/>
        </w:rPr>
        <w:t>, and $9.8 million to renew the ageing Hawthorn Sewer Main.</w:t>
      </w:r>
    </w:p>
    <w:p w14:paraId="4AE5B400" w14:textId="581C5C03" w:rsidR="006F579F" w:rsidRDefault="006F579F" w:rsidP="006F579F">
      <w:pPr>
        <w:pStyle w:val="BodyText"/>
        <w:rPr>
          <w:lang w:eastAsia="en-US"/>
        </w:rPr>
      </w:pPr>
      <w:r>
        <w:rPr>
          <w:lang w:eastAsia="en-US"/>
        </w:rPr>
        <w:t>Melbourne Water is responsible for almost 400 kilometres of sewer mains and outfalls. Rehabilitation of our large sewers is difficult due to the lack of redundancy in the network (which requires works to be completed in a live sewer), the depth of the sewers, and the significant urban development that has occurred above and around them.</w:t>
      </w:r>
    </w:p>
    <w:p w14:paraId="3F3BA4B9" w14:textId="2399B449" w:rsidR="006F579F" w:rsidRDefault="006F579F" w:rsidP="006F579F">
      <w:pPr>
        <w:pStyle w:val="BodyText"/>
        <w:rPr>
          <w:lang w:eastAsia="en-US"/>
        </w:rPr>
      </w:pPr>
      <w:r>
        <w:rPr>
          <w:lang w:eastAsia="en-US"/>
        </w:rPr>
        <w:t xml:space="preserve">Over the past five years, Melbourne Water has increased condition monitoring via closed-circuit television (CCTV) to safely and efficiently inspect and formally review two-thirds of our sewerage assets. Between 2002 and 2011, CCTV inspections identified accelerated corrosion in Hobsons Bay Main, which transfers 30 per cent of Melbourne’s wastewater flow from the CBD and bayside suburbs to </w:t>
      </w:r>
      <w:r w:rsidR="0030196D">
        <w:rPr>
          <w:lang w:eastAsia="en-US"/>
        </w:rPr>
        <w:t>Western Treatment Plant</w:t>
      </w:r>
      <w:r>
        <w:rPr>
          <w:lang w:eastAsia="en-US"/>
        </w:rPr>
        <w:t>. To rehabilitate the existing sewer main safely and efficiently, the large flows need to be diverted into a new sewer main, which will also provide additional capacity for population growth. The Hobsons Bay Main Yarra River Duplication project is Melbourne Water’s biggest sewer renewal project over the next five-year pricing period and is anticipated to cost around $200 million. The project will be awarded in September 2021 with construction to begin in early 2022.</w:t>
      </w:r>
    </w:p>
    <w:p w14:paraId="3132FC4D" w14:textId="340282A5" w:rsidR="006F579F" w:rsidRDefault="006F579F" w:rsidP="006F579F">
      <w:pPr>
        <w:pStyle w:val="BodyText"/>
        <w:rPr>
          <w:lang w:eastAsia="en-US"/>
        </w:rPr>
      </w:pPr>
      <w:r>
        <w:rPr>
          <w:lang w:eastAsia="en-US"/>
        </w:rPr>
        <w:t>In March 2021, Melbourne Water continued to develop and trial a world-first, self-stabilising robot to further enhance our remote asset monitoring capability for large sewers. The technology overcomes limitations in CCTV and collects a range of data to support better asset maintenance, planning and delivery across Melbourne’s sewerage network, contributing to meeting a key outcome of an affordable, reliable sewerage service.</w:t>
      </w:r>
    </w:p>
    <w:p w14:paraId="32D6D34C" w14:textId="4ABE0AD6" w:rsidR="006F579F" w:rsidRDefault="006F579F" w:rsidP="003455F1">
      <w:pPr>
        <w:pStyle w:val="Heading2"/>
      </w:pPr>
      <w:bookmarkStart w:id="174" w:name="_Toc89722979"/>
      <w:bookmarkStart w:id="175" w:name="_Toc89723212"/>
      <w:bookmarkStart w:id="176" w:name="_Toc89723272"/>
      <w:bookmarkStart w:id="177" w:name="_Ref89809707"/>
      <w:bookmarkStart w:id="178" w:name="_Toc89860536"/>
      <w:bookmarkStart w:id="179" w:name="_Toc89860680"/>
      <w:bookmarkStart w:id="180" w:name="_Toc90325922"/>
      <w:bookmarkStart w:id="181" w:name="_Toc93659328"/>
      <w:r>
        <w:lastRenderedPageBreak/>
        <w:t>Flood Resilience and Drainage</w:t>
      </w:r>
      <w:bookmarkEnd w:id="174"/>
      <w:bookmarkEnd w:id="175"/>
      <w:bookmarkEnd w:id="176"/>
      <w:bookmarkEnd w:id="177"/>
      <w:bookmarkEnd w:id="178"/>
      <w:bookmarkEnd w:id="179"/>
      <w:bookmarkEnd w:id="180"/>
      <w:bookmarkEnd w:id="181"/>
    </w:p>
    <w:p w14:paraId="472BA489" w14:textId="1A98033D" w:rsidR="00715D41" w:rsidRDefault="006F579F" w:rsidP="00527734">
      <w:pPr>
        <w:pStyle w:val="PullBox"/>
      </w:pPr>
      <w:r>
        <w:t>As the floodplain</w:t>
      </w:r>
      <w:r w:rsidR="00527734">
        <w:t xml:space="preserve"> </w:t>
      </w:r>
      <w:r>
        <w:t>manager for the Port</w:t>
      </w:r>
      <w:r w:rsidR="00527734">
        <w:t xml:space="preserve"> </w:t>
      </w:r>
      <w:r>
        <w:t>Phillip and Westernport catchments, Melbourne Water</w:t>
      </w:r>
      <w:r w:rsidR="00527734">
        <w:t xml:space="preserve"> </w:t>
      </w:r>
      <w:r>
        <w:t>enhances liveability for our</w:t>
      </w:r>
      <w:r w:rsidR="00527734">
        <w:t xml:space="preserve"> </w:t>
      </w:r>
      <w:r>
        <w:t>communities through flood</w:t>
      </w:r>
      <w:r w:rsidR="00527734">
        <w:t xml:space="preserve"> </w:t>
      </w:r>
      <w:r>
        <w:t>prevention, and response and</w:t>
      </w:r>
      <w:r w:rsidR="00527734">
        <w:t xml:space="preserve"> </w:t>
      </w:r>
      <w:r>
        <w:t>recovery initiatives delivered</w:t>
      </w:r>
      <w:r w:rsidR="00527734">
        <w:t xml:space="preserve"> </w:t>
      </w:r>
      <w:r>
        <w:t>collaboratively with our partners</w:t>
      </w:r>
      <w:r w:rsidR="00527734">
        <w:t xml:space="preserve"> </w:t>
      </w:r>
      <w:r>
        <w:t>and local communities.</w:t>
      </w:r>
    </w:p>
    <w:p w14:paraId="5BA64F19" w14:textId="12F1A9B5" w:rsidR="00527734" w:rsidRDefault="00527734" w:rsidP="00527734">
      <w:pPr>
        <w:pStyle w:val="GreyBox"/>
      </w:pPr>
      <w:r w:rsidRPr="00296848">
        <w:t xml:space="preserve">Aligns with goals </w:t>
      </w:r>
      <w:r>
        <w:t>6, 9, 11, 13 and 17</w:t>
      </w:r>
    </w:p>
    <w:p w14:paraId="133FB31D" w14:textId="77777777" w:rsidR="00527734" w:rsidRPr="0014069C" w:rsidRDefault="00527734" w:rsidP="003455F1">
      <w:pPr>
        <w:pStyle w:val="Heading3"/>
      </w:pPr>
      <w:bookmarkStart w:id="182" w:name="_Toc89722980"/>
      <w:bookmarkStart w:id="183" w:name="_Toc90325923"/>
      <w:bookmarkStart w:id="184" w:name="_Toc93659329"/>
      <w:r w:rsidRPr="0014069C">
        <w:t>Our Approach</w:t>
      </w:r>
      <w:bookmarkEnd w:id="182"/>
      <w:bookmarkEnd w:id="183"/>
      <w:bookmarkEnd w:id="184"/>
    </w:p>
    <w:p w14:paraId="34C759EC" w14:textId="400A0E60" w:rsidR="00527734" w:rsidRDefault="00527734" w:rsidP="00527734">
      <w:pPr>
        <w:pStyle w:val="BodyText"/>
        <w:rPr>
          <w:lang w:eastAsia="en-US"/>
        </w:rPr>
      </w:pPr>
      <w:r w:rsidRPr="0014069C">
        <w:rPr>
          <w:lang w:eastAsia="en-US"/>
        </w:rPr>
        <w:t>Flooding is a natural occurrence in the Port Phillip and Westernport regions. Climate change and urbanisation continue to significantly increase our flood risks and we now have improved information about</w:t>
      </w:r>
      <w:r>
        <w:rPr>
          <w:lang w:eastAsia="en-US"/>
        </w:rPr>
        <w:t xml:space="preserve"> the impacts on our region.</w:t>
      </w:r>
    </w:p>
    <w:p w14:paraId="1D282684" w14:textId="0EAADD96" w:rsidR="00527734" w:rsidRDefault="00527734" w:rsidP="00527734">
      <w:pPr>
        <w:pStyle w:val="BodyText"/>
        <w:rPr>
          <w:lang w:eastAsia="en-US"/>
        </w:rPr>
      </w:pPr>
      <w:r>
        <w:rPr>
          <w:lang w:eastAsia="en-US"/>
        </w:rPr>
        <w:t>Melbourne is a diverse and rapidly growing city that requires sustainable integrated water infrastructure to support its people, places and environment both now and in the future. Melbourne Water provides important contributions across the breadth of land development, from broadacre greenfield areas on the city’s margins, through to urban renewal and development in established suburbs. We help deliver developments that are flood resilient and provide for stormwater treatment to protect the health of waterways and bays, with water-sensitive urban design principles supporting more resilient and liveable cities and towns.</w:t>
      </w:r>
    </w:p>
    <w:p w14:paraId="5F982F01" w14:textId="1AB01E33" w:rsidR="00527734" w:rsidRDefault="00527734" w:rsidP="00527734">
      <w:pPr>
        <w:pStyle w:val="BodyText"/>
        <w:rPr>
          <w:lang w:eastAsia="en-US"/>
        </w:rPr>
      </w:pPr>
      <w:r>
        <w:rPr>
          <w:lang w:eastAsia="en-US"/>
        </w:rPr>
        <w:t xml:space="preserve">The 2015 </w:t>
      </w:r>
      <w:r w:rsidRPr="00527734">
        <w:rPr>
          <w:rStyle w:val="ItalicText"/>
          <w:lang w:eastAsia="en-US"/>
        </w:rPr>
        <w:t>Flood Management Strategy for Port Phillip and</w:t>
      </w:r>
      <w:r w:rsidRPr="00527734">
        <w:rPr>
          <w:rStyle w:val="ItalicText"/>
        </w:rPr>
        <w:t xml:space="preserve"> </w:t>
      </w:r>
      <w:r w:rsidRPr="00527734">
        <w:rPr>
          <w:rStyle w:val="ItalicText"/>
          <w:lang w:eastAsia="en-US"/>
        </w:rPr>
        <w:t>Westernport</w:t>
      </w:r>
      <w:r>
        <w:rPr>
          <w:lang w:eastAsia="en-US"/>
        </w:rPr>
        <w:t xml:space="preserve"> sets the direction for flood management in the region.</w:t>
      </w:r>
    </w:p>
    <w:p w14:paraId="075650E6" w14:textId="77777777" w:rsidR="003455F1" w:rsidRDefault="003455F1" w:rsidP="003455F1">
      <w:pPr>
        <w:pStyle w:val="Heading3"/>
      </w:pPr>
      <w:bookmarkStart w:id="185" w:name="_Toc89722981"/>
      <w:bookmarkStart w:id="186" w:name="_Toc90325924"/>
      <w:bookmarkStart w:id="187" w:name="_Toc93659330"/>
      <w:r>
        <w:t>Flood management strategy</w:t>
      </w:r>
      <w:bookmarkEnd w:id="185"/>
      <w:bookmarkEnd w:id="186"/>
      <w:bookmarkEnd w:id="187"/>
    </w:p>
    <w:p w14:paraId="4B08B2B7" w14:textId="13D2B30D" w:rsidR="00527734" w:rsidRDefault="003455F1" w:rsidP="003455F1">
      <w:pPr>
        <w:pStyle w:val="BodyText"/>
        <w:rPr>
          <w:lang w:eastAsia="en-US"/>
        </w:rPr>
      </w:pPr>
      <w:r>
        <w:rPr>
          <w:lang w:eastAsia="en-US"/>
        </w:rPr>
        <w:t xml:space="preserve">Melbourne Water is leading the refresh of the </w:t>
      </w:r>
      <w:r w:rsidRPr="003455F1">
        <w:rPr>
          <w:rStyle w:val="ItalicText"/>
          <w:lang w:eastAsia="en-US"/>
        </w:rPr>
        <w:t>Flood</w:t>
      </w:r>
      <w:r w:rsidRPr="003455F1">
        <w:rPr>
          <w:rStyle w:val="ItalicText"/>
        </w:rPr>
        <w:t xml:space="preserve"> </w:t>
      </w:r>
      <w:r w:rsidRPr="003455F1">
        <w:rPr>
          <w:rStyle w:val="ItalicText"/>
          <w:lang w:eastAsia="en-US"/>
        </w:rPr>
        <w:t>Management Strategy for Port Philip and Westernport</w:t>
      </w:r>
      <w:r>
        <w:rPr>
          <w:lang w:eastAsia="en-US"/>
        </w:rPr>
        <w:t xml:space="preserve"> in close collaboration with our flood partners to enhance our collective understanding of flood risks and opportunities to address them. The strategy sets out a vision for flood management across Port Phillip and Westernport and a framework to help guide the work of the many organisations responsible for preventing, managing and recovering from flood events. In total, 62 organisations were involved in the development of the strategy. Following public consultation on the draft strategy and action plan, the documents were finalised and will be released to partners and the community in late 2021.</w:t>
      </w:r>
    </w:p>
    <w:p w14:paraId="3DFFB338" w14:textId="01D87D02" w:rsidR="003455F1" w:rsidRDefault="003455F1" w:rsidP="003455F1">
      <w:pPr>
        <w:pStyle w:val="BodyText"/>
        <w:rPr>
          <w:lang w:eastAsia="en-US"/>
        </w:rPr>
      </w:pPr>
      <w:r>
        <w:rPr>
          <w:lang w:eastAsia="en-US"/>
        </w:rPr>
        <w:t>The strategy confirms the commitment of partners to continue to work together and with the community to identify the right mix of flood management solutions for each location. The strategy’s key directions place an emphasis on managing climate change, empowering diverse communities, and managing flooding to achieve multiple benefits for water security, liveability and sustainability.</w:t>
      </w:r>
    </w:p>
    <w:p w14:paraId="194080E4" w14:textId="5B8CDA8E" w:rsidR="003455F1" w:rsidRDefault="003455F1" w:rsidP="003455F1">
      <w:pPr>
        <w:pStyle w:val="Heading3"/>
      </w:pPr>
      <w:bookmarkStart w:id="188" w:name="_Toc89722982"/>
      <w:bookmarkStart w:id="189" w:name="_Toc90325925"/>
      <w:bookmarkStart w:id="190" w:name="_Toc93659331"/>
      <w:r>
        <w:t>Melbourne Urban Stormwater Institutional Arrangements review</w:t>
      </w:r>
      <w:bookmarkEnd w:id="188"/>
      <w:bookmarkEnd w:id="189"/>
      <w:bookmarkEnd w:id="190"/>
    </w:p>
    <w:p w14:paraId="753DF817" w14:textId="4D2B5A2C" w:rsidR="003455F1" w:rsidRDefault="003455F1" w:rsidP="003455F1">
      <w:pPr>
        <w:pStyle w:val="BodyText"/>
        <w:rPr>
          <w:lang w:eastAsia="en-US"/>
        </w:rPr>
      </w:pPr>
      <w:r>
        <w:rPr>
          <w:lang w:eastAsia="en-US"/>
        </w:rPr>
        <w:t xml:space="preserve">This year Melbourne Water worked with state and local government partners to review the Melbourne Urban Stormwater Institutional Arrangements (MUSIA), and shared roles and responsibilities for drainage infrastructure, to improve system management across the region. The project’s purpose is to review and refine accountability for urban stormwater and flood management assets and services in the Melbourne Water region. Led by </w:t>
      </w:r>
      <w:r w:rsidR="0030196D">
        <w:rPr>
          <w:lang w:eastAsia="en-US"/>
        </w:rPr>
        <w:t>Department of Environment, Land, Water and Planning</w:t>
      </w:r>
      <w:r>
        <w:rPr>
          <w:lang w:eastAsia="en-US"/>
        </w:rPr>
        <w:t xml:space="preserve"> and in partnership with the Municipal Association of Victoria (MAV), Melbourne Water contributed to three options shortlisted for consultation. These will be assessed to compare their relative strengths in relation to set criteria and sensitivity analysis.</w:t>
      </w:r>
    </w:p>
    <w:p w14:paraId="2C0D0D6D" w14:textId="54C0D6A3" w:rsidR="00527734" w:rsidRDefault="003455F1" w:rsidP="00554ADD">
      <w:pPr>
        <w:pStyle w:val="BodyText"/>
        <w:keepLines/>
        <w:rPr>
          <w:lang w:eastAsia="en-US"/>
        </w:rPr>
      </w:pPr>
      <w:r>
        <w:rPr>
          <w:lang w:eastAsia="en-US"/>
        </w:rPr>
        <w:lastRenderedPageBreak/>
        <w:t xml:space="preserve">Clarifying and formalising roles and responsibilities through the </w:t>
      </w:r>
      <w:r w:rsidR="00A52F94">
        <w:rPr>
          <w:lang w:eastAsia="en-US"/>
        </w:rPr>
        <w:t>Melbourne Urban Stormwater Institutional Arrangements</w:t>
      </w:r>
      <w:r>
        <w:rPr>
          <w:lang w:eastAsia="en-US"/>
        </w:rPr>
        <w:t xml:space="preserve"> review is critical to enabling the efficient and effective delivery of stormwater and flooding infrastructure. Successful arrangements will strengthen relationships between Melbourne Water and councils, empower agencies to manage stormwater in line with their responsibilities, support equitable levels of service for customers, foster integrated water management (IWM), mitigate risks of urban development and climate change, and enable strategic planning. A recommendation is expected in late 2021.</w:t>
      </w:r>
    </w:p>
    <w:p w14:paraId="089D9845" w14:textId="0B4187E4" w:rsidR="003455F1" w:rsidRDefault="003455F1" w:rsidP="003455F1">
      <w:pPr>
        <w:pStyle w:val="Heading3"/>
      </w:pPr>
      <w:bookmarkStart w:id="191" w:name="_Toc89722983"/>
      <w:bookmarkStart w:id="192" w:name="_Toc90325926"/>
      <w:bookmarkStart w:id="193" w:name="_Toc93659332"/>
      <w:r>
        <w:t>Mapping program to prioritise flood management investment</w:t>
      </w:r>
      <w:bookmarkEnd w:id="191"/>
      <w:bookmarkEnd w:id="192"/>
      <w:bookmarkEnd w:id="193"/>
    </w:p>
    <w:p w14:paraId="62BEC03E" w14:textId="7415DABE" w:rsidR="003455F1" w:rsidRDefault="003455F1" w:rsidP="003455F1">
      <w:pPr>
        <w:pStyle w:val="BodyText"/>
        <w:rPr>
          <w:lang w:eastAsia="en-US"/>
        </w:rPr>
      </w:pPr>
      <w:r>
        <w:rPr>
          <w:lang w:eastAsia="en-US"/>
        </w:rPr>
        <w:t>This year, Melbourne Water has made significant improvements in our catchment mapping program, which has enhanced the quality and availability of flood information. This data is vital to prioritising our investments in flood risk management. Works completed include mapping a total of 102 catchments over the five-year investment plan period, which is significantly above our target of 70 catchments. This result is due to our collaboration with councils, improved data quality and standards.</w:t>
      </w:r>
    </w:p>
    <w:p w14:paraId="5D533240" w14:textId="3A771806" w:rsidR="00715D41" w:rsidRDefault="003455F1" w:rsidP="003455F1">
      <w:pPr>
        <w:pStyle w:val="BodyText"/>
        <w:rPr>
          <w:lang w:eastAsia="en-US"/>
        </w:rPr>
      </w:pPr>
      <w:r>
        <w:rPr>
          <w:lang w:eastAsia="en-US"/>
        </w:rPr>
        <w:t>As part of the current Victorian Government infrastructure program we incorporated the revised 2019 Australian flood mapping guidelines into our Flood Mapping Guidelines and Technical Specifications to ensure all flood modelling work meets the latest standards and protects the community from unacceptable flood effects.</w:t>
      </w:r>
    </w:p>
    <w:p w14:paraId="4B0AE70E" w14:textId="4D2CBA85" w:rsidR="00715D41" w:rsidRDefault="003455F1" w:rsidP="0014069C">
      <w:pPr>
        <w:pStyle w:val="Caption"/>
        <w:ind w:left="765" w:hanging="765"/>
        <w:rPr>
          <w:lang w:eastAsia="en-US"/>
        </w:rPr>
      </w:pPr>
      <w:r>
        <w:rPr>
          <w:lang w:eastAsia="en-US"/>
        </w:rPr>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2</w:t>
      </w:r>
      <w:r>
        <w:rPr>
          <w:lang w:eastAsia="en-US"/>
        </w:rPr>
        <w:fldChar w:fldCharType="end"/>
      </w:r>
      <w:r>
        <w:rPr>
          <w:lang w:eastAsia="en-US"/>
        </w:rPr>
        <w:t>: Summary of proportion of Melbourne Water drainage assets that have flood maps available (for further detail, see</w:t>
      </w:r>
      <w:r w:rsidR="00AB401E">
        <w:rPr>
          <w:lang w:eastAsia="en-US"/>
        </w:rPr>
        <w:t xml:space="preserve"> </w:t>
      </w:r>
      <w:r w:rsidR="00AB401E">
        <w:rPr>
          <w:lang w:eastAsia="en-US"/>
        </w:rPr>
        <w:fldChar w:fldCharType="begin"/>
      </w:r>
      <w:r w:rsidR="00AB401E">
        <w:rPr>
          <w:lang w:eastAsia="en-US"/>
        </w:rPr>
        <w:instrText xml:space="preserve"> REF AppendixE \h </w:instrText>
      </w:r>
      <w:r w:rsidR="00AB401E">
        <w:rPr>
          <w:lang w:eastAsia="en-US"/>
        </w:rPr>
      </w:r>
      <w:r w:rsidR="00AB401E">
        <w:rPr>
          <w:lang w:eastAsia="en-US"/>
        </w:rPr>
        <w:fldChar w:fldCharType="separate"/>
      </w:r>
      <w:r w:rsidR="00472151" w:rsidRPr="00C106BB">
        <w:t xml:space="preserve">Appendix E </w:t>
      </w:r>
      <w:r w:rsidR="00AB401E">
        <w:rPr>
          <w:lang w:eastAsia="en-US"/>
        </w:rPr>
        <w:fldChar w:fldCharType="end"/>
      </w:r>
      <w:r>
        <w:rPr>
          <w:lang w:eastAsia="en-US"/>
        </w:rPr>
        <w:t>)</w:t>
      </w:r>
    </w:p>
    <w:tbl>
      <w:tblPr>
        <w:tblStyle w:val="Style1"/>
        <w:tblW w:w="0" w:type="auto"/>
        <w:tblLook w:val="04A0" w:firstRow="1" w:lastRow="0" w:firstColumn="1" w:lastColumn="0" w:noHBand="0" w:noVBand="1"/>
      </w:tblPr>
      <w:tblGrid>
        <w:gridCol w:w="1701"/>
        <w:gridCol w:w="1509"/>
        <w:gridCol w:w="1605"/>
        <w:gridCol w:w="1605"/>
        <w:gridCol w:w="1605"/>
        <w:gridCol w:w="1606"/>
      </w:tblGrid>
      <w:tr w:rsidR="00A057E6" w:rsidRPr="0014069C" w14:paraId="1D918490" w14:textId="77777777" w:rsidTr="001451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vAlign w:val="bottom"/>
          </w:tcPr>
          <w:p w14:paraId="04935620" w14:textId="48FB9C3C" w:rsidR="003455F1" w:rsidRPr="0014069C" w:rsidRDefault="003455F1" w:rsidP="0014069C">
            <w:pPr>
              <w:pStyle w:val="TableBodyText"/>
              <w:rPr>
                <w:lang w:eastAsia="en-US"/>
              </w:rPr>
            </w:pPr>
            <w:bookmarkStart w:id="194" w:name="ColumnTitle_8"/>
            <w:r w:rsidRPr="0014069C">
              <w:rPr>
                <w:lang w:eastAsia="en-US"/>
              </w:rPr>
              <w:t>Item</w:t>
            </w:r>
          </w:p>
        </w:tc>
        <w:tc>
          <w:tcPr>
            <w:tcW w:w="1509" w:type="dxa"/>
            <w:tcBorders>
              <w:top w:val="single" w:sz="4" w:space="0" w:color="auto"/>
            </w:tcBorders>
            <w:vAlign w:val="bottom"/>
          </w:tcPr>
          <w:p w14:paraId="235BAA4C" w14:textId="17080CB3" w:rsidR="003455F1" w:rsidRPr="0014069C" w:rsidRDefault="003455F1" w:rsidP="00A25B00">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14069C">
              <w:rPr>
                <w:lang w:eastAsia="en-US"/>
              </w:rPr>
              <w:t>Total Length</w:t>
            </w:r>
            <w:r w:rsidR="00A25B00">
              <w:rPr>
                <w:lang w:eastAsia="en-US"/>
              </w:rPr>
              <w:t xml:space="preserve"> </w:t>
            </w:r>
            <w:r w:rsidRPr="0014069C">
              <w:rPr>
                <w:lang w:eastAsia="en-US"/>
              </w:rPr>
              <w:t>of MW Assets</w:t>
            </w:r>
            <w:r w:rsidR="00A25B00">
              <w:rPr>
                <w:lang w:eastAsia="en-US"/>
              </w:rPr>
              <w:br/>
            </w:r>
            <w:hyperlink w:anchor="NoteTable2" w:history="1">
              <w:r w:rsidR="00A057E6" w:rsidRPr="0014069C">
                <w:rPr>
                  <w:rStyle w:val="Hyperlink"/>
                  <w:lang w:eastAsia="en-US"/>
                </w:rPr>
                <w:t>refer note</w:t>
              </w:r>
            </w:hyperlink>
            <w:r w:rsidR="00A25B00">
              <w:rPr>
                <w:rStyle w:val="Hyperlink"/>
                <w:lang w:eastAsia="en-US"/>
              </w:rPr>
              <w:br/>
            </w:r>
            <w:r w:rsidRPr="0014069C">
              <w:rPr>
                <w:lang w:eastAsia="en-US"/>
              </w:rPr>
              <w:t>(km)</w:t>
            </w:r>
          </w:p>
        </w:tc>
        <w:tc>
          <w:tcPr>
            <w:tcW w:w="1605" w:type="dxa"/>
            <w:tcBorders>
              <w:top w:val="single" w:sz="4" w:space="0" w:color="auto"/>
            </w:tcBorders>
            <w:vAlign w:val="bottom"/>
          </w:tcPr>
          <w:p w14:paraId="7A5794FD" w14:textId="77777777" w:rsidR="00A25B00" w:rsidRDefault="003455F1" w:rsidP="00A25B00">
            <w:pPr>
              <w:pStyle w:val="TableBodyText"/>
              <w:cnfStyle w:val="100000000000" w:firstRow="1" w:lastRow="0" w:firstColumn="0" w:lastColumn="0" w:oddVBand="0" w:evenVBand="0" w:oddHBand="0" w:evenHBand="0" w:firstRowFirstColumn="0" w:firstRowLastColumn="0" w:lastRowFirstColumn="0" w:lastRowLastColumn="0"/>
              <w:rPr>
                <w:b w:val="0"/>
                <w:lang w:eastAsia="en-US"/>
              </w:rPr>
            </w:pPr>
            <w:r w:rsidRPr="0014069C">
              <w:rPr>
                <w:lang w:eastAsia="en-US"/>
              </w:rPr>
              <w:t>Percentage</w:t>
            </w:r>
            <w:r w:rsidR="00A25B00">
              <w:rPr>
                <w:lang w:eastAsia="en-US"/>
              </w:rPr>
              <w:t xml:space="preserve"> </w:t>
            </w:r>
            <w:r w:rsidRPr="0014069C">
              <w:rPr>
                <w:lang w:eastAsia="en-US"/>
              </w:rPr>
              <w:t>Length mapped</w:t>
            </w:r>
            <w:r w:rsidR="00A25B00">
              <w:rPr>
                <w:lang w:eastAsia="en-US"/>
              </w:rPr>
              <w:t xml:space="preserve"> </w:t>
            </w:r>
            <w:r w:rsidRPr="0014069C">
              <w:rPr>
                <w:lang w:eastAsia="en-US"/>
              </w:rPr>
              <w:t>for design flood</w:t>
            </w:r>
            <w:r w:rsidR="00A25B00">
              <w:rPr>
                <w:lang w:eastAsia="en-US"/>
              </w:rPr>
              <w:t xml:space="preserve"> </w:t>
            </w:r>
            <w:r w:rsidRPr="0014069C">
              <w:rPr>
                <w:lang w:eastAsia="en-US"/>
              </w:rPr>
              <w:t>magnitudes</w:t>
            </w:r>
          </w:p>
          <w:p w14:paraId="0EA0E095" w14:textId="75EC03B8" w:rsidR="003455F1" w:rsidRPr="0014069C" w:rsidRDefault="003455F1" w:rsidP="00A25B00">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14069C">
              <w:rPr>
                <w:lang w:eastAsia="en-US"/>
              </w:rPr>
              <w:t>5yr ARI</w:t>
            </w:r>
          </w:p>
        </w:tc>
        <w:tc>
          <w:tcPr>
            <w:tcW w:w="1605" w:type="dxa"/>
            <w:tcBorders>
              <w:top w:val="single" w:sz="4" w:space="0" w:color="auto"/>
            </w:tcBorders>
            <w:vAlign w:val="bottom"/>
          </w:tcPr>
          <w:p w14:paraId="2419B34A" w14:textId="297A04F1" w:rsidR="003455F1" w:rsidRPr="0014069C" w:rsidRDefault="003455F1" w:rsidP="0014069C">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sidRPr="0014069C">
              <w:rPr>
                <w:lang w:eastAsia="en-US"/>
              </w:rPr>
              <w:t>Percentage</w:t>
            </w:r>
            <w:r w:rsidR="00A25B00">
              <w:rPr>
                <w:lang w:eastAsia="en-US"/>
              </w:rPr>
              <w:t xml:space="preserve"> </w:t>
            </w:r>
            <w:r w:rsidRPr="0014069C">
              <w:rPr>
                <w:lang w:eastAsia="en-US"/>
              </w:rPr>
              <w:t>Length mapped</w:t>
            </w:r>
            <w:r w:rsidR="00A25B00">
              <w:rPr>
                <w:lang w:eastAsia="en-US"/>
              </w:rPr>
              <w:t xml:space="preserve"> </w:t>
            </w:r>
            <w:r w:rsidRPr="0014069C">
              <w:rPr>
                <w:lang w:eastAsia="en-US"/>
              </w:rPr>
              <w:t>for design flood</w:t>
            </w:r>
            <w:r w:rsidR="00A25B00">
              <w:rPr>
                <w:lang w:eastAsia="en-US"/>
              </w:rPr>
              <w:t xml:space="preserve"> </w:t>
            </w:r>
            <w:r w:rsidRPr="0014069C">
              <w:rPr>
                <w:lang w:eastAsia="en-US"/>
              </w:rPr>
              <w:t>magnitudes</w:t>
            </w:r>
          </w:p>
          <w:p w14:paraId="4CD465BB" w14:textId="76444D95" w:rsidR="00A057E6" w:rsidRPr="0014069C" w:rsidRDefault="00A057E6" w:rsidP="0014069C">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14069C">
              <w:rPr>
                <w:lang w:eastAsia="en-US"/>
              </w:rPr>
              <w:t>10yr ARI</w:t>
            </w:r>
          </w:p>
        </w:tc>
        <w:tc>
          <w:tcPr>
            <w:tcW w:w="1605" w:type="dxa"/>
            <w:tcBorders>
              <w:top w:val="single" w:sz="4" w:space="0" w:color="auto"/>
            </w:tcBorders>
            <w:vAlign w:val="bottom"/>
          </w:tcPr>
          <w:p w14:paraId="6FA175E7" w14:textId="74A6B2E8" w:rsidR="003455F1" w:rsidRPr="0014069C" w:rsidRDefault="003455F1" w:rsidP="0014069C">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sidRPr="0014069C">
              <w:rPr>
                <w:lang w:eastAsia="en-US"/>
              </w:rPr>
              <w:t>Percentage</w:t>
            </w:r>
            <w:r w:rsidR="00A25B00">
              <w:rPr>
                <w:lang w:eastAsia="en-US"/>
              </w:rPr>
              <w:t xml:space="preserve"> </w:t>
            </w:r>
            <w:r w:rsidRPr="0014069C">
              <w:rPr>
                <w:lang w:eastAsia="en-US"/>
              </w:rPr>
              <w:t>Length mapped</w:t>
            </w:r>
            <w:r w:rsidR="00A25B00">
              <w:rPr>
                <w:lang w:eastAsia="en-US"/>
              </w:rPr>
              <w:t xml:space="preserve"> </w:t>
            </w:r>
            <w:r w:rsidRPr="0014069C">
              <w:rPr>
                <w:lang w:eastAsia="en-US"/>
              </w:rPr>
              <w:t>for design flood</w:t>
            </w:r>
            <w:r w:rsidR="00A25B00">
              <w:rPr>
                <w:lang w:eastAsia="en-US"/>
              </w:rPr>
              <w:t xml:space="preserve"> </w:t>
            </w:r>
            <w:r w:rsidRPr="0014069C">
              <w:rPr>
                <w:lang w:eastAsia="en-US"/>
              </w:rPr>
              <w:t>magnitudes</w:t>
            </w:r>
          </w:p>
          <w:p w14:paraId="0B4F9A38" w14:textId="2DCE7DB7" w:rsidR="00A057E6" w:rsidRPr="0014069C" w:rsidRDefault="00A057E6" w:rsidP="0014069C">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14069C">
              <w:rPr>
                <w:lang w:eastAsia="en-US"/>
              </w:rPr>
              <w:t>20yr ARI</w:t>
            </w:r>
          </w:p>
        </w:tc>
        <w:tc>
          <w:tcPr>
            <w:tcW w:w="1606" w:type="dxa"/>
            <w:tcBorders>
              <w:top w:val="single" w:sz="4" w:space="0" w:color="auto"/>
            </w:tcBorders>
            <w:vAlign w:val="bottom"/>
          </w:tcPr>
          <w:p w14:paraId="1ADBE443" w14:textId="1681797B" w:rsidR="003455F1" w:rsidRPr="0014069C" w:rsidRDefault="003455F1" w:rsidP="0014069C">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sidRPr="0014069C">
              <w:rPr>
                <w:lang w:eastAsia="en-US"/>
              </w:rPr>
              <w:t>Percentage</w:t>
            </w:r>
            <w:r w:rsidR="00A25B00">
              <w:rPr>
                <w:lang w:eastAsia="en-US"/>
              </w:rPr>
              <w:t xml:space="preserve"> </w:t>
            </w:r>
            <w:r w:rsidRPr="0014069C">
              <w:rPr>
                <w:lang w:eastAsia="en-US"/>
              </w:rPr>
              <w:t>Length mapped</w:t>
            </w:r>
            <w:r w:rsidR="00A25B00">
              <w:rPr>
                <w:lang w:eastAsia="en-US"/>
              </w:rPr>
              <w:t xml:space="preserve"> </w:t>
            </w:r>
            <w:r w:rsidRPr="0014069C">
              <w:rPr>
                <w:lang w:eastAsia="en-US"/>
              </w:rPr>
              <w:t>for design flood</w:t>
            </w:r>
            <w:r w:rsidR="00A25B00">
              <w:rPr>
                <w:lang w:eastAsia="en-US"/>
              </w:rPr>
              <w:t xml:space="preserve"> </w:t>
            </w:r>
            <w:r w:rsidRPr="0014069C">
              <w:rPr>
                <w:lang w:eastAsia="en-US"/>
              </w:rPr>
              <w:t>magnitudes</w:t>
            </w:r>
          </w:p>
          <w:p w14:paraId="07DBFD4F" w14:textId="1F94639A" w:rsidR="00A057E6" w:rsidRPr="0014069C" w:rsidRDefault="00A057E6" w:rsidP="0014069C">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14069C">
              <w:rPr>
                <w:lang w:eastAsia="en-US"/>
              </w:rPr>
              <w:t>100yr ARI</w:t>
            </w:r>
          </w:p>
        </w:tc>
      </w:tr>
      <w:bookmarkEnd w:id="194"/>
      <w:tr w:rsidR="003455F1" w:rsidRPr="0014069C" w14:paraId="01C1F080" w14:textId="77777777" w:rsidTr="0014069C">
        <w:tc>
          <w:tcPr>
            <w:cnfStyle w:val="001000000000" w:firstRow="0" w:lastRow="0" w:firstColumn="1" w:lastColumn="0" w:oddVBand="0" w:evenVBand="0" w:oddHBand="0" w:evenHBand="0" w:firstRowFirstColumn="0" w:firstRowLastColumn="0" w:lastRowFirstColumn="0" w:lastRowLastColumn="0"/>
            <w:tcW w:w="1701" w:type="dxa"/>
          </w:tcPr>
          <w:p w14:paraId="72973903" w14:textId="7D8AE563" w:rsidR="003455F1" w:rsidRPr="0014069C" w:rsidRDefault="00A057E6" w:rsidP="0014069C">
            <w:pPr>
              <w:pStyle w:val="TableBodyText"/>
              <w:rPr>
                <w:lang w:eastAsia="en-US"/>
              </w:rPr>
            </w:pPr>
            <w:r w:rsidRPr="0014069C">
              <w:rPr>
                <w:lang w:eastAsia="en-US"/>
              </w:rPr>
              <w:t>Underground drains</w:t>
            </w:r>
          </w:p>
        </w:tc>
        <w:tc>
          <w:tcPr>
            <w:tcW w:w="1509" w:type="dxa"/>
          </w:tcPr>
          <w:p w14:paraId="2E732AD7" w14:textId="16C91A5F" w:rsidR="003455F1"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1089</w:t>
            </w:r>
          </w:p>
        </w:tc>
        <w:tc>
          <w:tcPr>
            <w:tcW w:w="1605" w:type="dxa"/>
          </w:tcPr>
          <w:p w14:paraId="133F5299" w14:textId="53016D1B" w:rsidR="003455F1"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29%</w:t>
            </w:r>
          </w:p>
        </w:tc>
        <w:tc>
          <w:tcPr>
            <w:tcW w:w="1605" w:type="dxa"/>
          </w:tcPr>
          <w:p w14:paraId="7F507EE9" w14:textId="3EEBC438" w:rsidR="003455F1"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27%</w:t>
            </w:r>
          </w:p>
        </w:tc>
        <w:tc>
          <w:tcPr>
            <w:tcW w:w="1605" w:type="dxa"/>
          </w:tcPr>
          <w:p w14:paraId="4E21ADD9" w14:textId="5C577E9E" w:rsidR="003455F1"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53%</w:t>
            </w:r>
          </w:p>
        </w:tc>
        <w:tc>
          <w:tcPr>
            <w:tcW w:w="1606" w:type="dxa"/>
          </w:tcPr>
          <w:p w14:paraId="7D174BC0" w14:textId="2D236F21" w:rsidR="003455F1"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53%</w:t>
            </w:r>
          </w:p>
        </w:tc>
      </w:tr>
      <w:tr w:rsidR="00A057E6" w:rsidRPr="0014069C" w14:paraId="44E5BD7B" w14:textId="77777777" w:rsidTr="0014069C">
        <w:tc>
          <w:tcPr>
            <w:cnfStyle w:val="001000000000" w:firstRow="0" w:lastRow="0" w:firstColumn="1" w:lastColumn="0" w:oddVBand="0" w:evenVBand="0" w:oddHBand="0" w:evenHBand="0" w:firstRowFirstColumn="0" w:firstRowLastColumn="0" w:lastRowFirstColumn="0" w:lastRowLastColumn="0"/>
            <w:tcW w:w="1701" w:type="dxa"/>
          </w:tcPr>
          <w:p w14:paraId="4B498ECB" w14:textId="7B08FAA5" w:rsidR="00A057E6" w:rsidRPr="0014069C" w:rsidRDefault="00A057E6" w:rsidP="0014069C">
            <w:pPr>
              <w:pStyle w:val="TableBodyText"/>
              <w:rPr>
                <w:lang w:eastAsia="en-US"/>
              </w:rPr>
            </w:pPr>
            <w:r w:rsidRPr="0014069C">
              <w:rPr>
                <w:lang w:eastAsia="en-US"/>
              </w:rPr>
              <w:t>Natural waterways</w:t>
            </w:r>
          </w:p>
        </w:tc>
        <w:tc>
          <w:tcPr>
            <w:tcW w:w="1509" w:type="dxa"/>
          </w:tcPr>
          <w:p w14:paraId="5FF7EE51" w14:textId="01D3DF3B"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6546</w:t>
            </w:r>
          </w:p>
        </w:tc>
        <w:tc>
          <w:tcPr>
            <w:tcW w:w="1605" w:type="dxa"/>
          </w:tcPr>
          <w:p w14:paraId="457E7AD5" w14:textId="61144E76"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8%</w:t>
            </w:r>
          </w:p>
        </w:tc>
        <w:tc>
          <w:tcPr>
            <w:tcW w:w="1605" w:type="dxa"/>
          </w:tcPr>
          <w:p w14:paraId="203B1C51" w14:textId="6B1B1C31"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9%</w:t>
            </w:r>
          </w:p>
        </w:tc>
        <w:tc>
          <w:tcPr>
            <w:tcW w:w="1605" w:type="dxa"/>
          </w:tcPr>
          <w:p w14:paraId="16BA0839" w14:textId="1F3B2257"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10%</w:t>
            </w:r>
          </w:p>
        </w:tc>
        <w:tc>
          <w:tcPr>
            <w:tcW w:w="1606" w:type="dxa"/>
          </w:tcPr>
          <w:p w14:paraId="79DA4068" w14:textId="51EF572F"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66%</w:t>
            </w:r>
          </w:p>
        </w:tc>
      </w:tr>
      <w:tr w:rsidR="00A057E6" w:rsidRPr="0014069C" w14:paraId="6DB08A60" w14:textId="77777777" w:rsidTr="001451F8">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auto"/>
            </w:tcBorders>
          </w:tcPr>
          <w:p w14:paraId="181A8525" w14:textId="2D4AE62A" w:rsidR="00A057E6" w:rsidRPr="0014069C" w:rsidRDefault="00A057E6" w:rsidP="0014069C">
            <w:pPr>
              <w:pStyle w:val="TableBodyText"/>
              <w:rPr>
                <w:lang w:eastAsia="en-US"/>
              </w:rPr>
            </w:pPr>
            <w:r w:rsidRPr="0014069C">
              <w:rPr>
                <w:lang w:eastAsia="en-US"/>
              </w:rPr>
              <w:t>Channels</w:t>
            </w:r>
          </w:p>
        </w:tc>
        <w:tc>
          <w:tcPr>
            <w:tcW w:w="1509" w:type="dxa"/>
            <w:tcBorders>
              <w:bottom w:val="single" w:sz="4" w:space="0" w:color="auto"/>
            </w:tcBorders>
          </w:tcPr>
          <w:p w14:paraId="4C72A725" w14:textId="25FA980C"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1971</w:t>
            </w:r>
          </w:p>
        </w:tc>
        <w:tc>
          <w:tcPr>
            <w:tcW w:w="1605" w:type="dxa"/>
            <w:tcBorders>
              <w:bottom w:val="single" w:sz="4" w:space="0" w:color="auto"/>
            </w:tcBorders>
          </w:tcPr>
          <w:p w14:paraId="658313F3" w14:textId="73D33A39"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N/A</w:t>
            </w:r>
          </w:p>
        </w:tc>
        <w:tc>
          <w:tcPr>
            <w:tcW w:w="1605" w:type="dxa"/>
            <w:tcBorders>
              <w:bottom w:val="single" w:sz="4" w:space="0" w:color="auto"/>
            </w:tcBorders>
          </w:tcPr>
          <w:p w14:paraId="70A1457D" w14:textId="60404154"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N/A</w:t>
            </w:r>
          </w:p>
        </w:tc>
        <w:tc>
          <w:tcPr>
            <w:tcW w:w="1605" w:type="dxa"/>
            <w:tcBorders>
              <w:bottom w:val="single" w:sz="4" w:space="0" w:color="auto"/>
            </w:tcBorders>
          </w:tcPr>
          <w:p w14:paraId="75F3C20B" w14:textId="653F51DD"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N/A</w:t>
            </w:r>
          </w:p>
        </w:tc>
        <w:tc>
          <w:tcPr>
            <w:tcW w:w="1606" w:type="dxa"/>
            <w:tcBorders>
              <w:bottom w:val="single" w:sz="4" w:space="0" w:color="auto"/>
            </w:tcBorders>
          </w:tcPr>
          <w:p w14:paraId="23682718" w14:textId="3EECE39D"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lang w:eastAsia="en-US"/>
              </w:rPr>
            </w:pPr>
            <w:r w:rsidRPr="0014069C">
              <w:rPr>
                <w:lang w:eastAsia="en-US"/>
              </w:rPr>
              <w:t>76%</w:t>
            </w:r>
          </w:p>
        </w:tc>
      </w:tr>
      <w:tr w:rsidR="00A057E6" w:rsidRPr="00A057E6" w14:paraId="1BA5F0AE" w14:textId="77777777" w:rsidTr="001451F8">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single" w:sz="4" w:space="0" w:color="auto"/>
            </w:tcBorders>
          </w:tcPr>
          <w:p w14:paraId="22876E00" w14:textId="1ADC120E" w:rsidR="00A057E6" w:rsidRPr="0014069C" w:rsidRDefault="00A057E6" w:rsidP="0014069C">
            <w:pPr>
              <w:pStyle w:val="TableBodyText"/>
              <w:rPr>
                <w:rStyle w:val="Bold"/>
              </w:rPr>
            </w:pPr>
            <w:r w:rsidRPr="0014069C">
              <w:rPr>
                <w:rStyle w:val="Bold"/>
              </w:rPr>
              <w:t>Total</w:t>
            </w:r>
          </w:p>
        </w:tc>
        <w:tc>
          <w:tcPr>
            <w:tcW w:w="1509" w:type="dxa"/>
            <w:tcBorders>
              <w:top w:val="single" w:sz="4" w:space="0" w:color="auto"/>
              <w:bottom w:val="single" w:sz="4" w:space="0" w:color="auto"/>
            </w:tcBorders>
          </w:tcPr>
          <w:p w14:paraId="4093B4B7" w14:textId="7358BA46"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14069C">
              <w:rPr>
                <w:rStyle w:val="Bold"/>
              </w:rPr>
              <w:t>9606</w:t>
            </w:r>
          </w:p>
        </w:tc>
        <w:tc>
          <w:tcPr>
            <w:tcW w:w="1605" w:type="dxa"/>
            <w:tcBorders>
              <w:top w:val="single" w:sz="4" w:space="0" w:color="auto"/>
              <w:bottom w:val="single" w:sz="4" w:space="0" w:color="auto"/>
            </w:tcBorders>
          </w:tcPr>
          <w:p w14:paraId="7D88AB97" w14:textId="1A08977E"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14069C">
              <w:rPr>
                <w:rStyle w:val="Bold"/>
              </w:rPr>
              <w:t>N/A</w:t>
            </w:r>
          </w:p>
        </w:tc>
        <w:tc>
          <w:tcPr>
            <w:tcW w:w="1605" w:type="dxa"/>
            <w:tcBorders>
              <w:top w:val="single" w:sz="4" w:space="0" w:color="auto"/>
              <w:bottom w:val="single" w:sz="4" w:space="0" w:color="auto"/>
            </w:tcBorders>
          </w:tcPr>
          <w:p w14:paraId="7F2BBB42" w14:textId="5DAAA6EA" w:rsidR="00A057E6" w:rsidRPr="0014069C"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14069C">
              <w:rPr>
                <w:rStyle w:val="Bold"/>
              </w:rPr>
              <w:t>N/A</w:t>
            </w:r>
          </w:p>
        </w:tc>
        <w:tc>
          <w:tcPr>
            <w:tcW w:w="1605" w:type="dxa"/>
            <w:tcBorders>
              <w:top w:val="single" w:sz="4" w:space="0" w:color="auto"/>
              <w:bottom w:val="single" w:sz="4" w:space="0" w:color="auto"/>
            </w:tcBorders>
          </w:tcPr>
          <w:p w14:paraId="4BBBD979" w14:textId="1EB240FF" w:rsidR="00A057E6" w:rsidRPr="0014069C" w:rsidRDefault="00A25B00" w:rsidP="0014069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N/A</w:t>
            </w:r>
          </w:p>
        </w:tc>
        <w:tc>
          <w:tcPr>
            <w:tcW w:w="1606" w:type="dxa"/>
            <w:tcBorders>
              <w:top w:val="single" w:sz="4" w:space="0" w:color="auto"/>
              <w:bottom w:val="single" w:sz="4" w:space="0" w:color="auto"/>
            </w:tcBorders>
          </w:tcPr>
          <w:p w14:paraId="0092D299" w14:textId="5221AE9B" w:rsidR="00A057E6" w:rsidRPr="00A057E6" w:rsidRDefault="00A057E6" w:rsidP="0014069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14069C">
              <w:rPr>
                <w:rStyle w:val="Bold"/>
              </w:rPr>
              <w:t>66%</w:t>
            </w:r>
          </w:p>
        </w:tc>
      </w:tr>
    </w:tbl>
    <w:p w14:paraId="19079FB0" w14:textId="07900BEB" w:rsidR="003455F1" w:rsidRDefault="00A057E6" w:rsidP="00A057E6">
      <w:pPr>
        <w:pStyle w:val="BodyText"/>
        <w:rPr>
          <w:lang w:eastAsia="en-US"/>
        </w:rPr>
      </w:pPr>
      <w:bookmarkStart w:id="195" w:name="NoteTable2"/>
      <w:r>
        <w:rPr>
          <w:lang w:eastAsia="en-US"/>
        </w:rPr>
        <w:t>Note</w:t>
      </w:r>
      <w:bookmarkEnd w:id="195"/>
      <w:r>
        <w:rPr>
          <w:lang w:eastAsia="en-US"/>
        </w:rPr>
        <w:t>: Excludes drainage scheme areas, forested areas and French Island.</w:t>
      </w:r>
    </w:p>
    <w:p w14:paraId="178E3857" w14:textId="5F15757B" w:rsidR="00A057E6" w:rsidRDefault="00A057E6" w:rsidP="00A057E6">
      <w:pPr>
        <w:pStyle w:val="Heading3"/>
      </w:pPr>
      <w:bookmarkStart w:id="196" w:name="_Toc89722984"/>
      <w:bookmarkStart w:id="197" w:name="_Ref89811395"/>
      <w:bookmarkStart w:id="198" w:name="_Toc90325927"/>
      <w:bookmarkStart w:id="199" w:name="_Toc93659333"/>
      <w:r>
        <w:t>Innovative flood management solutions</w:t>
      </w:r>
      <w:bookmarkEnd w:id="196"/>
      <w:bookmarkEnd w:id="197"/>
      <w:bookmarkEnd w:id="198"/>
      <w:bookmarkEnd w:id="199"/>
    </w:p>
    <w:p w14:paraId="35BC72B5" w14:textId="754E2231" w:rsidR="00A057E6" w:rsidRDefault="00A057E6" w:rsidP="00A057E6">
      <w:pPr>
        <w:pStyle w:val="BodyText"/>
        <w:rPr>
          <w:lang w:eastAsia="en-US"/>
        </w:rPr>
      </w:pPr>
      <w:r>
        <w:rPr>
          <w:lang w:eastAsia="en-US"/>
        </w:rPr>
        <w:t>Melbourne Water has worked with state and local government to develop integrated and innovative flood and drainage solutions for the Fishermans Bend and Arden-Macaulay urban renewal areas. The strategies include conventional civil infrastructure such as pipes, pumps and levees, together with more advanced and progressive elements such as distributed storages and multi-use flood storage areas. At Fishermans Bend, the distributed storages include rainwater tanks and water sensitive streetscapes. At Arden-Macaulay, flood storage areas will have multiple uses such as public space for active recreation, urban greening, stormwater treatment and passive recreation. The drainage strategy at Arden-Macaulay also integrates with City West Water’s proposed stormwater harvesting scheme, which will form part of the newly formed Greater Western Water from July 2021.</w:t>
      </w:r>
    </w:p>
    <w:p w14:paraId="30E94ADE" w14:textId="09C0FD79" w:rsidR="003455F1" w:rsidRDefault="00A057E6" w:rsidP="00A057E6">
      <w:pPr>
        <w:pStyle w:val="BodyText"/>
        <w:rPr>
          <w:lang w:eastAsia="en-US"/>
        </w:rPr>
      </w:pPr>
      <w:r>
        <w:rPr>
          <w:lang w:eastAsia="en-US"/>
        </w:rPr>
        <w:t>As these flood and drainage solutions are further refined with the City of Melbourne, City of Port Phillip and Victorian Government agencies, we will continue to pursue and incorporate multiple benefits such as urban greening, alternative water supplies and creating enjoyable public spaces.</w:t>
      </w:r>
    </w:p>
    <w:p w14:paraId="47DC7AFD" w14:textId="77777777" w:rsidR="00A057E6" w:rsidRDefault="00A057E6" w:rsidP="00A057E6">
      <w:pPr>
        <w:pStyle w:val="Heading3"/>
      </w:pPr>
      <w:bookmarkStart w:id="200" w:name="_Toc89722985"/>
      <w:bookmarkStart w:id="201" w:name="_Toc90325928"/>
      <w:bookmarkStart w:id="202" w:name="_Toc93659334"/>
      <w:r>
        <w:lastRenderedPageBreak/>
        <w:t>Flood resilient guides for homes</w:t>
      </w:r>
      <w:bookmarkEnd w:id="200"/>
      <w:bookmarkEnd w:id="201"/>
      <w:bookmarkEnd w:id="202"/>
    </w:p>
    <w:p w14:paraId="16F9E9E9" w14:textId="16758D60" w:rsidR="00A057E6" w:rsidRDefault="00A057E6" w:rsidP="00A057E6">
      <w:pPr>
        <w:pStyle w:val="BodyText"/>
        <w:rPr>
          <w:lang w:eastAsia="en-US"/>
        </w:rPr>
      </w:pPr>
      <w:r>
        <w:rPr>
          <w:lang w:eastAsia="en-US"/>
        </w:rPr>
        <w:t xml:space="preserve">In 2020 Melbourne Water worked closely with the City of Port Phillip and James Davidson Architects to develop a </w:t>
      </w:r>
      <w:r w:rsidRPr="00A057E6">
        <w:rPr>
          <w:rStyle w:val="ItalicText"/>
          <w:lang w:eastAsia="en-US"/>
        </w:rPr>
        <w:t>Flood</w:t>
      </w:r>
      <w:r w:rsidRPr="00A057E6">
        <w:rPr>
          <w:rStyle w:val="ItalicText"/>
        </w:rPr>
        <w:t xml:space="preserve"> </w:t>
      </w:r>
      <w:r w:rsidRPr="00A057E6">
        <w:rPr>
          <w:rStyle w:val="ItalicText"/>
          <w:lang w:eastAsia="en-US"/>
        </w:rPr>
        <w:t>Resilient Guide to Retrofitting Your Home</w:t>
      </w:r>
      <w:r>
        <w:rPr>
          <w:lang w:eastAsia="en-US"/>
        </w:rPr>
        <w:t>. The guide gives residents living in flood-prone areas information to modify their homes to be more flood resilient. A flood resilient home is one that can withstand flood events with minimal impact, allowing residents to recover quickly from flooding. The guide reflects the need for all sectors of the community – from government, the business community and individual households – to work together to make our homes, businesses and infrastructure more resilient to flooding.</w:t>
      </w:r>
    </w:p>
    <w:p w14:paraId="4BC8D30A" w14:textId="40621979" w:rsidR="00A057E6" w:rsidRDefault="00A057E6" w:rsidP="00A057E6">
      <w:pPr>
        <w:pStyle w:val="BodyText"/>
        <w:rPr>
          <w:lang w:eastAsia="en-US"/>
        </w:rPr>
      </w:pPr>
      <w:r>
        <w:rPr>
          <w:lang w:eastAsia="en-US"/>
        </w:rPr>
        <w:t>The guide was an agreed action from the Elster Creek Collaboration, formed in 2017 to address flood issues, using a catchment-based approach.</w:t>
      </w:r>
    </w:p>
    <w:p w14:paraId="3355CF30" w14:textId="77777777" w:rsidR="00A057E6" w:rsidRDefault="00A057E6" w:rsidP="00A057E6">
      <w:pPr>
        <w:pStyle w:val="Heading3"/>
      </w:pPr>
      <w:bookmarkStart w:id="203" w:name="_Toc89722986"/>
      <w:bookmarkStart w:id="204" w:name="_Toc90325929"/>
      <w:bookmarkStart w:id="205" w:name="_Toc93659335"/>
      <w:r>
        <w:t>Infrastructure investments</w:t>
      </w:r>
      <w:bookmarkEnd w:id="203"/>
      <w:bookmarkEnd w:id="204"/>
      <w:bookmarkEnd w:id="205"/>
    </w:p>
    <w:p w14:paraId="5BF316C4" w14:textId="6513B898" w:rsidR="00A057E6" w:rsidRDefault="00A057E6" w:rsidP="00A057E6">
      <w:pPr>
        <w:pStyle w:val="BodyText"/>
        <w:rPr>
          <w:lang w:eastAsia="en-US"/>
        </w:rPr>
      </w:pPr>
      <w:r>
        <w:rPr>
          <w:lang w:eastAsia="en-US"/>
        </w:rPr>
        <w:t>During 2020-21, $26.7 million was allocated to renewing and enhancing our drainage and flood protection assets, including $6.4 million (of a total project cost of approximately $15 million) to renew the Shakespeare Grove main drain beach outlet, and $188.6 million to create new drainage and stormwater quality assets (like wetlands) to support the development of new land.</w:t>
      </w:r>
    </w:p>
    <w:p w14:paraId="284A7950" w14:textId="0FA6BEE7" w:rsidR="003455F1" w:rsidRDefault="00A057E6" w:rsidP="00A057E6">
      <w:pPr>
        <w:pStyle w:val="BodyText"/>
        <w:rPr>
          <w:lang w:eastAsia="en-US"/>
        </w:rPr>
      </w:pPr>
      <w:r>
        <w:rPr>
          <w:lang w:eastAsia="en-US"/>
        </w:rPr>
        <w:t>Retarding basins are an important feature of the drainage system, helping to reduce flooding by catching heavy rainfall and holding it in a reserved, low lying area of land. Our five-year program to ensure our retarding basins meet dam safety obligations is nearing completion, and in 2020-21 we progressed works on a number of retarding basins, with three remaining due for completion.</w:t>
      </w:r>
    </w:p>
    <w:p w14:paraId="644BAFBE" w14:textId="77E94624" w:rsidR="00A057E6" w:rsidRDefault="00A057E6" w:rsidP="00A057E6">
      <w:pPr>
        <w:pStyle w:val="Heading3"/>
      </w:pPr>
      <w:bookmarkStart w:id="206" w:name="_Toc89722987"/>
      <w:bookmarkStart w:id="207" w:name="_Toc90325930"/>
      <w:bookmarkStart w:id="208" w:name="_Toc93659336"/>
      <w:r>
        <w:t>Fostering community connection: Shakespeare Grove drain renewal</w:t>
      </w:r>
      <w:bookmarkEnd w:id="206"/>
      <w:bookmarkEnd w:id="207"/>
      <w:bookmarkEnd w:id="208"/>
    </w:p>
    <w:p w14:paraId="453D3467" w14:textId="19ADA1C7" w:rsidR="00A057E6" w:rsidRDefault="00A057E6" w:rsidP="00A057E6">
      <w:pPr>
        <w:pStyle w:val="BodyText"/>
        <w:rPr>
          <w:lang w:eastAsia="en-US"/>
        </w:rPr>
      </w:pPr>
      <w:r>
        <w:rPr>
          <w:lang w:eastAsia="en-US"/>
        </w:rPr>
        <w:t>Melbourne Water is replacing the 110-year-old Shakespeare Grove main drain outlet to make it safe for the public and ensure it continues to reduce the risk of flooding to surrounding suburbs for many years to come.</w:t>
      </w:r>
    </w:p>
    <w:p w14:paraId="0AF66D80" w14:textId="33F931E6" w:rsidR="00A057E6" w:rsidRDefault="00A057E6" w:rsidP="00A057E6">
      <w:pPr>
        <w:pStyle w:val="BodyText"/>
        <w:rPr>
          <w:lang w:eastAsia="en-US"/>
        </w:rPr>
      </w:pPr>
      <w:r>
        <w:rPr>
          <w:lang w:eastAsia="en-US"/>
        </w:rPr>
        <w:t>Following extensive community and stakeholder consultation, the spectacular ‘Circle of Reflection’ viewing platform, suspended above the end of the renewed outlet, emerged as the preferred option. The platform will allow people to access, experience and learn about the marine environment in a novel manner and foster community connection at the iconic St Kilda beach location. Construction commenced in February 2021 and is scheduled for March 2022 completion.</w:t>
      </w:r>
    </w:p>
    <w:p w14:paraId="79AE2CD1" w14:textId="18602292" w:rsidR="00B26655" w:rsidRDefault="00B26655" w:rsidP="00B26655">
      <w:pPr>
        <w:pStyle w:val="Heading3"/>
      </w:pPr>
      <w:bookmarkStart w:id="209" w:name="_Toc89722988"/>
      <w:bookmarkStart w:id="210" w:name="_Ref89809724"/>
      <w:bookmarkStart w:id="211" w:name="_Toc90325931"/>
      <w:bookmarkStart w:id="212" w:name="_Toc93659337"/>
      <w:r>
        <w:t>Land development: supporting a resilient and liveable Melbourne</w:t>
      </w:r>
      <w:bookmarkEnd w:id="209"/>
      <w:bookmarkEnd w:id="210"/>
      <w:bookmarkEnd w:id="211"/>
      <w:bookmarkEnd w:id="212"/>
    </w:p>
    <w:p w14:paraId="516B157E" w14:textId="72FBA322" w:rsidR="00B26655" w:rsidRDefault="00B26655" w:rsidP="00B26655">
      <w:pPr>
        <w:pStyle w:val="BodyText"/>
        <w:rPr>
          <w:lang w:eastAsia="en-US"/>
        </w:rPr>
      </w:pPr>
      <w:r>
        <w:rPr>
          <w:lang w:eastAsia="en-US"/>
        </w:rPr>
        <w:t>More than 1080 hectares of residential development land in growth areas met Melbourne Water’s requirements for planning compliance, meaning Melbourne Water supported the development industry to deliver more than 23,000 new homes in 2020-21. We provided written development advice to over 2250 landowners, developers, consultants and community members who intend to build in flood affected areas, and worked with local government to prepare for and amend existing flood hazard mapping and controls in planning schemes including those for the cities of Melbourne, Moorabool, Baw Baw, Kingston, Glen Eira and Knox.</w:t>
      </w:r>
    </w:p>
    <w:p w14:paraId="420550FD" w14:textId="279B7146" w:rsidR="00B26655" w:rsidRDefault="00B26655" w:rsidP="00B26655">
      <w:pPr>
        <w:pStyle w:val="BodyText"/>
        <w:rPr>
          <w:lang w:eastAsia="en-US"/>
        </w:rPr>
      </w:pPr>
      <w:r>
        <w:rPr>
          <w:lang w:eastAsia="en-US"/>
        </w:rPr>
        <w:t>Melbourne Water delivers the Development Services Schemes – a future infrastructure delivery mechanism for drainage, flood protection, stormwater quality treatment and waterway management – through precinct structure plans. This service provided water infrastructure planning in Packenham East and upcoming precincts in Beveridge North West, Craigieburn West, Shenstone Park and Pakenham South.</w:t>
      </w:r>
    </w:p>
    <w:p w14:paraId="075F8C5C" w14:textId="13777087" w:rsidR="00B26655" w:rsidRDefault="00B26655" w:rsidP="00B26655">
      <w:pPr>
        <w:pStyle w:val="BodyText"/>
        <w:rPr>
          <w:lang w:eastAsia="en-US"/>
        </w:rPr>
      </w:pPr>
      <w:r>
        <w:rPr>
          <w:lang w:eastAsia="en-US"/>
        </w:rPr>
        <w:t>Melbourne Water plays a direct role in building, governing and managing the water infrastructure to allow new housing and jobs, new community facilities and major state rail and road projects to be built. We controlled the development of over 100,000 new homes, community facilities and places of work through the determination of 10,000 applications for statutory planning and statutory building applications, ensuring that all determinations make new places and spaces safe in future flood events.</w:t>
      </w:r>
    </w:p>
    <w:p w14:paraId="03BA1AAC" w14:textId="66CB6B46" w:rsidR="00B26655" w:rsidRDefault="00B26655" w:rsidP="00B26655">
      <w:pPr>
        <w:pStyle w:val="BodyText"/>
        <w:rPr>
          <w:lang w:eastAsia="en-US"/>
        </w:rPr>
      </w:pPr>
      <w:r>
        <w:rPr>
          <w:lang w:eastAsia="en-US"/>
        </w:rPr>
        <w:lastRenderedPageBreak/>
        <w:t>We supported development capital works, which included 11 flood retarding basins, 11 kilometres of underground pipes to manage drainage and flood flows, 12 kilometres of waterway rejuvenation and 13 new wetlands to provide stormwater treatment and habitats for diverse flora and fauna.</w:t>
      </w:r>
    </w:p>
    <w:p w14:paraId="0634CC33" w14:textId="052E92F8" w:rsidR="003455F1" w:rsidRDefault="00B26655" w:rsidP="00B26655">
      <w:pPr>
        <w:pStyle w:val="BodyText"/>
        <w:rPr>
          <w:lang w:eastAsia="en-US"/>
        </w:rPr>
      </w:pPr>
      <w:r>
        <w:rPr>
          <w:lang w:eastAsia="en-US"/>
        </w:rPr>
        <w:t>We also provided input for stormwater and drainage planning for major Victorian Government infrastructure projects, including Suburban Rail Loop, Metro Tunnel, Level Crossing Removal Project and Major Road Projects Victoria to ensure asset protection and achievement of mutually beneficial outcomes for the projects and community.</w:t>
      </w:r>
    </w:p>
    <w:p w14:paraId="66C8D6C9" w14:textId="5976FEF3" w:rsidR="00B26655" w:rsidRDefault="00B26655" w:rsidP="00B26655">
      <w:pPr>
        <w:pStyle w:val="PullBox"/>
      </w:pPr>
      <w:r>
        <w:t>102 catchments mapped for Flood Management Program</w:t>
      </w:r>
    </w:p>
    <w:p w14:paraId="451FA88A" w14:textId="4BAF8ED4" w:rsidR="00B26655" w:rsidRDefault="00B26655" w:rsidP="00B26655">
      <w:pPr>
        <w:pStyle w:val="Heading2"/>
      </w:pPr>
      <w:bookmarkStart w:id="213" w:name="_Ref89718872"/>
      <w:bookmarkStart w:id="214" w:name="_Toc89722989"/>
      <w:bookmarkStart w:id="215" w:name="_Toc89723213"/>
      <w:bookmarkStart w:id="216" w:name="_Toc89723273"/>
      <w:bookmarkStart w:id="217" w:name="_Toc89860537"/>
      <w:bookmarkStart w:id="218" w:name="_Toc89860681"/>
      <w:bookmarkStart w:id="219" w:name="_Toc90325932"/>
      <w:bookmarkStart w:id="220" w:name="_Toc93659338"/>
      <w:r>
        <w:t>Waterway Management</w:t>
      </w:r>
      <w:bookmarkEnd w:id="213"/>
      <w:bookmarkEnd w:id="214"/>
      <w:bookmarkEnd w:id="215"/>
      <w:bookmarkEnd w:id="216"/>
      <w:bookmarkEnd w:id="217"/>
      <w:bookmarkEnd w:id="218"/>
      <w:bookmarkEnd w:id="219"/>
      <w:bookmarkEnd w:id="220"/>
    </w:p>
    <w:p w14:paraId="29073DEC" w14:textId="7A28DD05" w:rsidR="00B26655" w:rsidRDefault="00B26655" w:rsidP="00B26655">
      <w:pPr>
        <w:pStyle w:val="PullBox"/>
      </w:pPr>
      <w:r>
        <w:t>The health of Melbourne's waterways is central to the liveability of the region.</w:t>
      </w:r>
    </w:p>
    <w:p w14:paraId="1EE13BEA" w14:textId="764FF83D" w:rsidR="00B26655" w:rsidRDefault="00B26655" w:rsidP="00B26655">
      <w:pPr>
        <w:pStyle w:val="GreyBox"/>
      </w:pPr>
      <w:r w:rsidRPr="00296848">
        <w:t xml:space="preserve">Aligns with goals </w:t>
      </w:r>
      <w:r>
        <w:t>3, 6, 11, 14, 15 and 17</w:t>
      </w:r>
    </w:p>
    <w:p w14:paraId="72AB722F" w14:textId="4E0612AA" w:rsidR="00B26655" w:rsidRDefault="00B26655" w:rsidP="00B26655">
      <w:pPr>
        <w:pStyle w:val="Heading3"/>
      </w:pPr>
      <w:bookmarkStart w:id="221" w:name="_Toc89722990"/>
      <w:bookmarkStart w:id="222" w:name="_Toc90325933"/>
      <w:bookmarkStart w:id="223" w:name="_Toc93659339"/>
      <w:r>
        <w:t>Our Approach</w:t>
      </w:r>
      <w:bookmarkEnd w:id="221"/>
      <w:bookmarkEnd w:id="222"/>
      <w:bookmarkEnd w:id="223"/>
    </w:p>
    <w:p w14:paraId="7BE766D9" w14:textId="6AD21A9C" w:rsidR="00B26655" w:rsidRDefault="00B26655" w:rsidP="00B26655">
      <w:pPr>
        <w:pStyle w:val="BodyText"/>
        <w:rPr>
          <w:lang w:eastAsia="en-US"/>
        </w:rPr>
      </w:pPr>
      <w:r>
        <w:rPr>
          <w:lang w:eastAsia="en-US"/>
        </w:rPr>
        <w:t>Healthy rivers, estuaries and wetlands play a vital role in many aspects of our daily life. Our community engagement has highlighted how much the people of greater Melbourne value waterways in supporting environmental health and their overall quality of life.</w:t>
      </w:r>
    </w:p>
    <w:p w14:paraId="594BC0F2" w14:textId="101A7089" w:rsidR="00B26655" w:rsidRDefault="00B26655" w:rsidP="00B26655">
      <w:pPr>
        <w:pStyle w:val="BodyText"/>
        <w:rPr>
          <w:lang w:eastAsia="en-US"/>
        </w:rPr>
      </w:pPr>
      <w:r>
        <w:rPr>
          <w:lang w:eastAsia="en-US"/>
        </w:rPr>
        <w:t>Across our region, Melbourne Water monitors and provides targeted maintenance and improvement works for 25,000 kilometres of rivers and creeks, 33 estuaries and wetlands as well as more than 1000 stormwater treatment systems, including constructed wetlands. We work together with state and local government, non-government organisations and community groups to enhance the environmental, social, cultural and economic value of our waterways and protect them from a variety threats, including climate change and population growth.</w:t>
      </w:r>
    </w:p>
    <w:p w14:paraId="3EED3C2F" w14:textId="44B47CF6" w:rsidR="00B26655" w:rsidRDefault="00B26655" w:rsidP="00B26655">
      <w:pPr>
        <w:pStyle w:val="BodyText"/>
        <w:rPr>
          <w:lang w:eastAsia="en-US"/>
        </w:rPr>
      </w:pPr>
      <w:r>
        <w:rPr>
          <w:lang w:eastAsia="en-US"/>
        </w:rPr>
        <w:t>Our waterways sustain a diversity of life, including birds, fish, frogs, platypus, macroinvertebrates and vegetation. They provide places for people to gather, exercise and relax and they are important sites of cultural significance. They support our growth and prosperity by providing drainage and flood mitigation. They also provide economic benefits by supplying water for agriculture, recreational fishing, commercial industries and tourism opportunities.</w:t>
      </w:r>
    </w:p>
    <w:p w14:paraId="617AC62D" w14:textId="4AFFF3C8" w:rsidR="00B26655" w:rsidRDefault="00B26655" w:rsidP="00B26655">
      <w:pPr>
        <w:pStyle w:val="BodyText"/>
        <w:rPr>
          <w:lang w:eastAsia="en-US"/>
        </w:rPr>
      </w:pPr>
      <w:r>
        <w:rPr>
          <w:lang w:eastAsia="en-US"/>
        </w:rPr>
        <w:t xml:space="preserve">The </w:t>
      </w:r>
      <w:r w:rsidRPr="00B26655">
        <w:rPr>
          <w:rStyle w:val="ItalicText"/>
          <w:lang w:eastAsia="en-US"/>
        </w:rPr>
        <w:t>Healthy Waterways Strategy</w:t>
      </w:r>
      <w:r>
        <w:rPr>
          <w:lang w:eastAsia="en-US"/>
        </w:rPr>
        <w:t xml:space="preserve"> is a shared strategy across Melbourne Water, state and local government, water corporations, Traditional Owners and land management councils, non-government organisations and the community. The strategy provides a shared regional and catchment-specific vision for the health of rivers, estuaries and wetlands in the Port Phillip and Westernport regions and contributes to delivery of the </w:t>
      </w:r>
      <w:r w:rsidRPr="00B26655">
        <w:rPr>
          <w:rStyle w:val="ItalicText"/>
          <w:lang w:eastAsia="en-US"/>
        </w:rPr>
        <w:t>Port Phillip and</w:t>
      </w:r>
      <w:r w:rsidRPr="00B26655">
        <w:rPr>
          <w:rStyle w:val="ItalicText"/>
        </w:rPr>
        <w:t xml:space="preserve"> </w:t>
      </w:r>
      <w:r w:rsidRPr="00B26655">
        <w:rPr>
          <w:rStyle w:val="ItalicText"/>
          <w:lang w:eastAsia="en-US"/>
        </w:rPr>
        <w:t>Westernport Regional Catchment Strategy</w:t>
      </w:r>
      <w:r>
        <w:rPr>
          <w:lang w:eastAsia="en-US"/>
        </w:rPr>
        <w:t xml:space="preserve"> and </w:t>
      </w:r>
      <w:r w:rsidRPr="00B26655">
        <w:rPr>
          <w:rStyle w:val="ItalicText"/>
          <w:lang w:eastAsia="en-US"/>
        </w:rPr>
        <w:t>Victorian</w:t>
      </w:r>
      <w:r w:rsidRPr="00B26655">
        <w:rPr>
          <w:rStyle w:val="ItalicText"/>
        </w:rPr>
        <w:t xml:space="preserve"> </w:t>
      </w:r>
      <w:r w:rsidRPr="00B26655">
        <w:rPr>
          <w:rStyle w:val="ItalicText"/>
          <w:lang w:eastAsia="en-US"/>
        </w:rPr>
        <w:t>Waterway Management Strategy</w:t>
      </w:r>
      <w:r>
        <w:rPr>
          <w:lang w:eastAsia="en-US"/>
        </w:rPr>
        <w:t>.</w:t>
      </w:r>
    </w:p>
    <w:p w14:paraId="66AC38E5" w14:textId="7F09172D" w:rsidR="00B26655" w:rsidRDefault="00B26655" w:rsidP="00B26655">
      <w:pPr>
        <w:pStyle w:val="BodyText"/>
        <w:rPr>
          <w:lang w:eastAsia="en-US"/>
        </w:rPr>
      </w:pPr>
      <w:r>
        <w:rPr>
          <w:lang w:eastAsia="en-US"/>
        </w:rPr>
        <w:t>In 2020-21 Melbourne Water invested $39.5 million to repair and protect our waterways from a variety of threats, including those posed by climate change and population growth. Of this, $15.9 million was spent on improving stormwater quality through renewing and revegetating wetlands (like Lilydale Lake Wetland, Hallam Valley Wetland and Argus Street Wetland), and $23.6 million on improving waterway condition.</w:t>
      </w:r>
    </w:p>
    <w:p w14:paraId="75087B24" w14:textId="5C4FE463" w:rsidR="00B26655" w:rsidRDefault="00B26655" w:rsidP="00B26655">
      <w:pPr>
        <w:pStyle w:val="Heading3"/>
      </w:pPr>
      <w:bookmarkStart w:id="224" w:name="_Toc89722991"/>
      <w:bookmarkStart w:id="225" w:name="_Toc90325934"/>
      <w:bookmarkStart w:id="226" w:name="_Toc93659340"/>
      <w:r>
        <w:lastRenderedPageBreak/>
        <w:t xml:space="preserve">Driving evidence-based delivery of the </w:t>
      </w:r>
      <w:r w:rsidRPr="00B26655">
        <w:rPr>
          <w:rStyle w:val="ItalicText"/>
        </w:rPr>
        <w:t>Healthy Waterways Strategy</w:t>
      </w:r>
      <w:bookmarkEnd w:id="224"/>
      <w:bookmarkEnd w:id="225"/>
      <w:bookmarkEnd w:id="226"/>
    </w:p>
    <w:p w14:paraId="21812831" w14:textId="2ADBEC8C" w:rsidR="00B26655" w:rsidRDefault="00B26655" w:rsidP="00B26655">
      <w:pPr>
        <w:pStyle w:val="BodyText"/>
        <w:rPr>
          <w:lang w:eastAsia="en-US"/>
        </w:rPr>
      </w:pPr>
      <w:r>
        <w:rPr>
          <w:lang w:eastAsia="en-US"/>
        </w:rPr>
        <w:t xml:space="preserve">This year we launched an annual reporting </w:t>
      </w:r>
      <w:hyperlink r:id="rId25" w:history="1">
        <w:r w:rsidR="00D363B3" w:rsidRPr="00D363B3">
          <w:rPr>
            <w:rStyle w:val="Hyperlink"/>
            <w:lang w:eastAsia="en-US"/>
          </w:rPr>
          <w:t>website</w:t>
        </w:r>
      </w:hyperlink>
      <w:r w:rsidR="00D363B3">
        <w:rPr>
          <w:rStyle w:val="FootnoteReference"/>
          <w:lang w:eastAsia="en-US"/>
        </w:rPr>
        <w:footnoteReference w:id="5"/>
      </w:r>
      <w:r>
        <w:rPr>
          <w:lang w:eastAsia="en-US"/>
        </w:rPr>
        <w:t xml:space="preserve"> for the strategy to support adaptive management and increase transparency on its deliverables and outcomes</w:t>
      </w:r>
      <w:r w:rsidRPr="00D363B3">
        <w:rPr>
          <w:lang w:eastAsia="en-US"/>
        </w:rPr>
        <w:t>. This</w:t>
      </w:r>
      <w:r>
        <w:rPr>
          <w:lang w:eastAsia="en-US"/>
        </w:rPr>
        <w:t xml:space="preserve"> is a resource for the community and strategy partners, providing access to contextual information and data such as macroinvertebrate trend monitoring and platypus tracking.</w:t>
      </w:r>
    </w:p>
    <w:p w14:paraId="55BBE2B4" w14:textId="6CBEDEDD" w:rsidR="00B26655" w:rsidRDefault="00B26655" w:rsidP="00B26655">
      <w:pPr>
        <w:pStyle w:val="BodyText"/>
        <w:rPr>
          <w:lang w:eastAsia="en-US"/>
        </w:rPr>
      </w:pPr>
      <w:r>
        <w:rPr>
          <w:lang w:eastAsia="en-US"/>
        </w:rPr>
        <w:t xml:space="preserve">The Region Wide Leadership Group (RLG), comprising independent Chair Rob Vertessey and members from Parks Victoria, Port Phillip and Western Port Catchment Management Authority (PPWCMA), EPA, </w:t>
      </w:r>
      <w:r w:rsidR="00A52F94">
        <w:rPr>
          <w:lang w:eastAsia="en-US"/>
        </w:rPr>
        <w:t>Municipal Association of Victoria</w:t>
      </w:r>
      <w:r>
        <w:rPr>
          <w:lang w:eastAsia="en-US"/>
        </w:rPr>
        <w:t xml:space="preserve">, </w:t>
      </w:r>
      <w:r w:rsidR="0030196D">
        <w:rPr>
          <w:lang w:eastAsia="en-US"/>
        </w:rPr>
        <w:t>Department of Environment, Land, Water and Planning</w:t>
      </w:r>
      <w:r>
        <w:rPr>
          <w:lang w:eastAsia="en-US"/>
        </w:rPr>
        <w:t xml:space="preserve"> and Melbourne Water continues to guide co-delivery of the strategy. The group meets regularly and is working together on targeted areas for improvement, such as protecting natural wetlands and better management of urban stormwater runoff into our waterways.</w:t>
      </w:r>
    </w:p>
    <w:p w14:paraId="6E17538B" w14:textId="1A22D067" w:rsidR="00B26655" w:rsidRDefault="00B26655" w:rsidP="00B26655">
      <w:pPr>
        <w:pStyle w:val="BodyText"/>
        <w:rPr>
          <w:lang w:eastAsia="en-US"/>
        </w:rPr>
      </w:pPr>
      <w:r>
        <w:rPr>
          <w:lang w:eastAsia="en-US"/>
        </w:rPr>
        <w:t xml:space="preserve">The impact of </w:t>
      </w:r>
      <w:r w:rsidR="0030196D">
        <w:t>COVID</w:t>
      </w:r>
      <w:r w:rsidR="0030196D">
        <w:noBreakHyphen/>
        <w:t>19</w:t>
      </w:r>
      <w:r>
        <w:rPr>
          <w:lang w:eastAsia="en-US"/>
        </w:rPr>
        <w:t xml:space="preserve"> unfortunately delayed collaborative catchment forums which review co-designed programs across each of the five major catchments forming the strategy boundary. These are planned to take place in November 2021.</w:t>
      </w:r>
    </w:p>
    <w:p w14:paraId="5DE1A272" w14:textId="77777777" w:rsidR="001864FC" w:rsidRDefault="001864FC" w:rsidP="001864FC">
      <w:pPr>
        <w:pStyle w:val="Heading3"/>
      </w:pPr>
      <w:bookmarkStart w:id="227" w:name="_Toc89722992"/>
      <w:bookmarkStart w:id="228" w:name="_Toc90325935"/>
      <w:bookmarkStart w:id="229" w:name="_Toc93659341"/>
      <w:r>
        <w:t>Waterways and Drainage Investment Plan</w:t>
      </w:r>
      <w:bookmarkEnd w:id="227"/>
      <w:bookmarkEnd w:id="228"/>
      <w:bookmarkEnd w:id="229"/>
    </w:p>
    <w:p w14:paraId="08C1AC15" w14:textId="5B8705C6" w:rsidR="001864FC" w:rsidRDefault="001864FC" w:rsidP="001864FC">
      <w:pPr>
        <w:pStyle w:val="BodyText"/>
        <w:rPr>
          <w:lang w:eastAsia="en-US"/>
        </w:rPr>
      </w:pPr>
      <w:r>
        <w:rPr>
          <w:lang w:eastAsia="en-US"/>
        </w:rPr>
        <w:t>Melbourne Water finalised the development of the 2021 Waterways and Drainage Investment Plan (WDIP) as part of developing our Price Submission to the Essential Services Commission. Extensive customer and community engagement and a social research program helped identify customer preferences to shape funding prioritisation of the different services delivered under the waterways and drainage charge.</w:t>
      </w:r>
    </w:p>
    <w:p w14:paraId="08F34898" w14:textId="77777777" w:rsidR="001864FC" w:rsidRDefault="001864FC" w:rsidP="001864FC">
      <w:pPr>
        <w:pStyle w:val="Heading3"/>
      </w:pPr>
      <w:bookmarkStart w:id="230" w:name="_Toc89722993"/>
      <w:bookmarkStart w:id="231" w:name="_Toc90325936"/>
      <w:bookmarkStart w:id="232" w:name="_Toc93659342"/>
      <w:r>
        <w:t>Waterways research</w:t>
      </w:r>
      <w:bookmarkEnd w:id="230"/>
      <w:bookmarkEnd w:id="231"/>
      <w:bookmarkEnd w:id="232"/>
    </w:p>
    <w:p w14:paraId="3C33E7DC" w14:textId="608F0065" w:rsidR="001864FC" w:rsidRDefault="001864FC" w:rsidP="001864FC">
      <w:pPr>
        <w:pStyle w:val="BodyText"/>
        <w:rPr>
          <w:lang w:eastAsia="en-US"/>
        </w:rPr>
      </w:pPr>
      <w:r>
        <w:rPr>
          <w:lang w:eastAsia="en-US"/>
        </w:rPr>
        <w:t xml:space="preserve">In 2020-21 we continued to address key research areas, deliver communications and engagement activities, and work collaboratively to achieve the </w:t>
      </w:r>
      <w:r w:rsidRPr="001864FC">
        <w:rPr>
          <w:rStyle w:val="ItalicText"/>
          <w:lang w:eastAsia="en-US"/>
        </w:rPr>
        <w:t>Healthy Waterways Strategy</w:t>
      </w:r>
      <w:r>
        <w:rPr>
          <w:lang w:eastAsia="en-US"/>
        </w:rPr>
        <w:t xml:space="preserve"> performance objectives, including:</w:t>
      </w:r>
    </w:p>
    <w:p w14:paraId="37D28E7F" w14:textId="67F6F47F" w:rsidR="001864FC" w:rsidRDefault="001864FC" w:rsidP="00C778D6">
      <w:pPr>
        <w:pStyle w:val="ListBullet"/>
        <w:rPr>
          <w:lang w:eastAsia="en-US"/>
        </w:rPr>
      </w:pPr>
      <w:r>
        <w:rPr>
          <w:lang w:eastAsia="en-US"/>
        </w:rPr>
        <w:t>working with Traditional Owners on governance and research capacity building activities</w:t>
      </w:r>
    </w:p>
    <w:p w14:paraId="2F9B70DE" w14:textId="2CE41812" w:rsidR="001864FC" w:rsidRDefault="001864FC" w:rsidP="00C778D6">
      <w:pPr>
        <w:pStyle w:val="ListBullet"/>
        <w:rPr>
          <w:lang w:eastAsia="en-US"/>
        </w:rPr>
      </w:pPr>
      <w:r>
        <w:rPr>
          <w:lang w:eastAsia="en-US"/>
        </w:rPr>
        <w:t>partnering with the University of Melbourne (Melbourne Waterway Research-Practice Partnership) to conduct research that underpins improved management of urban and rural waterways, such as developing tools to prioritise investment in waterway management</w:t>
      </w:r>
    </w:p>
    <w:p w14:paraId="5CFA3E12" w14:textId="089780C6" w:rsidR="001864FC" w:rsidRDefault="001864FC" w:rsidP="00C778D6">
      <w:pPr>
        <w:pStyle w:val="ListBullet"/>
        <w:rPr>
          <w:lang w:eastAsia="en-US"/>
        </w:rPr>
      </w:pPr>
      <w:r>
        <w:rPr>
          <w:lang w:eastAsia="en-US"/>
        </w:rPr>
        <w:t>researching aquatic pollution prevention methods with RMIT University (Aquatic Pollution Prevention Partnership)</w:t>
      </w:r>
    </w:p>
    <w:p w14:paraId="6CE95722" w14:textId="18E1D654" w:rsidR="001864FC" w:rsidRDefault="001864FC" w:rsidP="00C778D6">
      <w:pPr>
        <w:pStyle w:val="ListBullet"/>
        <w:rPr>
          <w:lang w:eastAsia="en-US"/>
        </w:rPr>
      </w:pPr>
      <w:r>
        <w:rPr>
          <w:lang w:eastAsia="en-US"/>
        </w:rPr>
        <w:t xml:space="preserve">trialling environmental DNA methods to monitor frog and bird communities within priority wetlands to track progress against </w:t>
      </w:r>
      <w:r w:rsidRPr="001864FC">
        <w:rPr>
          <w:rStyle w:val="ItalicText"/>
          <w:lang w:eastAsia="en-US"/>
        </w:rPr>
        <w:t>Healthy Waterways Strategy</w:t>
      </w:r>
      <w:r>
        <w:rPr>
          <w:lang w:eastAsia="en-US"/>
        </w:rPr>
        <w:t xml:space="preserve"> targets (with EnviroDNA)</w:t>
      </w:r>
    </w:p>
    <w:p w14:paraId="5BDB8831" w14:textId="17D51BBF" w:rsidR="001864FC" w:rsidRDefault="001864FC" w:rsidP="00C778D6">
      <w:pPr>
        <w:pStyle w:val="ListBullet"/>
        <w:rPr>
          <w:lang w:eastAsia="en-US"/>
        </w:rPr>
      </w:pPr>
      <w:r>
        <w:rPr>
          <w:lang w:eastAsia="en-US"/>
        </w:rPr>
        <w:t>supporting safer working environments by remotely collecting environmental condition data for waterway assets using satellite imagery, drones and LiDAR (Light Detection and Ranging) – with The University of Melbourne and RMIT University</w:t>
      </w:r>
    </w:p>
    <w:p w14:paraId="41259E46" w14:textId="29EF9EF0" w:rsidR="001864FC" w:rsidRDefault="001864FC" w:rsidP="00C778D6">
      <w:pPr>
        <w:pStyle w:val="ListBullet"/>
        <w:rPr>
          <w:lang w:eastAsia="en-US"/>
        </w:rPr>
      </w:pPr>
      <w:r>
        <w:rPr>
          <w:lang w:eastAsia="en-US"/>
        </w:rPr>
        <w:t xml:space="preserve">undertaking a national research project with the Cooperative Research Centre (CRC) for Water Sensitive Cities to understand the barriers and opportunities for upscaling </w:t>
      </w:r>
      <w:r w:rsidR="0030196D">
        <w:rPr>
          <w:lang w:eastAsia="en-US"/>
        </w:rPr>
        <w:t>Integrated Water Management</w:t>
      </w:r>
      <w:r>
        <w:rPr>
          <w:lang w:eastAsia="en-US"/>
        </w:rPr>
        <w:t xml:space="preserve"> across Melbourne.</w:t>
      </w:r>
    </w:p>
    <w:p w14:paraId="20B5EB9B" w14:textId="7EC30962" w:rsidR="00B26655" w:rsidRDefault="001864FC" w:rsidP="001864FC">
      <w:pPr>
        <w:pStyle w:val="BodyText"/>
        <w:rPr>
          <w:lang w:eastAsia="en-US"/>
        </w:rPr>
      </w:pPr>
      <w:r>
        <w:rPr>
          <w:lang w:eastAsia="en-US"/>
        </w:rPr>
        <w:t>We are also working in collaboration with Monash and Melbourne universities to explore the use of emerging technology, such as low-cost sensors to identify pollution hotspots, and real-time monitoring and control of environmental flow releases in urban streams.</w:t>
      </w:r>
    </w:p>
    <w:p w14:paraId="21385A54" w14:textId="7B671F74" w:rsidR="001864FC" w:rsidRDefault="001864FC" w:rsidP="001864FC">
      <w:pPr>
        <w:pStyle w:val="Heading3"/>
      </w:pPr>
      <w:bookmarkStart w:id="233" w:name="_Toc89722994"/>
      <w:bookmarkStart w:id="234" w:name="_Toc90325937"/>
      <w:bookmarkStart w:id="235" w:name="_Toc93659343"/>
      <w:r>
        <w:lastRenderedPageBreak/>
        <w:t>Improving the health of Birrarung’s billabongs</w:t>
      </w:r>
      <w:bookmarkEnd w:id="233"/>
      <w:bookmarkEnd w:id="234"/>
      <w:bookmarkEnd w:id="235"/>
    </w:p>
    <w:p w14:paraId="37DE4137" w14:textId="75F4EAEC" w:rsidR="001864FC" w:rsidRDefault="001864FC" w:rsidP="001864FC">
      <w:pPr>
        <w:pStyle w:val="BodyText"/>
        <w:rPr>
          <w:lang w:eastAsia="en-US"/>
        </w:rPr>
      </w:pPr>
      <w:r>
        <w:rPr>
          <w:lang w:eastAsia="en-US"/>
        </w:rPr>
        <w:t>Billabongs are iconic places in the Australian landscape and vital to Birrarung’s (Yarra's) floodplain. Changes to river flows mean that billabongs don’t get the water they need to be healthy. Melbourne Water is engaging with Traditional Owners in a program to determine water requirements, deliver water and seek long-term solutions for the billabongs to support cultural, ecological and liveability values.</w:t>
      </w:r>
    </w:p>
    <w:p w14:paraId="6CE29D8E" w14:textId="2C58669B" w:rsidR="001864FC" w:rsidRDefault="001864FC" w:rsidP="001864FC">
      <w:pPr>
        <w:pStyle w:val="BodyText"/>
        <w:rPr>
          <w:lang w:eastAsia="en-US"/>
        </w:rPr>
      </w:pPr>
      <w:r>
        <w:rPr>
          <w:lang w:eastAsia="en-US"/>
        </w:rPr>
        <w:t>During September 2020, water was delivered to Annulus billabong on behalf of the Victorian Environmental Water Holder. As part of the wider Birrarung billabong project, a Melbourne Waterway Research-Practice Partnership project ‘Birrarung’s billabongs: vegetation responses to environmental watering’ has been developed with the University of Melbourne, Melbourne Water and the Wurundjeri Woi-wurrung Cultural Heritage Aboriginal Corporation Narrap rangers.</w:t>
      </w:r>
    </w:p>
    <w:p w14:paraId="593237E7" w14:textId="690F9E90" w:rsidR="001864FC" w:rsidRDefault="001864FC" w:rsidP="001864FC">
      <w:pPr>
        <w:pStyle w:val="BodyText"/>
        <w:rPr>
          <w:lang w:eastAsia="en-US"/>
        </w:rPr>
      </w:pPr>
      <w:r>
        <w:rPr>
          <w:lang w:eastAsia="en-US"/>
        </w:rPr>
        <w:t>This project includes a monitoring program to refine the recommended water regimes and inform adaptive management. An ‘on Country’ knowledge day was held with the Narrap team, Parks Victoria, Melbourne Water and the University of Melbourne to share the findings, which included a smoking ceremony and discussions at Bolin Bolin and Annulus billabongs, including about frog habitat and information from the songmeters that the Narrap installed. The information gathered will inform long-term strategies to provide the appropriate watering solution for the billabongs.</w:t>
      </w:r>
    </w:p>
    <w:p w14:paraId="769770A8" w14:textId="77777777" w:rsidR="001864FC" w:rsidRDefault="001864FC" w:rsidP="001864FC">
      <w:pPr>
        <w:pStyle w:val="Heading3"/>
      </w:pPr>
      <w:bookmarkStart w:id="236" w:name="_Toc89722995"/>
      <w:bookmarkStart w:id="237" w:name="_Toc90325938"/>
      <w:bookmarkStart w:id="238" w:name="_Toc93659344"/>
      <w:r>
        <w:t>Integrated service planning</w:t>
      </w:r>
      <w:bookmarkEnd w:id="236"/>
      <w:bookmarkEnd w:id="237"/>
      <w:bookmarkEnd w:id="238"/>
    </w:p>
    <w:p w14:paraId="15F259A5" w14:textId="2AD5016B" w:rsidR="001864FC" w:rsidRDefault="001864FC" w:rsidP="001864FC">
      <w:pPr>
        <w:pStyle w:val="BodyText"/>
        <w:rPr>
          <w:lang w:eastAsia="en-US"/>
        </w:rPr>
      </w:pPr>
      <w:r>
        <w:rPr>
          <w:lang w:eastAsia="en-US"/>
        </w:rPr>
        <w:t>Melbourne Water adopts an integrated approach to service planning with our local government partners. In 2020-21, we committed dedicated resourcing to support proactive engagement with councils and other key partners to develop action plans to improve alignment on service delivery. This program results in better coordination of on-ground works and operational planning with our partners, strengthened relationships and strategic co-delivery of key aspects of the Healthy Waterways and Flood strategies. The program will continue, with partner engagement on ongoing service delivery and catchment-scale collaborations, to deliver on key strategic priorities.</w:t>
      </w:r>
    </w:p>
    <w:p w14:paraId="6A6EFB21" w14:textId="3A48C9ED" w:rsidR="001864FC" w:rsidRDefault="001864FC" w:rsidP="001864FC">
      <w:pPr>
        <w:pStyle w:val="Heading3"/>
      </w:pPr>
      <w:bookmarkStart w:id="239" w:name="_Toc89722996"/>
      <w:bookmarkStart w:id="240" w:name="_Toc90325939"/>
      <w:bookmarkStart w:id="241" w:name="_Toc93659345"/>
      <w:r>
        <w:t>Port Philip and Westernport Catchment Management Authority integration into Melbourne Water</w:t>
      </w:r>
      <w:bookmarkEnd w:id="239"/>
      <w:bookmarkEnd w:id="240"/>
      <w:bookmarkEnd w:id="241"/>
    </w:p>
    <w:p w14:paraId="587D7842" w14:textId="36E87A94" w:rsidR="001864FC" w:rsidRDefault="001864FC" w:rsidP="001864FC">
      <w:pPr>
        <w:pStyle w:val="BodyText"/>
        <w:rPr>
          <w:lang w:eastAsia="en-US"/>
        </w:rPr>
      </w:pPr>
      <w:r>
        <w:rPr>
          <w:lang w:eastAsia="en-US"/>
        </w:rPr>
        <w:t xml:space="preserve">In February the Victorian Government announced its decision to integrate the Port Philip and Westernport Catchment Management Authority (PPWCMA) into Melbourne Water, commencing at the start of 2022. Detailed planning is now underway to fully align our work and deliver the new obligations. Strong collaborative working arrangements already in place between </w:t>
      </w:r>
      <w:r w:rsidR="00A52F94">
        <w:rPr>
          <w:lang w:eastAsia="en-US"/>
        </w:rPr>
        <w:t>Port Phillip and Western Port Catchment Management Authority</w:t>
      </w:r>
      <w:r>
        <w:rPr>
          <w:lang w:eastAsia="en-US"/>
        </w:rPr>
        <w:t xml:space="preserve"> and Melbourne Water will ensure a smooth transition that preserves the valued relationship built over many years and enhances </w:t>
      </w:r>
      <w:r w:rsidR="00A52F94">
        <w:rPr>
          <w:lang w:eastAsia="en-US"/>
        </w:rPr>
        <w:t>Port Phillip and Western Port Catchment Management Authority</w:t>
      </w:r>
      <w:r>
        <w:rPr>
          <w:lang w:eastAsia="en-US"/>
        </w:rPr>
        <w:t xml:space="preserve"> customer outcomes.</w:t>
      </w:r>
    </w:p>
    <w:p w14:paraId="1B4BE1A0" w14:textId="27013141" w:rsidR="001864FC" w:rsidRDefault="001864FC" w:rsidP="001864FC">
      <w:pPr>
        <w:pStyle w:val="BodyText"/>
        <w:rPr>
          <w:lang w:eastAsia="en-US"/>
        </w:rPr>
      </w:pPr>
      <w:r>
        <w:rPr>
          <w:lang w:eastAsia="en-US"/>
        </w:rPr>
        <w:t>The integration will better position the region to respond to long-term challenges and will provide a sustainable and integrated approach to waterway management for the Port Phillip and Westernport region.</w:t>
      </w:r>
    </w:p>
    <w:p w14:paraId="2441BDA4" w14:textId="3C215C79" w:rsidR="001864FC" w:rsidRDefault="001864FC" w:rsidP="001864FC">
      <w:pPr>
        <w:pStyle w:val="Heading3"/>
      </w:pPr>
      <w:bookmarkStart w:id="242" w:name="_Toc89722997"/>
      <w:bookmarkStart w:id="243" w:name="_Toc90325940"/>
      <w:bookmarkStart w:id="244" w:name="_Toc93659346"/>
      <w:r>
        <w:t>Measuring the value and outcomes for natural waterway assets</w:t>
      </w:r>
      <w:bookmarkEnd w:id="242"/>
      <w:bookmarkEnd w:id="243"/>
      <w:bookmarkEnd w:id="244"/>
    </w:p>
    <w:p w14:paraId="3B1FED7C" w14:textId="4BD9F842" w:rsidR="001864FC" w:rsidRDefault="001864FC" w:rsidP="001864FC">
      <w:pPr>
        <w:pStyle w:val="BodyText"/>
        <w:rPr>
          <w:lang w:eastAsia="en-US"/>
        </w:rPr>
      </w:pPr>
      <w:r>
        <w:rPr>
          <w:lang w:eastAsia="en-US"/>
        </w:rPr>
        <w:t>This year, Melbourne Water applied our Asset Management Framework in an innovative way to capture the outcome and value gained from investment in maintenance activities that result in improved social amenity for natural assets. Traditionally, it is difficult to apply the asset management framework to natural assets such as waterways because they are organic and dynamic, unlike a built or static asset such as a pit or pipe.</w:t>
      </w:r>
    </w:p>
    <w:p w14:paraId="793D981D" w14:textId="2B6F6995" w:rsidR="001864FC" w:rsidRDefault="001864FC" w:rsidP="001864FC">
      <w:pPr>
        <w:pStyle w:val="BodyText"/>
        <w:rPr>
          <w:lang w:eastAsia="en-US"/>
        </w:rPr>
      </w:pPr>
      <w:r>
        <w:rPr>
          <w:lang w:eastAsia="en-US"/>
        </w:rPr>
        <w:t>The project collected data in the field – such as the volume of litter, combined with customer satisfaction and complaint data – to inform the management of our assets, and to define the service and technical objectives of litter removal and vegetation management projects.</w:t>
      </w:r>
    </w:p>
    <w:p w14:paraId="566EEA4B" w14:textId="422AB20B" w:rsidR="001864FC" w:rsidRDefault="001864FC" w:rsidP="001864FC">
      <w:pPr>
        <w:pStyle w:val="BodyText"/>
        <w:rPr>
          <w:lang w:eastAsia="en-US"/>
        </w:rPr>
      </w:pPr>
      <w:r>
        <w:rPr>
          <w:lang w:eastAsia="en-US"/>
        </w:rPr>
        <w:lastRenderedPageBreak/>
        <w:t>This innovative program resulted in Melbourne Water and AECOM winning the influential national Asset Management Council 2021 Excellence Awards for the Asset Management Social and Environmental Award category.</w:t>
      </w:r>
    </w:p>
    <w:p w14:paraId="781F364E" w14:textId="77777777" w:rsidR="001864FC" w:rsidRDefault="001864FC" w:rsidP="001864FC">
      <w:pPr>
        <w:pStyle w:val="Heading3"/>
      </w:pPr>
      <w:bookmarkStart w:id="245" w:name="_Ref89718584"/>
      <w:bookmarkStart w:id="246" w:name="_Toc89722998"/>
      <w:bookmarkStart w:id="247" w:name="_Toc90325941"/>
      <w:bookmarkStart w:id="248" w:name="_Toc93659347"/>
      <w:r>
        <w:t>Waterway Blitz</w:t>
      </w:r>
      <w:bookmarkEnd w:id="245"/>
      <w:bookmarkEnd w:id="246"/>
      <w:bookmarkEnd w:id="247"/>
      <w:bookmarkEnd w:id="248"/>
    </w:p>
    <w:p w14:paraId="35C6181C" w14:textId="658009A3" w:rsidR="001864FC" w:rsidRDefault="001864FC" w:rsidP="001864FC">
      <w:pPr>
        <w:pStyle w:val="BodyText"/>
        <w:rPr>
          <w:lang w:eastAsia="en-US"/>
        </w:rPr>
      </w:pPr>
      <w:r>
        <w:rPr>
          <w:lang w:eastAsia="en-US"/>
        </w:rPr>
        <w:t xml:space="preserve">Melbourne Water has provided more than 100 jobs to people through the Victorian Government’s </w:t>
      </w:r>
      <w:r w:rsidRPr="001864FC">
        <w:rPr>
          <w:rStyle w:val="ItalicText"/>
          <w:lang w:eastAsia="en-US"/>
        </w:rPr>
        <w:t>Working for Victoria</w:t>
      </w:r>
      <w:r w:rsidRPr="001864FC">
        <w:rPr>
          <w:rStyle w:val="ItalicText"/>
        </w:rPr>
        <w:t xml:space="preserve"> </w:t>
      </w:r>
      <w:r>
        <w:rPr>
          <w:lang w:eastAsia="en-US"/>
        </w:rPr>
        <w:t>initiative.</w:t>
      </w:r>
    </w:p>
    <w:p w14:paraId="18B55FDA" w14:textId="0EE2189E" w:rsidR="001864FC" w:rsidRDefault="001864FC" w:rsidP="001864FC">
      <w:pPr>
        <w:pStyle w:val="BodyText"/>
        <w:rPr>
          <w:lang w:eastAsia="en-US"/>
        </w:rPr>
      </w:pPr>
      <w:r>
        <w:rPr>
          <w:lang w:eastAsia="en-US"/>
        </w:rPr>
        <w:t xml:space="preserve">Starting in August 2020, the six-month Waterway Blitz program created jobs for people and businesses impacted by </w:t>
      </w:r>
      <w:r w:rsidR="0030196D">
        <w:t>COVID</w:t>
      </w:r>
      <w:r w:rsidR="0030196D">
        <w:noBreakHyphen/>
        <w:t>19</w:t>
      </w:r>
      <w:r>
        <w:rPr>
          <w:lang w:eastAsia="en-US"/>
        </w:rPr>
        <w:t>, while supporting our essential work caring for the city’s waterways and land. Melbourne Water invited the community to submit ideas for the Waterway Blitz target areas, with litter clearing, and removing weeds and revegetation identified as priorities. More than 800 online contributions via Melbourne Water’s YourSay website helped shape the program of work.</w:t>
      </w:r>
    </w:p>
    <w:p w14:paraId="73CB5371" w14:textId="388F3B35" w:rsidR="001864FC" w:rsidRDefault="001864FC" w:rsidP="001864FC">
      <w:pPr>
        <w:pStyle w:val="BodyText"/>
        <w:rPr>
          <w:lang w:eastAsia="en-US"/>
        </w:rPr>
      </w:pPr>
      <w:r>
        <w:rPr>
          <w:lang w:eastAsia="en-US"/>
        </w:rPr>
        <w:t>The impact of the Waterways Blitz was significant, with approximately 640 cubic metres of rubbish collected – equivalent to the volume of 2660 wheelie bins – and 265 kilometres of river banks were weeded and replaced with 20,000 plants for local communities to enjoy.</w:t>
      </w:r>
    </w:p>
    <w:p w14:paraId="1FC716AD" w14:textId="77777777" w:rsidR="001864FC" w:rsidRDefault="001864FC" w:rsidP="001864FC">
      <w:pPr>
        <w:pStyle w:val="Heading3"/>
      </w:pPr>
      <w:bookmarkStart w:id="249" w:name="_Toc89722999"/>
      <w:bookmarkStart w:id="250" w:name="_Toc90325942"/>
      <w:bookmarkStart w:id="251" w:name="_Toc93659348"/>
      <w:r>
        <w:t>Liveable Communities, Liveable Waterways</w:t>
      </w:r>
      <w:bookmarkEnd w:id="249"/>
      <w:bookmarkEnd w:id="250"/>
      <w:bookmarkEnd w:id="251"/>
    </w:p>
    <w:p w14:paraId="522DC55D" w14:textId="522DA528" w:rsidR="001864FC" w:rsidRDefault="001864FC" w:rsidP="001864FC">
      <w:pPr>
        <w:pStyle w:val="BodyText"/>
        <w:rPr>
          <w:lang w:eastAsia="en-US"/>
        </w:rPr>
      </w:pPr>
      <w:r>
        <w:rPr>
          <w:lang w:eastAsia="en-US"/>
        </w:rPr>
        <w:t>In October 2020 Melbourne Water launched a new incentives program – Liveable Communities, Liveable Waterways – which brings together several successful existing grant programs into a single, more streamlined and flexible program. It enables customers and community to respond to emerging challenges, initiate new partnership opportunities, and opens up funding applications from customers such as universities.</w:t>
      </w:r>
    </w:p>
    <w:p w14:paraId="6D74EE09" w14:textId="5458F2C0" w:rsidR="001864FC" w:rsidRDefault="001864FC" w:rsidP="001864FC">
      <w:pPr>
        <w:pStyle w:val="BodyText"/>
        <w:rPr>
          <w:lang w:eastAsia="en-US"/>
        </w:rPr>
      </w:pPr>
      <w:r>
        <w:rPr>
          <w:lang w:eastAsia="en-US"/>
        </w:rPr>
        <w:t>We have received 170 applications with a total of $6.1 million in funding requested over multiple years. We have awarded $5.4 million in funding over multiple years across 159 projects.</w:t>
      </w:r>
    </w:p>
    <w:p w14:paraId="0CC61455" w14:textId="04785C61" w:rsidR="001864FC" w:rsidRDefault="001864FC" w:rsidP="001864FC">
      <w:pPr>
        <w:pStyle w:val="BodyText"/>
        <w:rPr>
          <w:lang w:eastAsia="en-US"/>
        </w:rPr>
      </w:pPr>
      <w:r>
        <w:rPr>
          <w:lang w:eastAsia="en-US"/>
        </w:rPr>
        <w:t>Our existing government, school and community group grant recipients are transitioning to Liveable Communities, Liveable Waterways. Private landholder customers will be transferred from the Stream Frontage Management Program and Rural Land Program in late 2021.</w:t>
      </w:r>
    </w:p>
    <w:p w14:paraId="692265A9" w14:textId="184FFA9C" w:rsidR="001864FC" w:rsidRDefault="001864FC" w:rsidP="001864FC">
      <w:pPr>
        <w:pStyle w:val="Heading3"/>
      </w:pPr>
      <w:bookmarkStart w:id="252" w:name="_Toc89723000"/>
      <w:bookmarkStart w:id="253" w:name="_Toc90325943"/>
      <w:bookmarkStart w:id="254" w:name="RuralLandProgramn"/>
      <w:bookmarkStart w:id="255" w:name="_Toc93659349"/>
      <w:r>
        <w:t>Stream Frontage Management Program and Rural Land Programs</w:t>
      </w:r>
      <w:bookmarkEnd w:id="252"/>
      <w:bookmarkEnd w:id="253"/>
      <w:bookmarkEnd w:id="255"/>
    </w:p>
    <w:bookmarkEnd w:id="254"/>
    <w:p w14:paraId="66CBEB73" w14:textId="3B9FE95C" w:rsidR="001864FC" w:rsidRDefault="001864FC" w:rsidP="001864FC">
      <w:pPr>
        <w:pStyle w:val="BodyText"/>
        <w:rPr>
          <w:lang w:eastAsia="en-US"/>
        </w:rPr>
      </w:pPr>
      <w:r>
        <w:rPr>
          <w:lang w:eastAsia="en-US"/>
        </w:rPr>
        <w:t>A total of 708 private landholder grants were awarded through our Stream Frontage Management and Rural Land Programs</w:t>
      </w:r>
      <w:r w:rsidR="00520431">
        <w:rPr>
          <w:lang w:eastAsia="en-US"/>
        </w:rPr>
        <w:t xml:space="preserve"> </w:t>
      </w:r>
      <w:r>
        <w:rPr>
          <w:lang w:eastAsia="en-US"/>
        </w:rPr>
        <w:t>in 2020-21. This amounted to over $3.1 million in support for</w:t>
      </w:r>
      <w:r w:rsidR="00520431">
        <w:rPr>
          <w:lang w:eastAsia="en-US"/>
        </w:rPr>
        <w:t xml:space="preserve"> </w:t>
      </w:r>
      <w:r>
        <w:rPr>
          <w:lang w:eastAsia="en-US"/>
        </w:rPr>
        <w:t>our delivery partners to utilise their skills, expertise and local</w:t>
      </w:r>
      <w:r w:rsidR="00520431">
        <w:rPr>
          <w:lang w:eastAsia="en-US"/>
        </w:rPr>
        <w:t xml:space="preserve"> </w:t>
      </w:r>
      <w:r>
        <w:rPr>
          <w:lang w:eastAsia="en-US"/>
        </w:rPr>
        <w:t>knowledge to create great outcomes for waterways across the</w:t>
      </w:r>
      <w:r w:rsidR="00520431">
        <w:rPr>
          <w:lang w:eastAsia="en-US"/>
        </w:rPr>
        <w:t xml:space="preserve"> </w:t>
      </w:r>
      <w:r>
        <w:rPr>
          <w:lang w:eastAsia="en-US"/>
        </w:rPr>
        <w:t>region. In the past year we have supported:</w:t>
      </w:r>
    </w:p>
    <w:p w14:paraId="5CCD1B75" w14:textId="0073E10E" w:rsidR="001864FC" w:rsidRDefault="001864FC" w:rsidP="00C778D6">
      <w:pPr>
        <w:pStyle w:val="ListBullet"/>
        <w:rPr>
          <w:lang w:eastAsia="en-US"/>
        </w:rPr>
      </w:pPr>
      <w:r>
        <w:rPr>
          <w:lang w:eastAsia="en-US"/>
        </w:rPr>
        <w:t>646 landholders through cost-sharing project funding to</w:t>
      </w:r>
      <w:r w:rsidR="00520431">
        <w:rPr>
          <w:lang w:eastAsia="en-US"/>
        </w:rPr>
        <w:t xml:space="preserve"> </w:t>
      </w:r>
      <w:r>
        <w:rPr>
          <w:lang w:eastAsia="en-US"/>
        </w:rPr>
        <w:t>those who manage a waterway frontage on their property. These funds are for weed control, fencing and native</w:t>
      </w:r>
      <w:r w:rsidR="00520431">
        <w:rPr>
          <w:lang w:eastAsia="en-US"/>
        </w:rPr>
        <w:t xml:space="preserve"> </w:t>
      </w:r>
      <w:r>
        <w:rPr>
          <w:lang w:eastAsia="en-US"/>
        </w:rPr>
        <w:t>vegetation planting programs that increase biodiversity,</w:t>
      </w:r>
      <w:r w:rsidR="00520431">
        <w:rPr>
          <w:lang w:eastAsia="en-US"/>
        </w:rPr>
        <w:t xml:space="preserve"> </w:t>
      </w:r>
      <w:r>
        <w:rPr>
          <w:lang w:eastAsia="en-US"/>
        </w:rPr>
        <w:t>improve the stability of riverbanks and provide better</w:t>
      </w:r>
      <w:r w:rsidR="00520431">
        <w:rPr>
          <w:lang w:eastAsia="en-US"/>
        </w:rPr>
        <w:t xml:space="preserve"> </w:t>
      </w:r>
      <w:r>
        <w:rPr>
          <w:lang w:eastAsia="en-US"/>
        </w:rPr>
        <w:t>habitat for a wide range of animals</w:t>
      </w:r>
    </w:p>
    <w:p w14:paraId="69DF2543" w14:textId="6FBB2B88" w:rsidR="001864FC" w:rsidRDefault="001864FC" w:rsidP="00C778D6">
      <w:pPr>
        <w:pStyle w:val="ListBullet"/>
        <w:rPr>
          <w:lang w:eastAsia="en-US"/>
        </w:rPr>
      </w:pPr>
      <w:r>
        <w:rPr>
          <w:lang w:eastAsia="en-US"/>
        </w:rPr>
        <w:t>62 rural landholders through sharing costs of work</w:t>
      </w:r>
      <w:r w:rsidR="00520431">
        <w:rPr>
          <w:lang w:eastAsia="en-US"/>
        </w:rPr>
        <w:t xml:space="preserve"> </w:t>
      </w:r>
      <w:r>
        <w:rPr>
          <w:lang w:eastAsia="en-US"/>
        </w:rPr>
        <w:t>for private landowners to better manage runoff from</w:t>
      </w:r>
      <w:r w:rsidR="00520431">
        <w:rPr>
          <w:lang w:eastAsia="en-US"/>
        </w:rPr>
        <w:t xml:space="preserve"> </w:t>
      </w:r>
      <w:r>
        <w:rPr>
          <w:lang w:eastAsia="en-US"/>
        </w:rPr>
        <w:t>stormwater and improve water resource management</w:t>
      </w:r>
      <w:r w:rsidR="00520431">
        <w:rPr>
          <w:lang w:eastAsia="en-US"/>
        </w:rPr>
        <w:t xml:space="preserve"> </w:t>
      </w:r>
      <w:r>
        <w:rPr>
          <w:lang w:eastAsia="en-US"/>
        </w:rPr>
        <w:t>in rural areas. Landholders receive benefits such as</w:t>
      </w:r>
      <w:r w:rsidR="00520431">
        <w:rPr>
          <w:lang w:eastAsia="en-US"/>
        </w:rPr>
        <w:t xml:space="preserve"> </w:t>
      </w:r>
      <w:r>
        <w:rPr>
          <w:lang w:eastAsia="en-US"/>
        </w:rPr>
        <w:t>improved soil health, access to water and input cost</w:t>
      </w:r>
      <w:r w:rsidR="00520431">
        <w:rPr>
          <w:lang w:eastAsia="en-US"/>
        </w:rPr>
        <w:t xml:space="preserve"> </w:t>
      </w:r>
      <w:r>
        <w:rPr>
          <w:lang w:eastAsia="en-US"/>
        </w:rPr>
        <w:t>reduction, while waterway health is improved for the</w:t>
      </w:r>
      <w:r w:rsidR="00520431">
        <w:rPr>
          <w:lang w:eastAsia="en-US"/>
        </w:rPr>
        <w:t xml:space="preserve"> </w:t>
      </w:r>
      <w:r>
        <w:rPr>
          <w:lang w:eastAsia="en-US"/>
        </w:rPr>
        <w:t>broader community. The program also incorporates</w:t>
      </w:r>
      <w:r w:rsidR="00520431">
        <w:rPr>
          <w:lang w:eastAsia="en-US"/>
        </w:rPr>
        <w:t xml:space="preserve"> </w:t>
      </w:r>
      <w:r>
        <w:rPr>
          <w:lang w:eastAsia="en-US"/>
        </w:rPr>
        <w:t>education, including whole farm planning, soil testing and</w:t>
      </w:r>
      <w:r w:rsidR="00520431">
        <w:rPr>
          <w:lang w:eastAsia="en-US"/>
        </w:rPr>
        <w:t xml:space="preserve"> </w:t>
      </w:r>
      <w:r>
        <w:rPr>
          <w:lang w:eastAsia="en-US"/>
        </w:rPr>
        <w:t>fertiliser planning, chemical use and other specifically</w:t>
      </w:r>
      <w:r w:rsidR="00520431">
        <w:rPr>
          <w:lang w:eastAsia="en-US"/>
        </w:rPr>
        <w:t xml:space="preserve"> </w:t>
      </w:r>
      <w:r>
        <w:rPr>
          <w:lang w:eastAsia="en-US"/>
        </w:rPr>
        <w:t>directed educational initiatives. The Rural Land Program</w:t>
      </w:r>
      <w:r w:rsidR="00520431">
        <w:rPr>
          <w:lang w:eastAsia="en-US"/>
        </w:rPr>
        <w:t xml:space="preserve"> </w:t>
      </w:r>
      <w:r>
        <w:rPr>
          <w:lang w:eastAsia="en-US"/>
        </w:rPr>
        <w:t>also contributes significantly to reducing sediment and</w:t>
      </w:r>
      <w:r w:rsidR="00520431">
        <w:rPr>
          <w:lang w:eastAsia="en-US"/>
        </w:rPr>
        <w:t xml:space="preserve"> </w:t>
      </w:r>
      <w:r>
        <w:rPr>
          <w:lang w:eastAsia="en-US"/>
        </w:rPr>
        <w:t>nutrients like nitrogen (which can feed algal blooms) from</w:t>
      </w:r>
      <w:r w:rsidR="00520431">
        <w:rPr>
          <w:lang w:eastAsia="en-US"/>
        </w:rPr>
        <w:t xml:space="preserve"> </w:t>
      </w:r>
      <w:r>
        <w:rPr>
          <w:lang w:eastAsia="en-US"/>
        </w:rPr>
        <w:t>entering Port Phillip Bay and Western Port Bay, helping us</w:t>
      </w:r>
      <w:r w:rsidR="00520431">
        <w:rPr>
          <w:lang w:eastAsia="en-US"/>
        </w:rPr>
        <w:t xml:space="preserve"> </w:t>
      </w:r>
      <w:r>
        <w:rPr>
          <w:lang w:eastAsia="en-US"/>
        </w:rPr>
        <w:t xml:space="preserve">meet our commitments to the </w:t>
      </w:r>
      <w:r w:rsidRPr="00520431">
        <w:rPr>
          <w:rStyle w:val="ItalicText"/>
          <w:lang w:eastAsia="en-US"/>
        </w:rPr>
        <w:t>Port Phillip Environmental</w:t>
      </w:r>
      <w:r w:rsidR="00520431" w:rsidRPr="00520431">
        <w:rPr>
          <w:rStyle w:val="ItalicText"/>
          <w:lang w:eastAsia="en-US"/>
        </w:rPr>
        <w:t xml:space="preserve"> </w:t>
      </w:r>
      <w:r w:rsidRPr="00520431">
        <w:rPr>
          <w:rStyle w:val="ItalicText"/>
          <w:lang w:eastAsia="en-US"/>
        </w:rPr>
        <w:t>Management Plan</w:t>
      </w:r>
      <w:r>
        <w:rPr>
          <w:lang w:eastAsia="en-US"/>
        </w:rPr>
        <w:t xml:space="preserve"> and improving the health of our</w:t>
      </w:r>
      <w:r w:rsidR="00520431">
        <w:rPr>
          <w:lang w:eastAsia="en-US"/>
        </w:rPr>
        <w:t xml:space="preserve"> </w:t>
      </w:r>
      <w:r>
        <w:rPr>
          <w:lang w:eastAsia="en-US"/>
        </w:rPr>
        <w:t>region’s open waters.</w:t>
      </w:r>
    </w:p>
    <w:p w14:paraId="6FAEBD8A" w14:textId="77777777" w:rsidR="00520431" w:rsidRDefault="00520431" w:rsidP="00520431">
      <w:pPr>
        <w:pStyle w:val="Heading3"/>
      </w:pPr>
      <w:bookmarkStart w:id="256" w:name="_Toc89723001"/>
      <w:bookmarkStart w:id="257" w:name="_Ref89811425"/>
      <w:bookmarkStart w:id="258" w:name="_Toc90325944"/>
      <w:bookmarkStart w:id="259" w:name="_Toc93659350"/>
      <w:r>
        <w:lastRenderedPageBreak/>
        <w:t>Research into climate resilient revegetation</w:t>
      </w:r>
      <w:bookmarkEnd w:id="256"/>
      <w:bookmarkEnd w:id="257"/>
      <w:bookmarkEnd w:id="258"/>
      <w:bookmarkEnd w:id="259"/>
    </w:p>
    <w:p w14:paraId="0E22C779" w14:textId="449172E8" w:rsidR="00520431" w:rsidRDefault="00520431" w:rsidP="00520431">
      <w:pPr>
        <w:pStyle w:val="BodyText"/>
        <w:rPr>
          <w:lang w:eastAsia="en-US"/>
        </w:rPr>
      </w:pPr>
      <w:r>
        <w:rPr>
          <w:lang w:eastAsia="en-US"/>
        </w:rPr>
        <w:t>Given Melbourne Water’s significant investment in revegetation along our waterways, wetlands and estuaries, it is important that the seed we use to grow plants is suitable for the climate we can expect in the future.</w:t>
      </w:r>
    </w:p>
    <w:p w14:paraId="33BD5D7F" w14:textId="395183A5" w:rsidR="00520431" w:rsidRDefault="00520431" w:rsidP="00520431">
      <w:pPr>
        <w:pStyle w:val="BodyText"/>
        <w:rPr>
          <w:lang w:eastAsia="en-US"/>
        </w:rPr>
      </w:pPr>
      <w:r>
        <w:rPr>
          <w:lang w:eastAsia="en-US"/>
        </w:rPr>
        <w:t xml:space="preserve">Melbourne Water teamed up with researchers from the University of Melbourne, Deakin University, Greening Australia and Cesar to develop models for our most commonly used revegetation plants to show the impact of future climate scenarios. Glasshouse trials are also being used to study the growth and survival rates for six species of seedlings through to mature plants under simulated future climatic conditions, which will be hotter and drier. The initial species selected for trials include </w:t>
      </w:r>
      <w:r w:rsidRPr="00520431">
        <w:rPr>
          <w:rStyle w:val="ItalicText"/>
          <w:lang w:eastAsia="en-US"/>
        </w:rPr>
        <w:t>Acacia implexa</w:t>
      </w:r>
      <w:r>
        <w:rPr>
          <w:lang w:eastAsia="en-US"/>
        </w:rPr>
        <w:t xml:space="preserve"> (Lightwood), </w:t>
      </w:r>
      <w:r w:rsidRPr="00520431">
        <w:rPr>
          <w:rStyle w:val="ItalicText"/>
          <w:lang w:eastAsia="en-US"/>
        </w:rPr>
        <w:t>Gahnia sieberiana</w:t>
      </w:r>
      <w:r>
        <w:rPr>
          <w:lang w:eastAsia="en-US"/>
        </w:rPr>
        <w:t xml:space="preserve"> (Red-fruit Saw-sedge), </w:t>
      </w:r>
      <w:r w:rsidRPr="00520431">
        <w:rPr>
          <w:rStyle w:val="ItalicText"/>
          <w:lang w:eastAsia="en-US"/>
        </w:rPr>
        <w:t>Allocasuarina verticillata</w:t>
      </w:r>
      <w:r>
        <w:rPr>
          <w:lang w:eastAsia="en-US"/>
        </w:rPr>
        <w:t xml:space="preserve"> (Drooping She-oak), </w:t>
      </w:r>
      <w:r w:rsidRPr="00520431">
        <w:rPr>
          <w:rStyle w:val="ItalicText"/>
          <w:lang w:eastAsia="en-US"/>
        </w:rPr>
        <w:t>Bursaria</w:t>
      </w:r>
      <w:r w:rsidRPr="00520431">
        <w:rPr>
          <w:rStyle w:val="ItalicText"/>
        </w:rPr>
        <w:t xml:space="preserve"> </w:t>
      </w:r>
      <w:r w:rsidRPr="00520431">
        <w:rPr>
          <w:rStyle w:val="ItalicText"/>
          <w:lang w:eastAsia="en-US"/>
        </w:rPr>
        <w:t>spinosa</w:t>
      </w:r>
      <w:r>
        <w:rPr>
          <w:lang w:eastAsia="en-US"/>
        </w:rPr>
        <w:t xml:space="preserve"> (Sweet Bursaria), </w:t>
      </w:r>
      <w:r w:rsidRPr="00520431">
        <w:rPr>
          <w:rStyle w:val="ItalicText"/>
          <w:lang w:eastAsia="en-US"/>
        </w:rPr>
        <w:t>Olearia</w:t>
      </w:r>
      <w:r w:rsidRPr="00520431">
        <w:rPr>
          <w:rStyle w:val="ItalicText"/>
        </w:rPr>
        <w:t xml:space="preserve"> </w:t>
      </w:r>
      <w:r w:rsidRPr="00520431">
        <w:rPr>
          <w:rStyle w:val="ItalicText"/>
          <w:lang w:eastAsia="en-US"/>
        </w:rPr>
        <w:t>lirata</w:t>
      </w:r>
      <w:r>
        <w:rPr>
          <w:lang w:eastAsia="en-US"/>
        </w:rPr>
        <w:t xml:space="preserve"> (Snowy Daisy-bush) and </w:t>
      </w:r>
      <w:r w:rsidRPr="00520431">
        <w:rPr>
          <w:rStyle w:val="ItalicText"/>
          <w:lang w:eastAsia="en-US"/>
        </w:rPr>
        <w:t>Eucalyptus</w:t>
      </w:r>
      <w:r w:rsidRPr="00520431">
        <w:rPr>
          <w:rStyle w:val="ItalicText"/>
        </w:rPr>
        <w:t xml:space="preserve"> </w:t>
      </w:r>
      <w:r w:rsidRPr="00520431">
        <w:rPr>
          <w:rStyle w:val="ItalicText"/>
          <w:lang w:eastAsia="en-US"/>
        </w:rPr>
        <w:t>camaldulensis</w:t>
      </w:r>
      <w:r>
        <w:rPr>
          <w:lang w:eastAsia="en-US"/>
        </w:rPr>
        <w:t xml:space="preserve"> (River Red Gum).</w:t>
      </w:r>
    </w:p>
    <w:p w14:paraId="3D7ED47A" w14:textId="3D3B1EAB" w:rsidR="001864FC" w:rsidRDefault="00520431" w:rsidP="00520431">
      <w:pPr>
        <w:pStyle w:val="BodyText"/>
        <w:rPr>
          <w:lang w:eastAsia="en-US"/>
        </w:rPr>
      </w:pPr>
      <w:r>
        <w:rPr>
          <w:lang w:eastAsia="en-US"/>
        </w:rPr>
        <w:t>The project outcomes will be used to inform a continued program of work to improve vegetation resilience and ensure our investment in revegetation will be optimised as climatic conditions change.</w:t>
      </w:r>
    </w:p>
    <w:p w14:paraId="1A5B1E13" w14:textId="77777777" w:rsidR="00520431" w:rsidRDefault="00520431" w:rsidP="00520431">
      <w:pPr>
        <w:pStyle w:val="Heading3"/>
      </w:pPr>
      <w:bookmarkStart w:id="260" w:name="_Toc89723002"/>
      <w:bookmarkStart w:id="261" w:name="_Toc90325945"/>
      <w:bookmarkStart w:id="262" w:name="_Toc93659351"/>
      <w:r>
        <w:t>Delivering environmental water releases</w:t>
      </w:r>
      <w:bookmarkEnd w:id="260"/>
      <w:bookmarkEnd w:id="261"/>
      <w:bookmarkEnd w:id="262"/>
    </w:p>
    <w:p w14:paraId="48A2018E" w14:textId="14A4E84D" w:rsidR="00520431" w:rsidRDefault="00520431" w:rsidP="00520431">
      <w:pPr>
        <w:pStyle w:val="BodyText"/>
        <w:rPr>
          <w:lang w:eastAsia="en-US"/>
        </w:rPr>
      </w:pPr>
      <w:r>
        <w:rPr>
          <w:lang w:eastAsia="en-US"/>
        </w:rPr>
        <w:t>To maintain and enhance waterway values, Melbourne Water works in conjunction with the Victorian Environmental Water Holder (VEWH) to release water that improves seasonal flow within regulated river systems across the Port Phillip and Westernport regions.</w:t>
      </w:r>
    </w:p>
    <w:p w14:paraId="6338C2A5" w14:textId="69C93BA7" w:rsidR="00520431" w:rsidRDefault="00520431" w:rsidP="00520431">
      <w:pPr>
        <w:pStyle w:val="BodyText"/>
        <w:rPr>
          <w:lang w:eastAsia="en-US"/>
        </w:rPr>
      </w:pPr>
      <w:r>
        <w:rPr>
          <w:lang w:eastAsia="en-US"/>
        </w:rPr>
        <w:t>These releases, also known as environmental water, help improve the quality of rivers by shifting sediments, maintaining native vegetation and supporting fish migration. Environmental flows also improve the quality of habitat for platypus, macroinvertebrates, fish and frogs.</w:t>
      </w:r>
    </w:p>
    <w:p w14:paraId="6FC676D5" w14:textId="0809953E" w:rsidR="00520431" w:rsidRDefault="00520431" w:rsidP="00520431">
      <w:pPr>
        <w:pStyle w:val="BodyText"/>
        <w:rPr>
          <w:lang w:eastAsia="en-US"/>
        </w:rPr>
      </w:pPr>
      <w:r>
        <w:rPr>
          <w:lang w:eastAsia="en-US"/>
        </w:rPr>
        <w:t>We engage with a range of organisations when planning the release of environmental flows so they can make the most of them. This includes community groups such as canoeing clubs and river-based businesses like caravan parks. Understanding their preferences means we try to schedule flow releases at times when they deliver the most benefits to recreational users of the rivers. Traditional Owners are consulted during the preparation of the Seasonal Watering Proposal to ensure cultural values are considered as part of the environmental flow release planning. We also advise all stakeholders and the broader public of these flows in advance, so they can take advantage of the higher water levels.</w:t>
      </w:r>
    </w:p>
    <w:p w14:paraId="2C0AFE9E" w14:textId="63822926" w:rsidR="001864FC" w:rsidRDefault="00520431" w:rsidP="00520431">
      <w:pPr>
        <w:pStyle w:val="BodyText"/>
        <w:rPr>
          <w:lang w:eastAsia="en-US"/>
        </w:rPr>
      </w:pPr>
      <w:r>
        <w:rPr>
          <w:lang w:eastAsia="en-US"/>
        </w:rPr>
        <w:t xml:space="preserve">In 2020-21 Melbourne Water released over 10.25 billion litres of water, as shown in </w:t>
      </w:r>
      <w:r w:rsidR="0010793A">
        <w:rPr>
          <w:lang w:eastAsia="en-US"/>
        </w:rPr>
        <w:fldChar w:fldCharType="begin"/>
      </w:r>
      <w:r w:rsidR="0010793A">
        <w:rPr>
          <w:lang w:eastAsia="en-US"/>
        </w:rPr>
        <w:instrText xml:space="preserve"> REF _Ref89644257 \h </w:instrText>
      </w:r>
      <w:r w:rsidR="0010793A">
        <w:rPr>
          <w:lang w:eastAsia="en-US"/>
        </w:rPr>
      </w:r>
      <w:r w:rsidR="0010793A">
        <w:rPr>
          <w:lang w:eastAsia="en-US"/>
        </w:rPr>
        <w:fldChar w:fldCharType="separate"/>
      </w:r>
      <w:r w:rsidR="00472151">
        <w:rPr>
          <w:lang w:eastAsia="en-US"/>
        </w:rPr>
        <w:t xml:space="preserve">Table </w:t>
      </w:r>
      <w:r w:rsidR="00472151">
        <w:rPr>
          <w:noProof/>
          <w:lang w:eastAsia="en-US"/>
        </w:rPr>
        <w:t>3</w:t>
      </w:r>
      <w:r w:rsidR="0010793A">
        <w:rPr>
          <w:lang w:eastAsia="en-US"/>
        </w:rPr>
        <w:fldChar w:fldCharType="end"/>
      </w:r>
      <w:r>
        <w:rPr>
          <w:lang w:eastAsia="en-US"/>
        </w:rPr>
        <w:t>.</w:t>
      </w:r>
    </w:p>
    <w:p w14:paraId="4A7E467A" w14:textId="7788DB9D" w:rsidR="00520431" w:rsidRDefault="00520431" w:rsidP="001451F8">
      <w:pPr>
        <w:pStyle w:val="Caption"/>
        <w:keepLines/>
        <w:rPr>
          <w:lang w:eastAsia="en-US"/>
        </w:rPr>
      </w:pPr>
      <w:bookmarkStart w:id="263" w:name="_Ref89644257"/>
      <w:r>
        <w:rPr>
          <w:lang w:eastAsia="en-US"/>
        </w:rPr>
        <w:lastRenderedPageBreak/>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3</w:t>
      </w:r>
      <w:r>
        <w:rPr>
          <w:lang w:eastAsia="en-US"/>
        </w:rPr>
        <w:fldChar w:fldCharType="end"/>
      </w:r>
      <w:bookmarkEnd w:id="263"/>
      <w:r w:rsidRPr="00520431">
        <w:rPr>
          <w:lang w:eastAsia="en-US"/>
        </w:rPr>
        <w:t>: Environmental water delivered for 2020-21</w:t>
      </w:r>
    </w:p>
    <w:tbl>
      <w:tblPr>
        <w:tblStyle w:val="TableGrid"/>
        <w:tblW w:w="5000" w:type="pct"/>
        <w:tblLook w:val="04A0" w:firstRow="1" w:lastRow="0" w:firstColumn="1" w:lastColumn="0" w:noHBand="0" w:noVBand="1"/>
      </w:tblPr>
      <w:tblGrid>
        <w:gridCol w:w="1700"/>
        <w:gridCol w:w="1135"/>
        <w:gridCol w:w="6796"/>
      </w:tblGrid>
      <w:tr w:rsidR="00520431" w:rsidRPr="002C1E65" w14:paraId="3A758EF0"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883" w:type="pct"/>
            <w:vAlign w:val="bottom"/>
          </w:tcPr>
          <w:p w14:paraId="3223592C" w14:textId="1D1E024F" w:rsidR="00520431" w:rsidRPr="002C1E65" w:rsidRDefault="00520431" w:rsidP="001451F8">
            <w:pPr>
              <w:pStyle w:val="TableBodyText"/>
              <w:keepNext/>
              <w:keepLines/>
              <w:rPr>
                <w:szCs w:val="20"/>
                <w:lang w:eastAsia="en-US"/>
              </w:rPr>
            </w:pPr>
            <w:bookmarkStart w:id="264" w:name="ColumnTitle_9"/>
            <w:r w:rsidRPr="002C1E65">
              <w:rPr>
                <w:szCs w:val="20"/>
                <w:lang w:eastAsia="en-US"/>
              </w:rPr>
              <w:t>River</w:t>
            </w:r>
          </w:p>
        </w:tc>
        <w:tc>
          <w:tcPr>
            <w:tcW w:w="589" w:type="pct"/>
            <w:vAlign w:val="bottom"/>
          </w:tcPr>
          <w:p w14:paraId="1120CE18" w14:textId="425A499F" w:rsidR="00520431" w:rsidRPr="002C1E65" w:rsidRDefault="00520431" w:rsidP="001451F8">
            <w:pPr>
              <w:pStyle w:val="TableBodyText"/>
              <w:keepNext/>
              <w:keepLines/>
              <w:rPr>
                <w:szCs w:val="20"/>
                <w:lang w:eastAsia="en-US"/>
              </w:rPr>
            </w:pPr>
            <w:r w:rsidRPr="002C1E65">
              <w:rPr>
                <w:szCs w:val="20"/>
                <w:lang w:eastAsia="en-US"/>
              </w:rPr>
              <w:t>Volume</w:t>
            </w:r>
          </w:p>
        </w:tc>
        <w:tc>
          <w:tcPr>
            <w:tcW w:w="3528" w:type="pct"/>
            <w:vAlign w:val="bottom"/>
          </w:tcPr>
          <w:p w14:paraId="328F31C8" w14:textId="56803FE6" w:rsidR="00520431" w:rsidRPr="002C1E65" w:rsidRDefault="00520431" w:rsidP="001451F8">
            <w:pPr>
              <w:pStyle w:val="TableBodyText"/>
              <w:keepNext/>
              <w:keepLines/>
              <w:rPr>
                <w:szCs w:val="20"/>
                <w:lang w:eastAsia="en-US"/>
              </w:rPr>
            </w:pPr>
            <w:r w:rsidRPr="002C1E65">
              <w:rPr>
                <w:szCs w:val="20"/>
                <w:lang w:eastAsia="en-US"/>
              </w:rPr>
              <w:t>Outcomes</w:t>
            </w:r>
          </w:p>
        </w:tc>
      </w:tr>
      <w:bookmarkEnd w:id="264"/>
      <w:tr w:rsidR="00520431" w:rsidRPr="002C1E65" w14:paraId="0C0DB1D6" w14:textId="77777777" w:rsidTr="00A25B00">
        <w:tc>
          <w:tcPr>
            <w:tcW w:w="883" w:type="pct"/>
          </w:tcPr>
          <w:p w14:paraId="4AF95964" w14:textId="7362F28F" w:rsidR="00520431" w:rsidRPr="002C1E65" w:rsidRDefault="00520431" w:rsidP="001451F8">
            <w:pPr>
              <w:pStyle w:val="TableBodyText"/>
              <w:keepNext/>
              <w:keepLines/>
              <w:rPr>
                <w:szCs w:val="20"/>
                <w:lang w:eastAsia="en-US"/>
              </w:rPr>
            </w:pPr>
            <w:r w:rsidRPr="002C1E65">
              <w:rPr>
                <w:szCs w:val="20"/>
                <w:lang w:eastAsia="en-US"/>
              </w:rPr>
              <w:t>Yarra</w:t>
            </w:r>
          </w:p>
        </w:tc>
        <w:tc>
          <w:tcPr>
            <w:tcW w:w="589" w:type="pct"/>
          </w:tcPr>
          <w:p w14:paraId="5AE720C0" w14:textId="01603D17" w:rsidR="00520431" w:rsidRPr="002C1E65" w:rsidRDefault="00DA0269" w:rsidP="001451F8">
            <w:pPr>
              <w:pStyle w:val="TableBodyText"/>
              <w:keepNext/>
              <w:keepLines/>
              <w:rPr>
                <w:szCs w:val="20"/>
                <w:lang w:eastAsia="en-US"/>
              </w:rPr>
            </w:pPr>
            <w:r w:rsidRPr="002C1E65">
              <w:rPr>
                <w:szCs w:val="20"/>
                <w:lang w:eastAsia="en-US"/>
              </w:rPr>
              <w:t>8505 ML</w:t>
            </w:r>
          </w:p>
        </w:tc>
        <w:tc>
          <w:tcPr>
            <w:tcW w:w="3528" w:type="pct"/>
          </w:tcPr>
          <w:p w14:paraId="1E53898C" w14:textId="5AF12D98" w:rsidR="00DA0269" w:rsidRPr="002C1E65" w:rsidRDefault="00DA0269" w:rsidP="001451F8">
            <w:pPr>
              <w:pStyle w:val="TableBodyText"/>
              <w:keepNext/>
              <w:keepLines/>
              <w:rPr>
                <w:szCs w:val="20"/>
                <w:lang w:eastAsia="en-US"/>
              </w:rPr>
            </w:pPr>
            <w:r w:rsidRPr="002C1E65">
              <w:rPr>
                <w:szCs w:val="20"/>
                <w:lang w:eastAsia="en-US"/>
              </w:rPr>
              <w:t>The Yarra River has received naturally good flows this year, with additional flows received as a result of works on the Upper Yarra Reservoir.</w:t>
            </w:r>
          </w:p>
          <w:p w14:paraId="05D082B3" w14:textId="77777777" w:rsidR="00DA0269" w:rsidRPr="002C1E65" w:rsidRDefault="00DA0269" w:rsidP="001451F8">
            <w:pPr>
              <w:pStyle w:val="TableBodyText"/>
              <w:keepNext/>
              <w:keepLines/>
              <w:rPr>
                <w:szCs w:val="20"/>
                <w:lang w:eastAsia="en-US"/>
              </w:rPr>
            </w:pPr>
            <w:r w:rsidRPr="002C1E65">
              <w:rPr>
                <w:szCs w:val="20"/>
                <w:lang w:eastAsia="en-US"/>
              </w:rPr>
              <w:t>The autumn high flow used 4141 ML less than estimated due to good rainfall and adaptive management.</w:t>
            </w:r>
          </w:p>
          <w:p w14:paraId="553264FB" w14:textId="4B119152" w:rsidR="00DA0269" w:rsidRPr="002C1E65" w:rsidRDefault="00DA0269" w:rsidP="001451F8">
            <w:pPr>
              <w:pStyle w:val="TableBodyText"/>
              <w:keepNext/>
              <w:keepLines/>
              <w:rPr>
                <w:szCs w:val="20"/>
                <w:lang w:eastAsia="en-US"/>
              </w:rPr>
            </w:pPr>
            <w:r w:rsidRPr="002C1E65">
              <w:rPr>
                <w:szCs w:val="20"/>
                <w:lang w:eastAsia="en-US"/>
              </w:rPr>
              <w:t>The environmental water release for autumn fresh and autumn high flow aimed to improve aquatic habitat and channel form, maintain bank vegetation and provide opportunities for fish movement.</w:t>
            </w:r>
          </w:p>
          <w:p w14:paraId="6FE05444" w14:textId="5B124C14" w:rsidR="00520431" w:rsidRPr="002C1E65" w:rsidRDefault="00DA0269" w:rsidP="001451F8">
            <w:pPr>
              <w:pStyle w:val="TableBodyText"/>
              <w:keepNext/>
              <w:keepLines/>
              <w:rPr>
                <w:szCs w:val="20"/>
                <w:lang w:eastAsia="en-US"/>
              </w:rPr>
            </w:pPr>
            <w:r w:rsidRPr="002C1E65">
              <w:rPr>
                <w:szCs w:val="20"/>
                <w:lang w:eastAsia="en-US"/>
              </w:rPr>
              <w:t>Environmental water was also released into two billabongs in the Yarra Floodplain – Yering Backswamp and Annulus – to improve wetland vegetation and provide habitat for frogs and birds. Natural inundation occurred to a number of billabongs in the Yarra River catchment due to heavy winter rainfalls in June 2021.</w:t>
            </w:r>
          </w:p>
        </w:tc>
      </w:tr>
      <w:tr w:rsidR="00520431" w:rsidRPr="002C1E65" w14:paraId="2DFAF665" w14:textId="77777777" w:rsidTr="00A25B00">
        <w:tc>
          <w:tcPr>
            <w:tcW w:w="883" w:type="pct"/>
          </w:tcPr>
          <w:p w14:paraId="150BC36A" w14:textId="0CA965BA" w:rsidR="00520431" w:rsidRPr="002C1E65" w:rsidRDefault="002A489A" w:rsidP="001451F8">
            <w:pPr>
              <w:pStyle w:val="TableBodyText"/>
              <w:keepNext/>
              <w:keepLines/>
              <w:rPr>
                <w:szCs w:val="20"/>
                <w:lang w:eastAsia="en-US"/>
              </w:rPr>
            </w:pPr>
            <w:r w:rsidRPr="002C1E65">
              <w:rPr>
                <w:szCs w:val="20"/>
                <w:lang w:eastAsia="en-US"/>
              </w:rPr>
              <w:t>Tarago and Bunyip rivers</w:t>
            </w:r>
          </w:p>
        </w:tc>
        <w:tc>
          <w:tcPr>
            <w:tcW w:w="589" w:type="pct"/>
          </w:tcPr>
          <w:p w14:paraId="7F547C57" w14:textId="3D1EDC38" w:rsidR="00520431" w:rsidRPr="002C1E65" w:rsidRDefault="002A489A" w:rsidP="001451F8">
            <w:pPr>
              <w:pStyle w:val="TableBodyText"/>
              <w:keepNext/>
              <w:keepLines/>
              <w:rPr>
                <w:szCs w:val="20"/>
                <w:lang w:eastAsia="en-US"/>
              </w:rPr>
            </w:pPr>
            <w:r w:rsidRPr="002C1E65">
              <w:rPr>
                <w:szCs w:val="20"/>
                <w:lang w:eastAsia="en-US"/>
              </w:rPr>
              <w:t>1068 ML</w:t>
            </w:r>
          </w:p>
        </w:tc>
        <w:tc>
          <w:tcPr>
            <w:tcW w:w="3528" w:type="pct"/>
          </w:tcPr>
          <w:p w14:paraId="753AAC54" w14:textId="60A67A82" w:rsidR="00DA0269" w:rsidRPr="002C1E65" w:rsidRDefault="00DA0269" w:rsidP="001451F8">
            <w:pPr>
              <w:pStyle w:val="TableBodyText"/>
              <w:keepNext/>
              <w:keepLines/>
              <w:rPr>
                <w:szCs w:val="20"/>
                <w:lang w:eastAsia="en-US"/>
              </w:rPr>
            </w:pPr>
            <w:r w:rsidRPr="002C1E65">
              <w:rPr>
                <w:szCs w:val="20"/>
                <w:lang w:eastAsia="en-US"/>
              </w:rPr>
              <w:t>Tarago Reservoir spilled on several occasions, with naturally good flows helping to meet compliance. A spring high flow and summer/autumn fresh were achieved with environmental water releases.</w:t>
            </w:r>
          </w:p>
          <w:p w14:paraId="673316B4" w14:textId="1DDDCA4C" w:rsidR="00520431" w:rsidRPr="002C1E65" w:rsidRDefault="00DA0269" w:rsidP="001451F8">
            <w:pPr>
              <w:pStyle w:val="TableBodyText"/>
              <w:keepNext/>
              <w:keepLines/>
              <w:rPr>
                <w:szCs w:val="20"/>
                <w:lang w:eastAsia="en-US"/>
              </w:rPr>
            </w:pPr>
            <w:r w:rsidRPr="002C1E65">
              <w:rPr>
                <w:szCs w:val="20"/>
                <w:lang w:eastAsia="en-US"/>
              </w:rPr>
              <w:t>These releases help to enhance habitats, maintain vegetation communities and facilitate movement and spawning of various fish species including the endangered Australian Grayling.</w:t>
            </w:r>
          </w:p>
        </w:tc>
      </w:tr>
      <w:tr w:rsidR="00520431" w:rsidRPr="002C1E65" w14:paraId="04F3961C" w14:textId="77777777" w:rsidTr="00A25B00">
        <w:tc>
          <w:tcPr>
            <w:tcW w:w="883" w:type="pct"/>
          </w:tcPr>
          <w:p w14:paraId="38C923E3" w14:textId="11BC344F" w:rsidR="00520431" w:rsidRPr="002C1E65" w:rsidRDefault="002A489A" w:rsidP="00520431">
            <w:pPr>
              <w:pStyle w:val="TableBodyText"/>
              <w:rPr>
                <w:szCs w:val="20"/>
                <w:lang w:eastAsia="en-US"/>
              </w:rPr>
            </w:pPr>
            <w:r w:rsidRPr="002C1E65">
              <w:rPr>
                <w:szCs w:val="20"/>
                <w:lang w:eastAsia="en-US"/>
              </w:rPr>
              <w:t>Werribee</w:t>
            </w:r>
          </w:p>
        </w:tc>
        <w:tc>
          <w:tcPr>
            <w:tcW w:w="589" w:type="pct"/>
          </w:tcPr>
          <w:p w14:paraId="17729E39" w14:textId="40A00FD2" w:rsidR="00520431" w:rsidRPr="002C1E65" w:rsidRDefault="002A489A" w:rsidP="00520431">
            <w:pPr>
              <w:pStyle w:val="TableBodyText"/>
              <w:rPr>
                <w:szCs w:val="20"/>
                <w:lang w:eastAsia="en-US"/>
              </w:rPr>
            </w:pPr>
            <w:r w:rsidRPr="002C1E65">
              <w:rPr>
                <w:szCs w:val="20"/>
                <w:lang w:eastAsia="en-US"/>
              </w:rPr>
              <w:t>1145 ML</w:t>
            </w:r>
          </w:p>
        </w:tc>
        <w:tc>
          <w:tcPr>
            <w:tcW w:w="3528" w:type="pct"/>
          </w:tcPr>
          <w:p w14:paraId="0F71E231" w14:textId="28E02373" w:rsidR="00DA0269" w:rsidRPr="002C1E65" w:rsidRDefault="00DA0269" w:rsidP="00DA0269">
            <w:pPr>
              <w:pStyle w:val="TableBodyText"/>
              <w:rPr>
                <w:szCs w:val="20"/>
                <w:lang w:eastAsia="en-US"/>
              </w:rPr>
            </w:pPr>
            <w:r w:rsidRPr="002C1E65">
              <w:rPr>
                <w:szCs w:val="20"/>
                <w:lang w:eastAsia="en-US"/>
              </w:rPr>
              <w:t>Werribee River experienced reasonably good flows, as flow below the lower diversion weir was increased to 10 ML/d for much of the year from Southern Rural Water’s Bulk Entitlement. Water spilled from Pykes Creek and Melton Reservoir, resulting in the cancellation of a planned winter fresh in 2021.</w:t>
            </w:r>
          </w:p>
          <w:p w14:paraId="3BD31726" w14:textId="5C33AF23" w:rsidR="00DA0269" w:rsidRPr="002C1E65" w:rsidRDefault="00DA0269" w:rsidP="00DA0269">
            <w:pPr>
              <w:pStyle w:val="TableBodyText"/>
              <w:rPr>
                <w:szCs w:val="20"/>
                <w:lang w:eastAsia="en-US"/>
              </w:rPr>
            </w:pPr>
            <w:r w:rsidRPr="002C1E65">
              <w:rPr>
                <w:szCs w:val="20"/>
                <w:lang w:eastAsia="en-US"/>
              </w:rPr>
              <w:t>Environmental water was delivered to Pykes Creek (reach 6) for low flows, and spring/summer high flows. These flows maintain channel form, habitat and vegetation, and allow for fish movement between pools.</w:t>
            </w:r>
          </w:p>
          <w:p w14:paraId="232CB39F" w14:textId="76246A27" w:rsidR="00520431" w:rsidRPr="002C1E65" w:rsidRDefault="00DA0269" w:rsidP="00DA0269">
            <w:pPr>
              <w:pStyle w:val="TableBodyText"/>
              <w:rPr>
                <w:szCs w:val="20"/>
                <w:lang w:eastAsia="en-US"/>
              </w:rPr>
            </w:pPr>
            <w:r w:rsidRPr="002C1E65">
              <w:rPr>
                <w:szCs w:val="20"/>
                <w:lang w:eastAsia="en-US"/>
              </w:rPr>
              <w:t>In the Lower Werribee, below Melton Reservoir (reach 8 and 9) and into the estuary, flows were enhanced with environmental water releases to provide three summer freshes. Freshes improve habitat, maintain vegetation and support fish and frog populations.</w:t>
            </w:r>
          </w:p>
        </w:tc>
      </w:tr>
      <w:tr w:rsidR="00520431" w:rsidRPr="002C1E65" w14:paraId="17C07836" w14:textId="77777777" w:rsidTr="00A25B00">
        <w:tc>
          <w:tcPr>
            <w:tcW w:w="883" w:type="pct"/>
          </w:tcPr>
          <w:p w14:paraId="7F7E4F3D" w14:textId="3125AD54" w:rsidR="00520431" w:rsidRPr="002C1E65" w:rsidRDefault="002A489A" w:rsidP="00520431">
            <w:pPr>
              <w:pStyle w:val="TableBodyText"/>
              <w:rPr>
                <w:szCs w:val="20"/>
                <w:lang w:eastAsia="en-US"/>
              </w:rPr>
            </w:pPr>
            <w:r w:rsidRPr="002C1E65">
              <w:rPr>
                <w:szCs w:val="20"/>
                <w:lang w:eastAsia="en-US"/>
              </w:rPr>
              <w:t>Maribyrnong</w:t>
            </w:r>
          </w:p>
        </w:tc>
        <w:tc>
          <w:tcPr>
            <w:tcW w:w="589" w:type="pct"/>
          </w:tcPr>
          <w:p w14:paraId="2BB2E0A8" w14:textId="0D0143EE" w:rsidR="00520431" w:rsidRPr="002C1E65" w:rsidRDefault="002A489A" w:rsidP="00520431">
            <w:pPr>
              <w:pStyle w:val="TableBodyText"/>
              <w:rPr>
                <w:szCs w:val="20"/>
                <w:lang w:eastAsia="en-US"/>
              </w:rPr>
            </w:pPr>
            <w:r w:rsidRPr="002C1E65">
              <w:rPr>
                <w:szCs w:val="20"/>
                <w:lang w:eastAsia="en-US"/>
              </w:rPr>
              <w:t>0 ML</w:t>
            </w:r>
          </w:p>
        </w:tc>
        <w:tc>
          <w:tcPr>
            <w:tcW w:w="3528" w:type="pct"/>
          </w:tcPr>
          <w:p w14:paraId="08614C80" w14:textId="71C317AC" w:rsidR="00520431" w:rsidRPr="002C1E65" w:rsidRDefault="00DA0269" w:rsidP="00520431">
            <w:pPr>
              <w:pStyle w:val="TableBodyText"/>
              <w:rPr>
                <w:szCs w:val="20"/>
                <w:lang w:eastAsia="en-US"/>
              </w:rPr>
            </w:pPr>
            <w:r w:rsidRPr="002C1E65">
              <w:rPr>
                <w:szCs w:val="20"/>
                <w:lang w:eastAsia="en-US"/>
              </w:rPr>
              <w:t>No releases made due to lack of available water for purchase (no entitlement held).</w:t>
            </w:r>
          </w:p>
        </w:tc>
      </w:tr>
    </w:tbl>
    <w:p w14:paraId="186CCC97" w14:textId="42576FC7" w:rsidR="00520431" w:rsidRDefault="00DA0269" w:rsidP="00DA0269">
      <w:pPr>
        <w:pStyle w:val="BodyText"/>
        <w:rPr>
          <w:lang w:eastAsia="en-US"/>
        </w:rPr>
      </w:pPr>
      <w:r>
        <w:rPr>
          <w:lang w:eastAsia="en-US"/>
        </w:rPr>
        <w:t xml:space="preserve">In 2020-21 Melbourne Water made environmental releases of 19,599 million litres from Thomson Reservoir in cooperation with the West Gippsland Catchment Management Authority and on behalf of the </w:t>
      </w:r>
      <w:r w:rsidR="00A52F94">
        <w:rPr>
          <w:lang w:eastAsia="en-US"/>
        </w:rPr>
        <w:t>Victorian Environmental Water Holder</w:t>
      </w:r>
      <w:r>
        <w:rPr>
          <w:lang w:eastAsia="en-US"/>
        </w:rPr>
        <w:t>.</w:t>
      </w:r>
    </w:p>
    <w:p w14:paraId="2B6B5D42" w14:textId="795A1C02" w:rsidR="00DA0269" w:rsidRDefault="00DA0269" w:rsidP="001B0295">
      <w:pPr>
        <w:pStyle w:val="Heading3"/>
      </w:pPr>
      <w:bookmarkStart w:id="265" w:name="_Toc89723003"/>
      <w:bookmarkStart w:id="266" w:name="_Ref89809665"/>
      <w:bookmarkStart w:id="267" w:name="_Toc90325946"/>
      <w:bookmarkStart w:id="268" w:name="_Toc93659352"/>
      <w:r w:rsidRPr="00DA0269">
        <w:t>Managing the health of our rivers, creeks, wetlands and estuaries</w:t>
      </w:r>
      <w:bookmarkEnd w:id="265"/>
      <w:bookmarkEnd w:id="266"/>
      <w:bookmarkEnd w:id="267"/>
      <w:bookmarkEnd w:id="268"/>
    </w:p>
    <w:p w14:paraId="0FB41A23" w14:textId="4CDBC576" w:rsidR="00DA0269" w:rsidRDefault="00DA0269" w:rsidP="001B0295">
      <w:pPr>
        <w:pStyle w:val="BodyText"/>
        <w:keepNext/>
        <w:keepLines/>
        <w:rPr>
          <w:lang w:eastAsia="en-US"/>
        </w:rPr>
      </w:pPr>
      <w:r>
        <w:rPr>
          <w:lang w:eastAsia="en-US"/>
        </w:rPr>
        <w:t>In 2020-21, we contributed to the health of our waterways through direct maintenance works, capital works and incentive programs, including:</w:t>
      </w:r>
    </w:p>
    <w:p w14:paraId="49ADB1D2" w14:textId="1A8F93F5" w:rsidR="00DA0269" w:rsidRDefault="00DA0269" w:rsidP="00C778D6">
      <w:pPr>
        <w:pStyle w:val="ListBullet"/>
        <w:rPr>
          <w:lang w:eastAsia="en-US"/>
        </w:rPr>
      </w:pPr>
      <w:r>
        <w:rPr>
          <w:lang w:eastAsia="en-US"/>
        </w:rPr>
        <w:t>777 sites where active weed control was completed to protect native vegetation and habitat quality for a wide range of native animals</w:t>
      </w:r>
    </w:p>
    <w:p w14:paraId="534E5652" w14:textId="2F09459E" w:rsidR="00DA0269" w:rsidRDefault="00DA0269" w:rsidP="00C778D6">
      <w:pPr>
        <w:pStyle w:val="ListBullet"/>
        <w:rPr>
          <w:lang w:eastAsia="en-US"/>
        </w:rPr>
      </w:pPr>
      <w:r>
        <w:rPr>
          <w:lang w:eastAsia="en-US"/>
        </w:rPr>
        <w:t>132 sites where sections of waterway were replanted with native vegetation to improve streamside vegetation connectivity and habitat for platypus and other significant species</w:t>
      </w:r>
    </w:p>
    <w:p w14:paraId="4A545BD2" w14:textId="3662FA4B" w:rsidR="00DA0269" w:rsidRDefault="00DA0269" w:rsidP="00C778D6">
      <w:pPr>
        <w:pStyle w:val="ListBullet"/>
        <w:rPr>
          <w:lang w:eastAsia="en-US"/>
        </w:rPr>
      </w:pPr>
      <w:r>
        <w:rPr>
          <w:lang w:eastAsia="en-US"/>
        </w:rPr>
        <w:t>34 sites of biodiversity significance along waterways that were protected via active maintenance including weed and pest animal control</w:t>
      </w:r>
    </w:p>
    <w:p w14:paraId="48C31B47" w14:textId="04F2F25C" w:rsidR="00DA0269" w:rsidRDefault="00DA0269" w:rsidP="00C778D6">
      <w:pPr>
        <w:pStyle w:val="ListBullet"/>
        <w:rPr>
          <w:lang w:eastAsia="en-US"/>
        </w:rPr>
      </w:pPr>
      <w:r>
        <w:rPr>
          <w:lang w:eastAsia="en-US"/>
        </w:rPr>
        <w:t>Two sites where native fish passage was restored by removing in-stream barriers and renewing existing fishways</w:t>
      </w:r>
    </w:p>
    <w:p w14:paraId="3F2FC1F9" w14:textId="52835B6C" w:rsidR="00DA0269" w:rsidRDefault="00DA0269" w:rsidP="00C778D6">
      <w:pPr>
        <w:pStyle w:val="ListBullet"/>
        <w:rPr>
          <w:lang w:eastAsia="en-US"/>
        </w:rPr>
      </w:pPr>
      <w:r>
        <w:rPr>
          <w:lang w:eastAsia="en-US"/>
        </w:rPr>
        <w:t>over 60 sites where maintenance and monitoring of existing fishways has sustained native fish passage</w:t>
      </w:r>
    </w:p>
    <w:p w14:paraId="598C00AB" w14:textId="6626423D" w:rsidR="00DA0269" w:rsidRDefault="00DA0269" w:rsidP="00C778D6">
      <w:pPr>
        <w:pStyle w:val="ListBullet"/>
        <w:rPr>
          <w:lang w:eastAsia="en-US"/>
        </w:rPr>
      </w:pPr>
      <w:r>
        <w:rPr>
          <w:lang w:eastAsia="en-US"/>
        </w:rPr>
        <w:t>Three sites where erosion in the bed or banks of waterways was controlled by installing or renewing grade control and bank protection structures</w:t>
      </w:r>
    </w:p>
    <w:p w14:paraId="5C64C57F" w14:textId="2506BC15" w:rsidR="00DA0269" w:rsidRDefault="00DA0269" w:rsidP="00C778D6">
      <w:pPr>
        <w:pStyle w:val="ListBullet"/>
        <w:rPr>
          <w:lang w:eastAsia="en-US"/>
        </w:rPr>
      </w:pPr>
      <w:r>
        <w:rPr>
          <w:lang w:eastAsia="en-US"/>
        </w:rPr>
        <w:lastRenderedPageBreak/>
        <w:t>over 500 sites where erosion in the bed of waterways has been controlled by continued maintenance and monitoring of existing grade control structures</w:t>
      </w:r>
    </w:p>
    <w:p w14:paraId="3D3323FB" w14:textId="316A2113" w:rsidR="00DA0269" w:rsidRDefault="00DA0269" w:rsidP="00C778D6">
      <w:pPr>
        <w:pStyle w:val="ListBullet"/>
        <w:rPr>
          <w:lang w:eastAsia="en-US"/>
        </w:rPr>
      </w:pPr>
      <w:r>
        <w:rPr>
          <w:lang w:eastAsia="en-US"/>
        </w:rPr>
        <w:t>542 sites where grass cutting, vegetation maintenance and litter removal activities were completed to provide more amenable public open space</w:t>
      </w:r>
    </w:p>
    <w:p w14:paraId="7634F2AA" w14:textId="28B5BEB9" w:rsidR="00DA0269" w:rsidRDefault="00DA0269" w:rsidP="00C778D6">
      <w:pPr>
        <w:pStyle w:val="ListBullet"/>
        <w:rPr>
          <w:lang w:eastAsia="en-US"/>
        </w:rPr>
      </w:pPr>
      <w:r>
        <w:rPr>
          <w:lang w:eastAsia="en-US"/>
        </w:rPr>
        <w:t>One site where community access and connection to the Yarra River was improved (Fitzsimmons Lane, Westerfolds Park)</w:t>
      </w:r>
    </w:p>
    <w:p w14:paraId="680D6D48" w14:textId="58DA89EE" w:rsidR="00DA0269" w:rsidRDefault="00DA0269" w:rsidP="00C778D6">
      <w:pPr>
        <w:pStyle w:val="ListBullet"/>
        <w:rPr>
          <w:lang w:eastAsia="en-US"/>
        </w:rPr>
      </w:pPr>
      <w:r>
        <w:rPr>
          <w:lang w:eastAsia="en-US"/>
        </w:rPr>
        <w:t xml:space="preserve">removing over 49,000 cubic metres of silt and 1695 cubic metres of litter and debris from our drainage system, to protect the quality of water in Melbourne’s waterways. This prevents silt, litter and debris from entering waterways, in accordance with our obligations under the </w:t>
      </w:r>
      <w:r w:rsidRPr="00DA0269">
        <w:rPr>
          <w:rStyle w:val="ItalicText"/>
          <w:lang w:eastAsia="en-US"/>
        </w:rPr>
        <w:t>State Environment Protection Policy (Waters)</w:t>
      </w:r>
      <w:r>
        <w:rPr>
          <w:lang w:eastAsia="en-US"/>
        </w:rPr>
        <w:t>.</w:t>
      </w:r>
    </w:p>
    <w:p w14:paraId="5EC4011D" w14:textId="7B024B0C" w:rsidR="00DA0269" w:rsidRDefault="00DA0269" w:rsidP="00523088">
      <w:pPr>
        <w:pStyle w:val="Heading1"/>
      </w:pPr>
      <w:bookmarkStart w:id="269" w:name="_Toc89723004"/>
      <w:bookmarkStart w:id="270" w:name="_Toc89723214"/>
      <w:bookmarkStart w:id="271" w:name="_Toc89723274"/>
      <w:bookmarkStart w:id="272" w:name="_Toc89860538"/>
      <w:bookmarkStart w:id="273" w:name="_Toc89860682"/>
      <w:bookmarkStart w:id="274" w:name="_Toc90325947"/>
      <w:bookmarkStart w:id="275" w:name="_Toc93659353"/>
      <w:r>
        <w:lastRenderedPageBreak/>
        <w:t>Delivering for</w:t>
      </w:r>
      <w:r w:rsidR="00523088">
        <w:t xml:space="preserve"> </w:t>
      </w:r>
      <w:r>
        <w:t>Liveability</w:t>
      </w:r>
      <w:bookmarkEnd w:id="269"/>
      <w:bookmarkEnd w:id="270"/>
      <w:bookmarkEnd w:id="271"/>
      <w:bookmarkEnd w:id="272"/>
      <w:bookmarkEnd w:id="273"/>
      <w:bookmarkEnd w:id="274"/>
      <w:bookmarkEnd w:id="275"/>
    </w:p>
    <w:p w14:paraId="64C52280" w14:textId="124ADBE6" w:rsidR="00DA0269" w:rsidRDefault="00DA0269" w:rsidP="00DA0269">
      <w:pPr>
        <w:pStyle w:val="BodyText"/>
        <w:rPr>
          <w:lang w:eastAsia="en-US"/>
        </w:rPr>
      </w:pPr>
      <w:r w:rsidRPr="00413F5C">
        <w:rPr>
          <w:lang w:eastAsia="en-US"/>
        </w:rPr>
        <w:t>At Melbourne Water we consider that liveability reflects the</w:t>
      </w:r>
      <w:r w:rsidR="00523088" w:rsidRPr="00413F5C">
        <w:rPr>
          <w:lang w:eastAsia="en-US"/>
        </w:rPr>
        <w:t xml:space="preserve"> </w:t>
      </w:r>
      <w:r w:rsidRPr="00413F5C">
        <w:rPr>
          <w:lang w:eastAsia="en-US"/>
        </w:rPr>
        <w:t>wellbeing of a community and the many</w:t>
      </w:r>
      <w:r>
        <w:rPr>
          <w:lang w:eastAsia="en-US"/>
        </w:rPr>
        <w:t xml:space="preserve"> characteristics that</w:t>
      </w:r>
      <w:r w:rsidR="00523088">
        <w:rPr>
          <w:lang w:eastAsia="en-US"/>
        </w:rPr>
        <w:t xml:space="preserve"> </w:t>
      </w:r>
      <w:r>
        <w:rPr>
          <w:lang w:eastAsia="en-US"/>
        </w:rPr>
        <w:t>make a city a place where people want to live, now and into the</w:t>
      </w:r>
      <w:r w:rsidR="00523088">
        <w:rPr>
          <w:lang w:eastAsia="en-US"/>
        </w:rPr>
        <w:t xml:space="preserve"> </w:t>
      </w:r>
      <w:r>
        <w:rPr>
          <w:lang w:eastAsia="en-US"/>
        </w:rPr>
        <w:t>future.</w:t>
      </w:r>
    </w:p>
    <w:p w14:paraId="2FAF4D5A" w14:textId="3D679C56" w:rsidR="00DA0269" w:rsidRDefault="00DA0269" w:rsidP="00DA0269">
      <w:pPr>
        <w:pStyle w:val="BodyText"/>
        <w:rPr>
          <w:lang w:eastAsia="en-US"/>
        </w:rPr>
      </w:pPr>
      <w:r>
        <w:rPr>
          <w:lang w:eastAsia="en-US"/>
        </w:rPr>
        <w:t>We listen to our customers to ensure that the essential services</w:t>
      </w:r>
      <w:r w:rsidR="00523088">
        <w:rPr>
          <w:lang w:eastAsia="en-US"/>
        </w:rPr>
        <w:t xml:space="preserve"> </w:t>
      </w:r>
      <w:r>
        <w:rPr>
          <w:lang w:eastAsia="en-US"/>
        </w:rPr>
        <w:t>we provide remain affordable and sustainable, and help make</w:t>
      </w:r>
      <w:r w:rsidR="00523088">
        <w:rPr>
          <w:lang w:eastAsia="en-US"/>
        </w:rPr>
        <w:t xml:space="preserve"> </w:t>
      </w:r>
      <w:r>
        <w:rPr>
          <w:lang w:eastAsia="en-US"/>
        </w:rPr>
        <w:t>our region a better place to live.</w:t>
      </w:r>
    </w:p>
    <w:p w14:paraId="46312EE1" w14:textId="055CDA0A" w:rsidR="00520431" w:rsidRDefault="00DA0269" w:rsidP="00DA0269">
      <w:pPr>
        <w:pStyle w:val="BodyText"/>
        <w:rPr>
          <w:lang w:eastAsia="en-US"/>
        </w:rPr>
      </w:pPr>
      <w:r>
        <w:rPr>
          <w:lang w:eastAsia="en-US"/>
        </w:rPr>
        <w:t>We engage with Traditional Owners as sovereign partners</w:t>
      </w:r>
      <w:r w:rsidR="00523088">
        <w:rPr>
          <w:lang w:eastAsia="en-US"/>
        </w:rPr>
        <w:t xml:space="preserve"> </w:t>
      </w:r>
      <w:r>
        <w:rPr>
          <w:lang w:eastAsia="en-US"/>
        </w:rPr>
        <w:t>in land and water management, working to strengthen</w:t>
      </w:r>
      <w:r w:rsidR="00523088">
        <w:rPr>
          <w:lang w:eastAsia="en-US"/>
        </w:rPr>
        <w:t xml:space="preserve"> </w:t>
      </w:r>
      <w:r>
        <w:rPr>
          <w:lang w:eastAsia="en-US"/>
        </w:rPr>
        <w:t>relationships and connection to Aboriginal Victorians and</w:t>
      </w:r>
      <w:r w:rsidR="00523088">
        <w:rPr>
          <w:lang w:eastAsia="en-US"/>
        </w:rPr>
        <w:t xml:space="preserve"> </w:t>
      </w:r>
      <w:r>
        <w:rPr>
          <w:lang w:eastAsia="en-US"/>
        </w:rPr>
        <w:t>Traditional Owner organisations.</w:t>
      </w:r>
    </w:p>
    <w:p w14:paraId="1E4C955B" w14:textId="55E0082D" w:rsidR="00523088" w:rsidRDefault="00523088" w:rsidP="00523088">
      <w:pPr>
        <w:pStyle w:val="Heading2"/>
      </w:pPr>
      <w:bookmarkStart w:id="276" w:name="_Toc89723005"/>
      <w:bookmarkStart w:id="277" w:name="_Toc89723215"/>
      <w:bookmarkStart w:id="278" w:name="_Toc89723275"/>
      <w:bookmarkStart w:id="279" w:name="_Ref89811295"/>
      <w:bookmarkStart w:id="280" w:name="_Toc89860539"/>
      <w:bookmarkStart w:id="281" w:name="_Toc89860683"/>
      <w:bookmarkStart w:id="282" w:name="_Toc90325948"/>
      <w:bookmarkStart w:id="283" w:name="_Toc93659354"/>
      <w:r>
        <w:t>Resilient Cities and Towns</w:t>
      </w:r>
      <w:bookmarkEnd w:id="276"/>
      <w:bookmarkEnd w:id="277"/>
      <w:bookmarkEnd w:id="278"/>
      <w:bookmarkEnd w:id="279"/>
      <w:bookmarkEnd w:id="280"/>
      <w:bookmarkEnd w:id="281"/>
      <w:bookmarkEnd w:id="282"/>
      <w:bookmarkEnd w:id="283"/>
    </w:p>
    <w:p w14:paraId="21D36E31" w14:textId="5B166FEA" w:rsidR="00520431" w:rsidRDefault="00523088" w:rsidP="00523088">
      <w:pPr>
        <w:pStyle w:val="PullBox"/>
      </w:pPr>
      <w:r>
        <w:t>Melbourne Water has a significant role to play in ensuring that greater Melbourne remains resilient and liveable. As custodian of significant land and water assets, Melbourne Water is uniquely placed to transform and reimagine activation of under-utilised sites for multiple community benefits. Integrating the way we deliver our services maximises benefits for our customers and the broader community.</w:t>
      </w:r>
    </w:p>
    <w:p w14:paraId="00542351" w14:textId="1A1B3381" w:rsidR="00523088" w:rsidRDefault="00523088" w:rsidP="00523088">
      <w:pPr>
        <w:pStyle w:val="GreyBox"/>
      </w:pPr>
      <w:r w:rsidRPr="00296848">
        <w:t xml:space="preserve">Aligns with goals </w:t>
      </w:r>
      <w:r>
        <w:t>1, 3, 4, 6, 9, 11, 12, 13, 14, 15 and 17</w:t>
      </w:r>
    </w:p>
    <w:p w14:paraId="55467D69" w14:textId="77777777" w:rsidR="00523088" w:rsidRDefault="00523088" w:rsidP="00523088">
      <w:pPr>
        <w:pStyle w:val="Heading3"/>
      </w:pPr>
      <w:bookmarkStart w:id="284" w:name="_Toc89723006"/>
      <w:bookmarkStart w:id="285" w:name="_Toc90325949"/>
      <w:bookmarkStart w:id="286" w:name="_Toc93659355"/>
      <w:r>
        <w:t>Our Approach</w:t>
      </w:r>
      <w:bookmarkEnd w:id="284"/>
      <w:bookmarkEnd w:id="285"/>
      <w:bookmarkEnd w:id="286"/>
    </w:p>
    <w:p w14:paraId="1E8C8EC3" w14:textId="677F3364" w:rsidR="00B26655" w:rsidRDefault="00523088" w:rsidP="00523088">
      <w:pPr>
        <w:pStyle w:val="BodyText"/>
        <w:rPr>
          <w:lang w:eastAsia="en-US"/>
        </w:rPr>
      </w:pPr>
      <w:r>
        <w:rPr>
          <w:lang w:eastAsia="en-US"/>
        </w:rPr>
        <w:t>The combined pressures of ongoing population growth and climate change affect the entire water cycle. These impacts range from an increase in demand for water to generating more stormwater in the urban environment, as well as a reduction in the amount of water captured by our water supply catchments. To meet these challenges, we need to work together, or integrate with, all organisations with an interest in the water cycle and with communities to make smart investments and future-focused decisions, and identify the solutions that deliver the best long-term value to the community.</w:t>
      </w:r>
    </w:p>
    <w:p w14:paraId="244FDD79" w14:textId="33AD8BD1" w:rsidR="00523088" w:rsidRDefault="00523088" w:rsidP="00523088">
      <w:pPr>
        <w:pStyle w:val="BodyText"/>
        <w:rPr>
          <w:lang w:eastAsia="en-US"/>
        </w:rPr>
      </w:pPr>
      <w:r>
        <w:rPr>
          <w:lang w:eastAsia="en-US"/>
        </w:rPr>
        <w:t>Melbourne’s long-term resilience and water security depends on Integrated Water Management (IWM). This is the concept that all parts of the water cycle are connected, from water supply to sewage management, wastewater treatment, flooding and stormwater capture. By adopting an integrated approach when planning and delivering these services, we can achieve improved value for the community and better outcomes for the environment over the long term.</w:t>
      </w:r>
    </w:p>
    <w:p w14:paraId="2C12C5AD" w14:textId="6143135E" w:rsidR="00523088" w:rsidRDefault="00523088" w:rsidP="00523088">
      <w:pPr>
        <w:pStyle w:val="BodyText"/>
        <w:rPr>
          <w:lang w:eastAsia="en-US"/>
        </w:rPr>
      </w:pPr>
      <w:r>
        <w:rPr>
          <w:lang w:eastAsia="en-US"/>
        </w:rPr>
        <w:t xml:space="preserve">The </w:t>
      </w:r>
      <w:r w:rsidRPr="00523088">
        <w:rPr>
          <w:rStyle w:val="ItalicText"/>
          <w:lang w:eastAsia="en-US"/>
        </w:rPr>
        <w:t>Melbourne Water System Strategy</w:t>
      </w:r>
      <w:r>
        <w:rPr>
          <w:lang w:eastAsia="en-US"/>
        </w:rPr>
        <w:t xml:space="preserve">, </w:t>
      </w:r>
      <w:r w:rsidRPr="00523088">
        <w:rPr>
          <w:rStyle w:val="ItalicText"/>
          <w:lang w:eastAsia="en-US"/>
        </w:rPr>
        <w:t>Melbourne</w:t>
      </w:r>
      <w:r w:rsidRPr="00523088">
        <w:rPr>
          <w:rStyle w:val="ItalicText"/>
        </w:rPr>
        <w:t xml:space="preserve"> </w:t>
      </w:r>
      <w:r w:rsidRPr="00523088">
        <w:rPr>
          <w:rStyle w:val="ItalicText"/>
          <w:lang w:eastAsia="en-US"/>
        </w:rPr>
        <w:t>Sewerage Strategy</w:t>
      </w:r>
      <w:r>
        <w:rPr>
          <w:lang w:eastAsia="en-US"/>
        </w:rPr>
        <w:t xml:space="preserve">, </w:t>
      </w:r>
      <w:r w:rsidRPr="00523088">
        <w:rPr>
          <w:rStyle w:val="ItalicText"/>
          <w:lang w:eastAsia="en-US"/>
        </w:rPr>
        <w:t>Flood Management Strategy</w:t>
      </w:r>
      <w:r>
        <w:rPr>
          <w:lang w:eastAsia="en-US"/>
        </w:rPr>
        <w:t xml:space="preserve"> and </w:t>
      </w:r>
      <w:r w:rsidRPr="00523088">
        <w:rPr>
          <w:rStyle w:val="ItalicText"/>
          <w:lang w:eastAsia="en-US"/>
        </w:rPr>
        <w:t>Healthy Waterways Strategy</w:t>
      </w:r>
      <w:r>
        <w:rPr>
          <w:lang w:eastAsia="en-US"/>
        </w:rPr>
        <w:t xml:space="preserve"> each take an integrated approach to considering the water cycle, particularly in how we respond to future growth and climate change.</w:t>
      </w:r>
    </w:p>
    <w:p w14:paraId="5874A32F" w14:textId="51774FF1" w:rsidR="00523088" w:rsidRDefault="00523088" w:rsidP="00523088">
      <w:pPr>
        <w:pStyle w:val="Heading3"/>
      </w:pPr>
      <w:bookmarkStart w:id="287" w:name="_Toc89723007"/>
      <w:bookmarkStart w:id="288" w:name="_Ref89809896"/>
      <w:bookmarkStart w:id="289" w:name="_Toc90325950"/>
      <w:bookmarkStart w:id="290" w:name="_Toc93659356"/>
      <w:r>
        <w:t>Facilitating Integrated Water Management for urban development</w:t>
      </w:r>
      <w:bookmarkEnd w:id="287"/>
      <w:bookmarkEnd w:id="288"/>
      <w:bookmarkEnd w:id="289"/>
      <w:bookmarkEnd w:id="290"/>
    </w:p>
    <w:p w14:paraId="47D6AC74" w14:textId="077D8797" w:rsidR="00523088" w:rsidRDefault="00523088" w:rsidP="00523088">
      <w:pPr>
        <w:pStyle w:val="BodyText"/>
        <w:rPr>
          <w:lang w:eastAsia="en-US"/>
        </w:rPr>
      </w:pPr>
      <w:r>
        <w:rPr>
          <w:lang w:eastAsia="en-US"/>
        </w:rPr>
        <w:t xml:space="preserve">Melbourne Water has worked closely with the Victorian Planning Authority (VPA), retail water companies and local councils to progress </w:t>
      </w:r>
      <w:r w:rsidR="0030196D">
        <w:rPr>
          <w:lang w:eastAsia="en-US"/>
        </w:rPr>
        <w:t>Integrated Water Management</w:t>
      </w:r>
      <w:r>
        <w:rPr>
          <w:lang w:eastAsia="en-US"/>
        </w:rPr>
        <w:t xml:space="preserve"> planning for key development sites across Melbourne, as well as in regional precincts. Recognising the importance of aligning collaboration and investment in water cycle infrastructure with urban planning and development timelines, Melbourne Water has continued to investigate opportunities for embedding and delivering </w:t>
      </w:r>
      <w:r w:rsidR="0030196D">
        <w:rPr>
          <w:lang w:eastAsia="en-US"/>
        </w:rPr>
        <w:t>Integrated Water Management</w:t>
      </w:r>
      <w:r>
        <w:rPr>
          <w:lang w:eastAsia="en-US"/>
        </w:rPr>
        <w:t xml:space="preserve"> with a focus on greenfield areas, including the Sunbury growth corridor, Wallan and surrounds, Pakenham East, and Aviators Field precincts.</w:t>
      </w:r>
    </w:p>
    <w:p w14:paraId="4CD74728" w14:textId="7C5934C8" w:rsidR="00523088" w:rsidRDefault="00523088" w:rsidP="00523088">
      <w:pPr>
        <w:pStyle w:val="BodyText"/>
        <w:rPr>
          <w:lang w:eastAsia="en-US"/>
        </w:rPr>
      </w:pPr>
      <w:r>
        <w:rPr>
          <w:lang w:eastAsia="en-US"/>
        </w:rPr>
        <w:t xml:space="preserve">Greenfield development offers the greatest opportunity for large-scale alternative water interventions to improve water security, including re-using as much wastewater as possible, and protecting the health of </w:t>
      </w:r>
      <w:r>
        <w:rPr>
          <w:lang w:eastAsia="en-US"/>
        </w:rPr>
        <w:lastRenderedPageBreak/>
        <w:t xml:space="preserve">Melbourne’s waterways. Adoption of </w:t>
      </w:r>
      <w:r w:rsidR="0030196D">
        <w:rPr>
          <w:lang w:eastAsia="en-US"/>
        </w:rPr>
        <w:t>Integrated Water Management</w:t>
      </w:r>
      <w:r>
        <w:rPr>
          <w:lang w:eastAsia="en-US"/>
        </w:rPr>
        <w:t xml:space="preserve"> in the development of these new areas is essential to achieve the targets set out in Melbourne Water’s services strategies.</w:t>
      </w:r>
    </w:p>
    <w:p w14:paraId="05A169AF" w14:textId="222A8B24" w:rsidR="00523088" w:rsidRDefault="00523088" w:rsidP="00523088">
      <w:pPr>
        <w:pStyle w:val="BodyText"/>
        <w:rPr>
          <w:lang w:eastAsia="en-US"/>
        </w:rPr>
      </w:pPr>
      <w:r>
        <w:rPr>
          <w:lang w:eastAsia="en-US"/>
        </w:rPr>
        <w:t xml:space="preserve">In addition to demonstrating this commitment through direct investment over the next five years in priority areas including stormwater harvesting, Melbourne Water has continued to influence and support broader strategic changes to policy, planning and regulation that will enable broader </w:t>
      </w:r>
      <w:r w:rsidR="0030196D">
        <w:rPr>
          <w:lang w:eastAsia="en-US"/>
        </w:rPr>
        <w:t>Integrated Water Management</w:t>
      </w:r>
      <w:r>
        <w:rPr>
          <w:lang w:eastAsia="en-US"/>
        </w:rPr>
        <w:t xml:space="preserve"> across the region.</w:t>
      </w:r>
    </w:p>
    <w:p w14:paraId="1C5FFF3F" w14:textId="77777777" w:rsidR="00523088" w:rsidRDefault="00523088" w:rsidP="00523088">
      <w:pPr>
        <w:pStyle w:val="Heading3"/>
      </w:pPr>
      <w:bookmarkStart w:id="291" w:name="_Toc89723008"/>
      <w:bookmarkStart w:id="292" w:name="_Toc90325951"/>
      <w:bookmarkStart w:id="293" w:name="_Toc93659357"/>
      <w:r>
        <w:t>Integrated Water Management forums</w:t>
      </w:r>
      <w:bookmarkEnd w:id="291"/>
      <w:bookmarkEnd w:id="292"/>
      <w:bookmarkEnd w:id="293"/>
    </w:p>
    <w:p w14:paraId="23D8B1E6" w14:textId="114DD422" w:rsidR="00523088" w:rsidRDefault="00523088" w:rsidP="00523088">
      <w:pPr>
        <w:pStyle w:val="BodyText"/>
        <w:rPr>
          <w:lang w:eastAsia="en-US"/>
        </w:rPr>
      </w:pPr>
      <w:r>
        <w:rPr>
          <w:lang w:eastAsia="en-US"/>
        </w:rPr>
        <w:t xml:space="preserve">The Victorian Government’s water policy, Water for Victoria, commits to putting </w:t>
      </w:r>
      <w:r w:rsidR="0030196D">
        <w:rPr>
          <w:lang w:eastAsia="en-US"/>
        </w:rPr>
        <w:t>Integrated Water Management</w:t>
      </w:r>
      <w:r>
        <w:rPr>
          <w:lang w:eastAsia="en-US"/>
        </w:rPr>
        <w:t xml:space="preserve"> into practice and ensuring community values and local opportunities are embedded in water planning. Bringing together state and local government agencies and other stakeholders, they support prioritisation for work and investment to collectively protect waterways, reduce demands on the potable network, better manage flooding risks, and create a diverse water portfolio in an uncertain future.</w:t>
      </w:r>
    </w:p>
    <w:p w14:paraId="69A38005" w14:textId="330882AB" w:rsidR="00B26655" w:rsidRDefault="00523088" w:rsidP="00523088">
      <w:pPr>
        <w:pStyle w:val="BodyText"/>
        <w:rPr>
          <w:lang w:eastAsia="en-US"/>
        </w:rPr>
      </w:pPr>
      <w:r>
        <w:rPr>
          <w:lang w:eastAsia="en-US"/>
        </w:rPr>
        <w:t xml:space="preserve">During 2020-21, Melbourne Water participated in 17 </w:t>
      </w:r>
      <w:r w:rsidR="0030196D">
        <w:rPr>
          <w:lang w:eastAsia="en-US"/>
        </w:rPr>
        <w:t>Department of Environment, Land, Water and Planning</w:t>
      </w:r>
      <w:r w:rsidR="00851CD0">
        <w:rPr>
          <w:lang w:eastAsia="en-US"/>
        </w:rPr>
        <w:t>-</w:t>
      </w:r>
      <w:r>
        <w:rPr>
          <w:lang w:eastAsia="en-US"/>
        </w:rPr>
        <w:t xml:space="preserve">led </w:t>
      </w:r>
      <w:r w:rsidR="0030196D">
        <w:rPr>
          <w:lang w:eastAsia="en-US"/>
        </w:rPr>
        <w:t>Integrated Water Management</w:t>
      </w:r>
      <w:r w:rsidR="00851CD0">
        <w:rPr>
          <w:lang w:eastAsia="en-US"/>
        </w:rPr>
        <w:t xml:space="preserve"> </w:t>
      </w:r>
      <w:r>
        <w:rPr>
          <w:lang w:eastAsia="en-US"/>
        </w:rPr>
        <w:t>forums and</w:t>
      </w:r>
      <w:r w:rsidR="00851CD0">
        <w:rPr>
          <w:lang w:eastAsia="en-US"/>
        </w:rPr>
        <w:t xml:space="preserve"> </w:t>
      </w:r>
      <w:r>
        <w:rPr>
          <w:lang w:eastAsia="en-US"/>
        </w:rPr>
        <w:t>working</w:t>
      </w:r>
      <w:r w:rsidR="00851CD0">
        <w:rPr>
          <w:lang w:eastAsia="en-US"/>
        </w:rPr>
        <w:t xml:space="preserve"> </w:t>
      </w:r>
      <w:r>
        <w:rPr>
          <w:lang w:eastAsia="en-US"/>
        </w:rPr>
        <w:t>group meetings</w:t>
      </w:r>
      <w:r w:rsidR="00851CD0">
        <w:rPr>
          <w:lang w:eastAsia="en-US"/>
        </w:rPr>
        <w:t xml:space="preserve"> </w:t>
      </w:r>
      <w:r>
        <w:rPr>
          <w:lang w:eastAsia="en-US"/>
        </w:rPr>
        <w:t>across</w:t>
      </w:r>
      <w:r w:rsidR="00851CD0">
        <w:rPr>
          <w:lang w:eastAsia="en-US"/>
        </w:rPr>
        <w:t xml:space="preserve"> </w:t>
      </w:r>
      <w:r>
        <w:rPr>
          <w:lang w:eastAsia="en-US"/>
        </w:rPr>
        <w:t>the</w:t>
      </w:r>
      <w:r w:rsidR="00851CD0">
        <w:rPr>
          <w:lang w:eastAsia="en-US"/>
        </w:rPr>
        <w:t xml:space="preserve"> </w:t>
      </w:r>
      <w:r>
        <w:rPr>
          <w:lang w:eastAsia="en-US"/>
        </w:rPr>
        <w:t>Port</w:t>
      </w:r>
      <w:r w:rsidR="00851CD0">
        <w:rPr>
          <w:lang w:eastAsia="en-US"/>
        </w:rPr>
        <w:t xml:space="preserve"> </w:t>
      </w:r>
      <w:r>
        <w:rPr>
          <w:lang w:eastAsia="en-US"/>
        </w:rPr>
        <w:t>Phillip</w:t>
      </w:r>
      <w:r w:rsidR="00851CD0">
        <w:rPr>
          <w:lang w:eastAsia="en-US"/>
        </w:rPr>
        <w:t xml:space="preserve"> </w:t>
      </w:r>
      <w:r>
        <w:rPr>
          <w:lang w:eastAsia="en-US"/>
        </w:rPr>
        <w:t>and</w:t>
      </w:r>
      <w:r w:rsidR="00851CD0">
        <w:rPr>
          <w:lang w:eastAsia="en-US"/>
        </w:rPr>
        <w:t xml:space="preserve"> </w:t>
      </w:r>
      <w:r>
        <w:rPr>
          <w:lang w:eastAsia="en-US"/>
        </w:rPr>
        <w:t>Westernport</w:t>
      </w:r>
      <w:r w:rsidR="00851CD0">
        <w:rPr>
          <w:lang w:eastAsia="en-US"/>
        </w:rPr>
        <w:t xml:space="preserve"> </w:t>
      </w:r>
      <w:r>
        <w:rPr>
          <w:lang w:eastAsia="en-US"/>
        </w:rPr>
        <w:t>regions.</w:t>
      </w:r>
      <w:r w:rsidR="00851CD0">
        <w:rPr>
          <w:lang w:eastAsia="en-US"/>
        </w:rPr>
        <w:t xml:space="preserve"> </w:t>
      </w:r>
      <w:r>
        <w:rPr>
          <w:lang w:eastAsia="en-US"/>
        </w:rPr>
        <w:t>The</w:t>
      </w:r>
      <w:r w:rsidR="00851CD0">
        <w:rPr>
          <w:lang w:eastAsia="en-US"/>
        </w:rPr>
        <w:t xml:space="preserve"> </w:t>
      </w:r>
      <w:r>
        <w:rPr>
          <w:lang w:eastAsia="en-US"/>
        </w:rPr>
        <w:t>focus this</w:t>
      </w:r>
      <w:r w:rsidR="00851CD0">
        <w:rPr>
          <w:lang w:eastAsia="en-US"/>
        </w:rPr>
        <w:t xml:space="preserve"> </w:t>
      </w:r>
      <w:r>
        <w:rPr>
          <w:lang w:eastAsia="en-US"/>
        </w:rPr>
        <w:t>year</w:t>
      </w:r>
      <w:r w:rsidR="00851CD0">
        <w:rPr>
          <w:lang w:eastAsia="en-US"/>
        </w:rPr>
        <w:t xml:space="preserve"> </w:t>
      </w:r>
      <w:r>
        <w:rPr>
          <w:lang w:eastAsia="en-US"/>
        </w:rPr>
        <w:t>was on</w:t>
      </w:r>
      <w:r w:rsidR="00851CD0">
        <w:rPr>
          <w:lang w:eastAsia="en-US"/>
        </w:rPr>
        <w:t xml:space="preserve"> </w:t>
      </w:r>
      <w:r>
        <w:rPr>
          <w:lang w:eastAsia="en-US"/>
        </w:rPr>
        <w:t>progressing the</w:t>
      </w:r>
      <w:r w:rsidR="00851CD0">
        <w:rPr>
          <w:lang w:eastAsia="en-US"/>
        </w:rPr>
        <w:t xml:space="preserve"> </w:t>
      </w:r>
      <w:r>
        <w:rPr>
          <w:lang w:eastAsia="en-US"/>
        </w:rPr>
        <w:t>development of</w:t>
      </w:r>
      <w:r w:rsidR="00851CD0">
        <w:rPr>
          <w:lang w:eastAsia="en-US"/>
        </w:rPr>
        <w:t xml:space="preserve"> </w:t>
      </w:r>
      <w:r>
        <w:rPr>
          <w:lang w:eastAsia="en-US"/>
        </w:rPr>
        <w:t>catchment-scale</w:t>
      </w:r>
      <w:r w:rsidR="00851CD0">
        <w:rPr>
          <w:lang w:eastAsia="en-US"/>
        </w:rPr>
        <w:t xml:space="preserve"> </w:t>
      </w:r>
      <w:r>
        <w:rPr>
          <w:lang w:eastAsia="en-US"/>
        </w:rPr>
        <w:t>integrated</w:t>
      </w:r>
      <w:r w:rsidR="00851CD0">
        <w:rPr>
          <w:lang w:eastAsia="en-US"/>
        </w:rPr>
        <w:t xml:space="preserve"> </w:t>
      </w:r>
      <w:r>
        <w:rPr>
          <w:lang w:eastAsia="en-US"/>
        </w:rPr>
        <w:t>water management (CSIWM) plans</w:t>
      </w:r>
      <w:r w:rsidR="00851CD0">
        <w:rPr>
          <w:lang w:eastAsia="en-US"/>
        </w:rPr>
        <w:t xml:space="preserve"> </w:t>
      </w:r>
      <w:r>
        <w:rPr>
          <w:lang w:eastAsia="en-US"/>
        </w:rPr>
        <w:t>for each</w:t>
      </w:r>
      <w:r w:rsidR="00851CD0">
        <w:rPr>
          <w:lang w:eastAsia="en-US"/>
        </w:rPr>
        <w:t xml:space="preserve"> </w:t>
      </w:r>
      <w:r>
        <w:rPr>
          <w:lang w:eastAsia="en-US"/>
        </w:rPr>
        <w:t>catchment,</w:t>
      </w:r>
      <w:r w:rsidR="00851CD0">
        <w:rPr>
          <w:lang w:eastAsia="en-US"/>
        </w:rPr>
        <w:t xml:space="preserve"> </w:t>
      </w:r>
      <w:r>
        <w:rPr>
          <w:lang w:eastAsia="en-US"/>
        </w:rPr>
        <w:t xml:space="preserve">including </w:t>
      </w:r>
      <w:r w:rsidR="0030196D">
        <w:rPr>
          <w:lang w:eastAsia="en-US"/>
        </w:rPr>
        <w:t>Integrated Water Management</w:t>
      </w:r>
      <w:r w:rsidR="00851CD0">
        <w:rPr>
          <w:lang w:eastAsia="en-US"/>
        </w:rPr>
        <w:t xml:space="preserve"> </w:t>
      </w:r>
      <w:r>
        <w:rPr>
          <w:lang w:eastAsia="en-US"/>
        </w:rPr>
        <w:t>targets</w:t>
      </w:r>
      <w:r w:rsidR="00851CD0">
        <w:rPr>
          <w:lang w:eastAsia="en-US"/>
        </w:rPr>
        <w:t xml:space="preserve"> </w:t>
      </w:r>
      <w:r>
        <w:rPr>
          <w:lang w:eastAsia="en-US"/>
        </w:rPr>
        <w:t>for 2030 and 2050.</w:t>
      </w:r>
      <w:r w:rsidR="00851CD0">
        <w:rPr>
          <w:lang w:eastAsia="en-US"/>
        </w:rPr>
        <w:t xml:space="preserve"> </w:t>
      </w:r>
      <w:r>
        <w:rPr>
          <w:lang w:eastAsia="en-US"/>
        </w:rPr>
        <w:t>Setting</w:t>
      </w:r>
      <w:r w:rsidR="00851CD0">
        <w:rPr>
          <w:lang w:eastAsia="en-US"/>
        </w:rPr>
        <w:t xml:space="preserve"> </w:t>
      </w:r>
      <w:r>
        <w:rPr>
          <w:lang w:eastAsia="en-US"/>
        </w:rPr>
        <w:t>targets aims</w:t>
      </w:r>
      <w:r w:rsidR="00851CD0">
        <w:rPr>
          <w:lang w:eastAsia="en-US"/>
        </w:rPr>
        <w:t xml:space="preserve"> </w:t>
      </w:r>
      <w:r>
        <w:rPr>
          <w:lang w:eastAsia="en-US"/>
        </w:rPr>
        <w:t>to</w:t>
      </w:r>
      <w:r w:rsidR="00851CD0">
        <w:rPr>
          <w:lang w:eastAsia="en-US"/>
        </w:rPr>
        <w:t xml:space="preserve"> </w:t>
      </w:r>
      <w:r>
        <w:rPr>
          <w:lang w:eastAsia="en-US"/>
        </w:rPr>
        <w:t>increase</w:t>
      </w:r>
      <w:r w:rsidR="00851CD0">
        <w:rPr>
          <w:lang w:eastAsia="en-US"/>
        </w:rPr>
        <w:t xml:space="preserve"> </w:t>
      </w:r>
      <w:r>
        <w:rPr>
          <w:lang w:eastAsia="en-US"/>
        </w:rPr>
        <w:t>the adoption</w:t>
      </w:r>
      <w:r w:rsidR="00851CD0">
        <w:rPr>
          <w:lang w:eastAsia="en-US"/>
        </w:rPr>
        <w:t xml:space="preserve"> </w:t>
      </w:r>
      <w:r>
        <w:rPr>
          <w:lang w:eastAsia="en-US"/>
        </w:rPr>
        <w:t xml:space="preserve">of </w:t>
      </w:r>
      <w:r w:rsidR="0030196D">
        <w:rPr>
          <w:lang w:eastAsia="en-US"/>
        </w:rPr>
        <w:t>Integrated Water Management</w:t>
      </w:r>
      <w:r>
        <w:rPr>
          <w:lang w:eastAsia="en-US"/>
        </w:rPr>
        <w:t xml:space="preserve"> and embed its</w:t>
      </w:r>
      <w:r w:rsidR="00851CD0">
        <w:rPr>
          <w:lang w:eastAsia="en-US"/>
        </w:rPr>
        <w:t xml:space="preserve"> </w:t>
      </w:r>
      <w:r>
        <w:rPr>
          <w:lang w:eastAsia="en-US"/>
        </w:rPr>
        <w:t>delivery as</w:t>
      </w:r>
      <w:r w:rsidR="00851CD0">
        <w:rPr>
          <w:lang w:eastAsia="en-US"/>
        </w:rPr>
        <w:t xml:space="preserve"> </w:t>
      </w:r>
      <w:r>
        <w:rPr>
          <w:lang w:eastAsia="en-US"/>
        </w:rPr>
        <w:t>‘business as usual’</w:t>
      </w:r>
      <w:r w:rsidR="00851CD0">
        <w:rPr>
          <w:lang w:eastAsia="en-US"/>
        </w:rPr>
        <w:t xml:space="preserve"> </w:t>
      </w:r>
      <w:r>
        <w:rPr>
          <w:lang w:eastAsia="en-US"/>
        </w:rPr>
        <w:t>practice.</w:t>
      </w:r>
    </w:p>
    <w:p w14:paraId="420F03E4" w14:textId="27D007E3" w:rsidR="00851CD0" w:rsidRDefault="00851CD0" w:rsidP="00851CD0">
      <w:pPr>
        <w:pStyle w:val="Heading3"/>
      </w:pPr>
      <w:bookmarkStart w:id="294" w:name="_Toc89723009"/>
      <w:bookmarkStart w:id="295" w:name="_Toc90325952"/>
      <w:bookmarkStart w:id="296" w:name="_Toc93659358"/>
      <w:r>
        <w:t>Investigating city-scale alternative water networks</w:t>
      </w:r>
      <w:bookmarkEnd w:id="294"/>
      <w:bookmarkEnd w:id="295"/>
      <w:bookmarkEnd w:id="296"/>
    </w:p>
    <w:p w14:paraId="79461E2C" w14:textId="02BBD938" w:rsidR="00851CD0" w:rsidRDefault="00851CD0" w:rsidP="00851CD0">
      <w:pPr>
        <w:pStyle w:val="BodyText"/>
        <w:rPr>
          <w:lang w:eastAsia="en-US"/>
        </w:rPr>
      </w:pPr>
      <w:r>
        <w:rPr>
          <w:lang w:eastAsia="en-US"/>
        </w:rPr>
        <w:t xml:space="preserve">Melbourne Water is supporting </w:t>
      </w:r>
      <w:r w:rsidR="0030196D">
        <w:rPr>
          <w:lang w:eastAsia="en-US"/>
        </w:rPr>
        <w:t>Department of Environment, Land, Water and Planning</w:t>
      </w:r>
      <w:r>
        <w:rPr>
          <w:lang w:eastAsia="en-US"/>
        </w:rPr>
        <w:t xml:space="preserve"> and other </w:t>
      </w:r>
      <w:r w:rsidR="0030196D">
        <w:rPr>
          <w:lang w:eastAsia="en-US"/>
        </w:rPr>
        <w:t>Integrated Water Management</w:t>
      </w:r>
      <w:r>
        <w:rPr>
          <w:lang w:eastAsia="en-US"/>
        </w:rPr>
        <w:t xml:space="preserve"> Forum members in a collaborative investigation to assess citywide alternative water networks (ACAWN). The purpose of the project is to investigate the economic viability of city-scale alternative water networks, to contribute towards greater reuse of recycled water and stormwater in our suburbs, aiming to create a more liveable and resilient Melbourne. The project has assessed a range of options for such a network at a conceptual level to help meet future water demands under different climate change and population growth scenarios.</w:t>
      </w:r>
    </w:p>
    <w:p w14:paraId="08F5321D" w14:textId="64C8A31D" w:rsidR="00851CD0" w:rsidRDefault="00851CD0" w:rsidP="00851CD0">
      <w:pPr>
        <w:pStyle w:val="BodyText"/>
        <w:rPr>
          <w:lang w:eastAsia="en-US"/>
        </w:rPr>
      </w:pPr>
      <w:r>
        <w:rPr>
          <w:lang w:eastAsia="en-US"/>
        </w:rPr>
        <w:t xml:space="preserve">Concepts include using large-scale recycled water and stormwater to supply future non-drinking household water demand to reduce reliance on potable water, increase liveability through irrigated open space for cooling and shading, and supply agricultural demand for more reliable and secure food supply. The project’s outcomes will help to inform the work of the </w:t>
      </w:r>
      <w:r w:rsidR="0030196D">
        <w:rPr>
          <w:lang w:eastAsia="en-US"/>
        </w:rPr>
        <w:t>Integrated Water Management</w:t>
      </w:r>
      <w:r>
        <w:rPr>
          <w:lang w:eastAsia="en-US"/>
        </w:rPr>
        <w:t xml:space="preserve"> Forums and the </w:t>
      </w:r>
      <w:r w:rsidRPr="00851CD0">
        <w:rPr>
          <w:rStyle w:val="ItalicText"/>
          <w:lang w:eastAsia="en-US"/>
        </w:rPr>
        <w:t>Greater Melbourne Urban</w:t>
      </w:r>
      <w:r w:rsidRPr="00851CD0">
        <w:rPr>
          <w:rStyle w:val="ItalicText"/>
        </w:rPr>
        <w:t xml:space="preserve"> </w:t>
      </w:r>
      <w:r w:rsidRPr="00851CD0">
        <w:rPr>
          <w:rStyle w:val="ItalicText"/>
          <w:lang w:eastAsia="en-US"/>
        </w:rPr>
        <w:t>Water System Strategy</w:t>
      </w:r>
      <w:r>
        <w:rPr>
          <w:lang w:eastAsia="en-US"/>
        </w:rPr>
        <w:t>.</w:t>
      </w:r>
    </w:p>
    <w:p w14:paraId="55243ADF" w14:textId="53B09A50" w:rsidR="00851CD0" w:rsidRDefault="00851CD0" w:rsidP="00851CD0">
      <w:pPr>
        <w:pStyle w:val="Heading3"/>
      </w:pPr>
      <w:bookmarkStart w:id="297" w:name="_Toc89723010"/>
      <w:bookmarkStart w:id="298" w:name="_Toc90325953"/>
      <w:bookmarkStart w:id="299" w:name="_Toc93659359"/>
      <w:r>
        <w:t>Integrated Water Management capacity building and education with Clearwater</w:t>
      </w:r>
      <w:bookmarkEnd w:id="297"/>
      <w:bookmarkEnd w:id="298"/>
      <w:bookmarkEnd w:id="299"/>
    </w:p>
    <w:p w14:paraId="5C5B3524" w14:textId="2E53F64F" w:rsidR="00851CD0" w:rsidRDefault="00851CD0" w:rsidP="00851CD0">
      <w:pPr>
        <w:pStyle w:val="BodyText"/>
        <w:rPr>
          <w:lang w:eastAsia="en-US"/>
        </w:rPr>
      </w:pPr>
      <w:r>
        <w:rPr>
          <w:lang w:eastAsia="en-US"/>
        </w:rPr>
        <w:t>Established in 2002, the Clearwater program aims to improve the quality of Victoria’s water environments by better managing urban stormwater and ensuring industry makes use of the latest technical and scientific information. Clearwater helps professionals, organisations and the sector take an integrated approach to water management through network building, specialised training workshops, guided technical tours and other knowledge-sharing activities.</w:t>
      </w:r>
    </w:p>
    <w:p w14:paraId="7C8158B9" w14:textId="5022B841" w:rsidR="00851CD0" w:rsidRDefault="00851CD0" w:rsidP="00851CD0">
      <w:pPr>
        <w:pStyle w:val="BodyText"/>
        <w:rPr>
          <w:lang w:eastAsia="en-US"/>
        </w:rPr>
      </w:pPr>
      <w:r>
        <w:rPr>
          <w:lang w:eastAsia="en-US"/>
        </w:rPr>
        <w:t xml:space="preserve">Due to </w:t>
      </w:r>
      <w:r w:rsidR="0030196D">
        <w:t>COVID</w:t>
      </w:r>
      <w:r w:rsidR="0030196D">
        <w:noBreakHyphen/>
        <w:t>19</w:t>
      </w:r>
      <w:r>
        <w:rPr>
          <w:lang w:eastAsia="en-US"/>
        </w:rPr>
        <w:t xml:space="preserve"> restrictions, all Clearwater events in 202021 transitioned to online delivery, enabling the program to support a broader geographic audience. Along with our capacity building events program and regional Victorian support through stormwater management training and education videos, Clearwater also partially funded three Water Leadership Program scholarships (one of which is dedicated to emerging Indigenous water leaders). In March 2021, a digital decision-making tool was developed in partnership with </w:t>
      </w:r>
      <w:r w:rsidR="0030196D">
        <w:rPr>
          <w:lang w:eastAsia="en-US"/>
        </w:rPr>
        <w:t>Department of Environment, Land, Water and Planning</w:t>
      </w:r>
      <w:r>
        <w:rPr>
          <w:lang w:eastAsia="en-US"/>
        </w:rPr>
        <w:t xml:space="preserve"> to identify applicable statewide stormwater planning provisions to assist local planning authorities and other stakeholders.</w:t>
      </w:r>
    </w:p>
    <w:p w14:paraId="655DEC0C" w14:textId="2C2914C0" w:rsidR="00851CD0" w:rsidRDefault="00851CD0" w:rsidP="00851CD0">
      <w:pPr>
        <w:pStyle w:val="PullBox"/>
      </w:pPr>
      <w:r w:rsidRPr="00920E0E">
        <w:lastRenderedPageBreak/>
        <w:t>30 hectares of urban cooling: cooler, greener environments</w:t>
      </w:r>
    </w:p>
    <w:p w14:paraId="2B35ACA6" w14:textId="25AD15E9" w:rsidR="00855D9E" w:rsidRDefault="00855D9E" w:rsidP="00855D9E">
      <w:pPr>
        <w:pStyle w:val="Heading3"/>
      </w:pPr>
      <w:bookmarkStart w:id="300" w:name="_Toc89723011"/>
      <w:bookmarkStart w:id="301" w:name="_Ref89811459"/>
      <w:bookmarkStart w:id="302" w:name="_Toc90325954"/>
      <w:bookmarkStart w:id="303" w:name="_Toc93659360"/>
      <w:r>
        <w:t>Future investment in stormwater catchments</w:t>
      </w:r>
      <w:bookmarkEnd w:id="300"/>
      <w:bookmarkEnd w:id="301"/>
      <w:bookmarkEnd w:id="302"/>
      <w:bookmarkEnd w:id="303"/>
    </w:p>
    <w:p w14:paraId="358C0C2F" w14:textId="4543C233" w:rsidR="00855D9E" w:rsidRDefault="00855D9E" w:rsidP="00855D9E">
      <w:pPr>
        <w:pStyle w:val="BodyText"/>
        <w:rPr>
          <w:lang w:eastAsia="en-US"/>
        </w:rPr>
      </w:pPr>
      <w:r>
        <w:rPr>
          <w:lang w:eastAsia="en-US"/>
        </w:rPr>
        <w:t>This year Melbourne Water ran a pilot to assist with the prioritisation of future investment opportunities for stormwater catchments. Our Stormwater Investment Prioritisation Tool and Framework is a decision-making support tool that uses spatial data to identify priority catchments for investment, screen potential interventions and evaluate comparative capital works programs.</w:t>
      </w:r>
    </w:p>
    <w:p w14:paraId="7D302F27" w14:textId="4711685A" w:rsidR="00855D9E" w:rsidRDefault="00855D9E" w:rsidP="00855D9E">
      <w:pPr>
        <w:pStyle w:val="BodyText"/>
        <w:rPr>
          <w:lang w:eastAsia="en-US"/>
        </w:rPr>
      </w:pPr>
      <w:r>
        <w:rPr>
          <w:lang w:eastAsia="en-US"/>
        </w:rPr>
        <w:t xml:space="preserve">The study provides insight into how harvested stormwater projects might be rolled out on a broad scale in areas that are currently under development, and supports planning for stormwater interventions that meet the </w:t>
      </w:r>
      <w:r w:rsidRPr="00855D9E">
        <w:rPr>
          <w:rStyle w:val="ItalicText"/>
          <w:lang w:eastAsia="en-US"/>
        </w:rPr>
        <w:t>Healthy Waterway</w:t>
      </w:r>
      <w:r w:rsidRPr="00855D9E">
        <w:rPr>
          <w:rStyle w:val="ItalicText"/>
        </w:rPr>
        <w:t xml:space="preserve"> </w:t>
      </w:r>
      <w:r w:rsidRPr="00855D9E">
        <w:rPr>
          <w:rStyle w:val="ItalicText"/>
          <w:lang w:eastAsia="en-US"/>
        </w:rPr>
        <w:t>Strategy</w:t>
      </w:r>
      <w:r>
        <w:rPr>
          <w:lang w:eastAsia="en-US"/>
        </w:rPr>
        <w:t xml:space="preserve"> performance objectives. Ten investigation areas are being prioritised for further investigation and investment. These are a combination of greenfield locations in residential growth corridors and areas of high environmental value where low rates of development provide the opportunity for Melbourne Water to influence and create desirable environmental outcomes.</w:t>
      </w:r>
    </w:p>
    <w:p w14:paraId="3C8DF5F0" w14:textId="77777777" w:rsidR="00855D9E" w:rsidRDefault="00855D9E" w:rsidP="00855D9E">
      <w:pPr>
        <w:pStyle w:val="Heading3"/>
      </w:pPr>
      <w:bookmarkStart w:id="304" w:name="_Toc89723012"/>
      <w:bookmarkStart w:id="305" w:name="_Toc90325955"/>
      <w:bookmarkStart w:id="306" w:name="_Toc93659361"/>
      <w:r>
        <w:t>Creating cooler, greener environments</w:t>
      </w:r>
      <w:bookmarkEnd w:id="304"/>
      <w:bookmarkEnd w:id="305"/>
      <w:bookmarkEnd w:id="306"/>
    </w:p>
    <w:p w14:paraId="05D7DE30" w14:textId="15E376A5" w:rsidR="00855D9E" w:rsidRDefault="00855D9E" w:rsidP="00855D9E">
      <w:pPr>
        <w:pStyle w:val="BodyText"/>
        <w:rPr>
          <w:lang w:eastAsia="en-US"/>
        </w:rPr>
      </w:pPr>
      <w:r>
        <w:rPr>
          <w:lang w:eastAsia="en-US"/>
        </w:rPr>
        <w:t>As our climate becomes hotter and drier, the need for creative urban cooling strategies becomes essential to offset the urban heat island effect where hard surfaces absorb, store and radiate heat creating hotspots in the urban landscape. Melbourne Water has planted 350 eucalypts and 4000 native shrubs alongside the Edithvale-Seaford Wetland, 170 established river red gums and 12,500 native shrubs at Jacana Wetland, and 250 established trees and 1180 native shrubs at three Maribyrnong River sites, contributing to 30 hectares of urban cooling as part of our Waterways and Drainage Investment Plan target.</w:t>
      </w:r>
    </w:p>
    <w:p w14:paraId="00E64958" w14:textId="6355470D" w:rsidR="00855D9E" w:rsidRDefault="00855D9E" w:rsidP="00855D9E">
      <w:pPr>
        <w:pStyle w:val="BodyText"/>
        <w:rPr>
          <w:lang w:eastAsia="en-US"/>
        </w:rPr>
      </w:pPr>
      <w:r>
        <w:rPr>
          <w:lang w:eastAsia="en-US"/>
        </w:rPr>
        <w:t>We developed an Urban Cooling Data Dashboard to support more strategic, informed decisions about where to prioritise shade and cooling investment on Melbourne Water land and along waterways across greater Melbourne. This enables the identification and prioritisation of locations or projects based on a number of geospatial factors, including the size of the benefitting population surrounding the site, heat vulnerability of the people living nearby, the potential cooling that can be achieved, and the opportunity for co-benefits with other projects or partners.</w:t>
      </w:r>
    </w:p>
    <w:p w14:paraId="3F0DD3DB" w14:textId="0DBD1A19" w:rsidR="00851CD0" w:rsidRDefault="00855D9E" w:rsidP="00855D9E">
      <w:pPr>
        <w:pStyle w:val="BodyText"/>
        <w:rPr>
          <w:lang w:eastAsia="en-US"/>
        </w:rPr>
      </w:pPr>
      <w:r>
        <w:rPr>
          <w:lang w:eastAsia="en-US"/>
        </w:rPr>
        <w:t>The dashboard will assist in facilitating partnerships, particularly with local councils interested in using Melbourne Water-owned land to deliver on their urban forest and cooling strategies.</w:t>
      </w:r>
    </w:p>
    <w:p w14:paraId="0B39FFA3" w14:textId="6F666989" w:rsidR="00855D9E" w:rsidRDefault="00855D9E" w:rsidP="00855D9E">
      <w:pPr>
        <w:pStyle w:val="Heading3"/>
      </w:pPr>
      <w:bookmarkStart w:id="307" w:name="_Toc89723013"/>
      <w:bookmarkStart w:id="308" w:name="_Ref89811308"/>
      <w:bookmarkStart w:id="309" w:name="_Toc90325956"/>
      <w:bookmarkStart w:id="310" w:name="_Toc93659362"/>
      <w:r>
        <w:t>Increasing recreational use of Melbourne’s waterways</w:t>
      </w:r>
      <w:bookmarkEnd w:id="307"/>
      <w:bookmarkEnd w:id="308"/>
      <w:bookmarkEnd w:id="309"/>
      <w:bookmarkEnd w:id="310"/>
    </w:p>
    <w:p w14:paraId="09CF8ACD" w14:textId="5B2A842C" w:rsidR="00855D9E" w:rsidRDefault="00855D9E" w:rsidP="00855D9E">
      <w:pPr>
        <w:pStyle w:val="BodyText"/>
        <w:rPr>
          <w:lang w:eastAsia="en-US"/>
        </w:rPr>
      </w:pPr>
      <w:r>
        <w:rPr>
          <w:lang w:eastAsia="en-US"/>
        </w:rPr>
        <w:t xml:space="preserve">Melbourne Water is committed to improving accessibility for the public to enjoy and use our waterways across four waterways catchments, as part of the </w:t>
      </w:r>
      <w:r w:rsidRPr="00855D9E">
        <w:rPr>
          <w:rStyle w:val="ItalicText"/>
          <w:lang w:eastAsia="en-US"/>
        </w:rPr>
        <w:t>Healthy Waterways</w:t>
      </w:r>
      <w:r w:rsidRPr="00855D9E">
        <w:rPr>
          <w:rStyle w:val="ItalicText"/>
        </w:rPr>
        <w:t xml:space="preserve"> </w:t>
      </w:r>
      <w:r w:rsidRPr="00855D9E">
        <w:rPr>
          <w:rStyle w:val="ItalicText"/>
          <w:lang w:eastAsia="en-US"/>
        </w:rPr>
        <w:t>Strategy</w:t>
      </w:r>
      <w:r>
        <w:rPr>
          <w:lang w:eastAsia="en-US"/>
        </w:rPr>
        <w:t xml:space="preserve"> and Yarra Strategic Plan. We have partnered with recreational managers across Melbourne to deliver on-water recreation.</w:t>
      </w:r>
    </w:p>
    <w:p w14:paraId="69755CE0" w14:textId="2302795D" w:rsidR="00855D9E" w:rsidRDefault="00855D9E" w:rsidP="00855D9E">
      <w:pPr>
        <w:pStyle w:val="BodyText"/>
        <w:rPr>
          <w:lang w:eastAsia="en-US"/>
        </w:rPr>
      </w:pPr>
      <w:r>
        <w:rPr>
          <w:lang w:eastAsia="en-US"/>
        </w:rPr>
        <w:t xml:space="preserve">In the Yarra River catchment, we partnered with Manningham City Council, Parks Victoria and Paddle Victoria to design and deliver improvements for the Regional Paddle Sports Centre at Westerfolds Park and other locations (for example, Finns Reserve). We have also been collaborating with </w:t>
      </w:r>
      <w:r w:rsidR="0030196D">
        <w:rPr>
          <w:lang w:eastAsia="en-US"/>
        </w:rPr>
        <w:t>Department of Environment, Land, Water and Planning</w:t>
      </w:r>
      <w:r>
        <w:rPr>
          <w:lang w:eastAsia="en-US"/>
        </w:rPr>
        <w:t>, Parks Victoria and Wyndham City Council to design and deliver new safe access structures on the Werribee River.</w:t>
      </w:r>
    </w:p>
    <w:p w14:paraId="7CAA6E2D" w14:textId="03ED9DF5" w:rsidR="00855D9E" w:rsidRDefault="00855D9E" w:rsidP="00855D9E">
      <w:pPr>
        <w:pStyle w:val="BodyText"/>
        <w:rPr>
          <w:lang w:eastAsia="en-US"/>
        </w:rPr>
      </w:pPr>
      <w:r>
        <w:rPr>
          <w:lang w:eastAsia="en-US"/>
        </w:rPr>
        <w:t xml:space="preserve">Using </w:t>
      </w:r>
      <w:r w:rsidR="0030196D">
        <w:rPr>
          <w:lang w:eastAsia="en-US"/>
        </w:rPr>
        <w:t>Department of Environment, Land, Water and Planning</w:t>
      </w:r>
      <w:r>
        <w:rPr>
          <w:lang w:eastAsia="en-US"/>
        </w:rPr>
        <w:t xml:space="preserve"> funding as part of the Boosting Recreation</w:t>
      </w:r>
      <w:r w:rsidR="006D239B">
        <w:rPr>
          <w:lang w:eastAsia="en-US"/>
        </w:rPr>
        <w:t xml:space="preserve"> </w:t>
      </w:r>
      <w:r>
        <w:rPr>
          <w:lang w:eastAsia="en-US"/>
        </w:rPr>
        <w:t>Water Use Initiative, Melbourne Water aims to provide</w:t>
      </w:r>
      <w:r w:rsidR="006D239B">
        <w:rPr>
          <w:lang w:eastAsia="en-US"/>
        </w:rPr>
        <w:t xml:space="preserve"> </w:t>
      </w:r>
      <w:r>
        <w:rPr>
          <w:lang w:eastAsia="en-US"/>
        </w:rPr>
        <w:t>additional on-water recreation facilities at three locations to</w:t>
      </w:r>
      <w:r w:rsidR="006D239B">
        <w:rPr>
          <w:lang w:eastAsia="en-US"/>
        </w:rPr>
        <w:t xml:space="preserve"> </w:t>
      </w:r>
      <w:r>
        <w:rPr>
          <w:lang w:eastAsia="en-US"/>
        </w:rPr>
        <w:t>improve opportunities for the community to enjoy their local</w:t>
      </w:r>
      <w:r w:rsidR="006D239B">
        <w:rPr>
          <w:lang w:eastAsia="en-US"/>
        </w:rPr>
        <w:t xml:space="preserve"> </w:t>
      </w:r>
      <w:r>
        <w:rPr>
          <w:lang w:eastAsia="en-US"/>
        </w:rPr>
        <w:t xml:space="preserve">waterways. In 2020-21, the work included: </w:t>
      </w:r>
    </w:p>
    <w:p w14:paraId="3699C0BE" w14:textId="5E52C48B" w:rsidR="00855D9E" w:rsidRDefault="00855D9E" w:rsidP="00C778D6">
      <w:pPr>
        <w:pStyle w:val="ListBullet"/>
        <w:rPr>
          <w:lang w:eastAsia="en-US"/>
        </w:rPr>
      </w:pPr>
      <w:r>
        <w:rPr>
          <w:lang w:eastAsia="en-US"/>
        </w:rPr>
        <w:lastRenderedPageBreak/>
        <w:t>Moonee Ponds – a new pedestrian and cyclist bridge</w:t>
      </w:r>
      <w:r w:rsidR="006D239B">
        <w:rPr>
          <w:lang w:eastAsia="en-US"/>
        </w:rPr>
        <w:t xml:space="preserve"> </w:t>
      </w:r>
      <w:r>
        <w:rPr>
          <w:lang w:eastAsia="en-US"/>
        </w:rPr>
        <w:t>across Moonee Ponds Creek as well as shared path</w:t>
      </w:r>
      <w:r w:rsidR="006D239B">
        <w:rPr>
          <w:lang w:eastAsia="en-US"/>
        </w:rPr>
        <w:t xml:space="preserve"> </w:t>
      </w:r>
      <w:r>
        <w:rPr>
          <w:lang w:eastAsia="en-US"/>
        </w:rPr>
        <w:t>connections, informal path networks and revegetation</w:t>
      </w:r>
      <w:r w:rsidR="006D239B">
        <w:rPr>
          <w:lang w:eastAsia="en-US"/>
        </w:rPr>
        <w:t xml:space="preserve"> </w:t>
      </w:r>
      <w:r>
        <w:rPr>
          <w:lang w:eastAsia="en-US"/>
        </w:rPr>
        <w:t>and park amenity (seats, signage, etc.)</w:t>
      </w:r>
    </w:p>
    <w:p w14:paraId="20D73F95" w14:textId="4A96191E" w:rsidR="00855D9E" w:rsidRDefault="00855D9E" w:rsidP="00C778D6">
      <w:pPr>
        <w:pStyle w:val="ListBullet"/>
        <w:rPr>
          <w:lang w:eastAsia="en-US"/>
        </w:rPr>
      </w:pPr>
      <w:r>
        <w:rPr>
          <w:lang w:eastAsia="en-US"/>
        </w:rPr>
        <w:t>Maribyrnong River – a floating pontoon, BBQ facilities and</w:t>
      </w:r>
      <w:r w:rsidR="006D239B">
        <w:rPr>
          <w:lang w:eastAsia="en-US"/>
        </w:rPr>
        <w:t xml:space="preserve"> </w:t>
      </w:r>
      <w:r>
        <w:rPr>
          <w:lang w:eastAsia="en-US"/>
        </w:rPr>
        <w:t>shared pathway network delivered in collaboration with</w:t>
      </w:r>
      <w:r w:rsidR="006D239B">
        <w:rPr>
          <w:lang w:eastAsia="en-US"/>
        </w:rPr>
        <w:t xml:space="preserve"> </w:t>
      </w:r>
      <w:r>
        <w:rPr>
          <w:lang w:eastAsia="en-US"/>
        </w:rPr>
        <w:t>Maribyrnong City Council</w:t>
      </w:r>
    </w:p>
    <w:p w14:paraId="23B47D8D" w14:textId="75C67868" w:rsidR="00855D9E" w:rsidRDefault="00855D9E" w:rsidP="00C778D6">
      <w:pPr>
        <w:pStyle w:val="ListBullet"/>
        <w:rPr>
          <w:lang w:eastAsia="en-US"/>
        </w:rPr>
      </w:pPr>
      <w:r>
        <w:rPr>
          <w:lang w:eastAsia="en-US"/>
        </w:rPr>
        <w:t>Werribee River – multi-use platform and on-water</w:t>
      </w:r>
      <w:r w:rsidR="006D239B">
        <w:rPr>
          <w:lang w:eastAsia="en-US"/>
        </w:rPr>
        <w:t xml:space="preserve"> </w:t>
      </w:r>
      <w:r>
        <w:rPr>
          <w:lang w:eastAsia="en-US"/>
        </w:rPr>
        <w:t>recreation study to be delivered in collaboration with</w:t>
      </w:r>
      <w:r w:rsidR="006D239B">
        <w:rPr>
          <w:lang w:eastAsia="en-US"/>
        </w:rPr>
        <w:t xml:space="preserve"> </w:t>
      </w:r>
      <w:r>
        <w:rPr>
          <w:lang w:eastAsia="en-US"/>
        </w:rPr>
        <w:t>Parks Victoria and Wyndham City Council.</w:t>
      </w:r>
    </w:p>
    <w:p w14:paraId="7E08A83C" w14:textId="3584145C" w:rsidR="00B26655" w:rsidRDefault="00855D9E" w:rsidP="00855D9E">
      <w:pPr>
        <w:pStyle w:val="BodyText"/>
        <w:rPr>
          <w:lang w:eastAsia="en-US"/>
        </w:rPr>
      </w:pPr>
      <w:r>
        <w:rPr>
          <w:lang w:eastAsia="en-US"/>
        </w:rPr>
        <w:t>As we work to enhance recreation value for the community</w:t>
      </w:r>
      <w:r w:rsidR="006D239B">
        <w:rPr>
          <w:lang w:eastAsia="en-US"/>
        </w:rPr>
        <w:t xml:space="preserve"> </w:t>
      </w:r>
      <w:r>
        <w:rPr>
          <w:lang w:eastAsia="en-US"/>
        </w:rPr>
        <w:t>in our waterways, we are also investigating potential</w:t>
      </w:r>
      <w:r w:rsidR="006D239B">
        <w:rPr>
          <w:lang w:eastAsia="en-US"/>
        </w:rPr>
        <w:t xml:space="preserve"> </w:t>
      </w:r>
      <w:r>
        <w:rPr>
          <w:lang w:eastAsia="en-US"/>
        </w:rPr>
        <w:t>recreation opportunities at suitable reservoirs within our</w:t>
      </w:r>
      <w:r w:rsidR="006D239B">
        <w:rPr>
          <w:lang w:eastAsia="en-US"/>
        </w:rPr>
        <w:t xml:space="preserve"> </w:t>
      </w:r>
      <w:r>
        <w:rPr>
          <w:lang w:eastAsia="en-US"/>
        </w:rPr>
        <w:t>water supply network. To support this we have investigated</w:t>
      </w:r>
      <w:r w:rsidR="006D239B">
        <w:rPr>
          <w:lang w:eastAsia="en-US"/>
        </w:rPr>
        <w:t xml:space="preserve"> </w:t>
      </w:r>
      <w:r>
        <w:rPr>
          <w:lang w:eastAsia="en-US"/>
        </w:rPr>
        <w:t>a range of different management regime options at existing</w:t>
      </w:r>
      <w:r w:rsidR="006D239B">
        <w:rPr>
          <w:lang w:eastAsia="en-US"/>
        </w:rPr>
        <w:t xml:space="preserve"> </w:t>
      </w:r>
      <w:r>
        <w:rPr>
          <w:lang w:eastAsia="en-US"/>
        </w:rPr>
        <w:t>reservoir sites where public access is provided. We have also</w:t>
      </w:r>
      <w:r w:rsidR="006D239B">
        <w:rPr>
          <w:lang w:eastAsia="en-US"/>
        </w:rPr>
        <w:t xml:space="preserve"> </w:t>
      </w:r>
      <w:r>
        <w:rPr>
          <w:lang w:eastAsia="en-US"/>
        </w:rPr>
        <w:t>commenced early stakeholder engagement and are preparing</w:t>
      </w:r>
      <w:r w:rsidR="006D239B">
        <w:rPr>
          <w:lang w:eastAsia="en-US"/>
        </w:rPr>
        <w:t xml:space="preserve"> </w:t>
      </w:r>
      <w:r>
        <w:rPr>
          <w:lang w:eastAsia="en-US"/>
        </w:rPr>
        <w:t>to commence broader community consultation in late 2021.</w:t>
      </w:r>
    </w:p>
    <w:p w14:paraId="0BAA3EF2" w14:textId="77777777" w:rsidR="006D239B" w:rsidRDefault="006D239B" w:rsidP="006D239B">
      <w:pPr>
        <w:pStyle w:val="Heading3"/>
      </w:pPr>
      <w:bookmarkStart w:id="311" w:name="_Toc89723014"/>
      <w:bookmarkStart w:id="312" w:name="_Ref89811467"/>
      <w:bookmarkStart w:id="313" w:name="_Toc90325957"/>
      <w:bookmarkStart w:id="314" w:name="_Toc93659363"/>
      <w:r>
        <w:t>Reimagining Your Creek</w:t>
      </w:r>
      <w:bookmarkEnd w:id="311"/>
      <w:bookmarkEnd w:id="312"/>
      <w:bookmarkEnd w:id="313"/>
      <w:bookmarkEnd w:id="314"/>
    </w:p>
    <w:p w14:paraId="5E3E7BA6" w14:textId="5216591F" w:rsidR="006D239B" w:rsidRDefault="006D239B" w:rsidP="006D239B">
      <w:pPr>
        <w:pStyle w:val="BodyText"/>
        <w:rPr>
          <w:lang w:eastAsia="en-US"/>
        </w:rPr>
      </w:pPr>
      <w:r>
        <w:rPr>
          <w:lang w:eastAsia="en-US"/>
        </w:rPr>
        <w:t>Reimagining Your Creek is a multi-partner, multi-site program that transforms heavily engineered concrete channels and pipes into natural places the community can enjoy, with significant improvements in liveability and environmental outcomes. This is especially important in suburbs with limited natural or open space available for exercise, recreation and relaxation. Reimagining Your Creek uses a co-design approach with local communities to ensure we achieve the best liveability outcomes based on local knowledge, suggestions and values.</w:t>
      </w:r>
    </w:p>
    <w:p w14:paraId="4EC6C8E8" w14:textId="4207A4B7" w:rsidR="006D239B" w:rsidRDefault="006D239B" w:rsidP="006D239B">
      <w:pPr>
        <w:pStyle w:val="BodyText"/>
        <w:rPr>
          <w:lang w:eastAsia="en-US"/>
        </w:rPr>
      </w:pPr>
      <w:r>
        <w:rPr>
          <w:lang w:eastAsia="en-US"/>
        </w:rPr>
        <w:t>This year we completed the Blind Creek project, which naturalised 620 metres of underground drain, creating greater community access to a waterway and green open space to improve the liveability and wellbeing outcomes for the local community. The project improved the connection to local schools, recreational parks, sports ovals and the shopping centre by constructing shared pathways and supported Knox’s City Council’s delivery of a cycling strategy for the local community. The project received the prestigious Australian Institute of Landscape Architects (AILA) Victorian Award of Excellence for Infrastructure.</w:t>
      </w:r>
    </w:p>
    <w:p w14:paraId="06E9E103" w14:textId="53D57E8D" w:rsidR="003455F1" w:rsidRDefault="006D239B" w:rsidP="006D239B">
      <w:pPr>
        <w:pStyle w:val="BodyText"/>
        <w:rPr>
          <w:lang w:eastAsia="en-US"/>
        </w:rPr>
      </w:pPr>
      <w:r>
        <w:rPr>
          <w:lang w:eastAsia="en-US"/>
        </w:rPr>
        <w:t>The Tarralla Creek project is underway and will create a healthy functioning meandering waterway in Croydon that will manage flooding issues and improve biodiversity through habitat creation. The project focuses on bringing water to the surface (daylighting the creek), creating places for the community and wet habitat which will promote local flora and fauna.</w:t>
      </w:r>
    </w:p>
    <w:p w14:paraId="04825C5E" w14:textId="77777777" w:rsidR="006D239B" w:rsidRDefault="006D239B" w:rsidP="006D239B">
      <w:pPr>
        <w:pStyle w:val="Heading3"/>
      </w:pPr>
      <w:bookmarkStart w:id="315" w:name="_Toc89723015"/>
      <w:bookmarkStart w:id="316" w:name="_Ref89805451"/>
      <w:bookmarkStart w:id="317" w:name="_Toc90325958"/>
      <w:bookmarkStart w:id="318" w:name="_Toc93659364"/>
      <w:r>
        <w:t>Blue-green corridor planning</w:t>
      </w:r>
      <w:bookmarkEnd w:id="315"/>
      <w:bookmarkEnd w:id="316"/>
      <w:bookmarkEnd w:id="317"/>
      <w:bookmarkEnd w:id="318"/>
    </w:p>
    <w:p w14:paraId="777C1426" w14:textId="5DB31F95" w:rsidR="006D239B" w:rsidRDefault="006D239B" w:rsidP="006D239B">
      <w:pPr>
        <w:pStyle w:val="BodyText"/>
        <w:rPr>
          <w:lang w:eastAsia="en-US"/>
        </w:rPr>
      </w:pPr>
      <w:r>
        <w:rPr>
          <w:lang w:eastAsia="en-US"/>
        </w:rPr>
        <w:t>A blue-green city is an urban area that is designed to successfully incorporate natural systems that provide the ecological and amenity value associated with urban greening, and also provide stormwater management. Melbourne Water is considering how the waterways and service land that we manage could contribute to an interlinking network of parks and park connectors across the region. We have identified areas across the region where enhanced access to green spaces (including waterways) would generate the greatest community health and wellbeing benefits. We are starting to test how this blue-green corridor network of natural escapes, recreation and paths could be implemented through collaborations we both lead and are a part of – including the Chain of Ponds collaboration on the Moonee Ponds Creek.</w:t>
      </w:r>
    </w:p>
    <w:p w14:paraId="4064D764" w14:textId="77C681A9" w:rsidR="006D239B" w:rsidRDefault="006D239B" w:rsidP="006D239B">
      <w:pPr>
        <w:pStyle w:val="BodyText"/>
        <w:rPr>
          <w:lang w:eastAsia="en-US"/>
        </w:rPr>
      </w:pPr>
      <w:r>
        <w:rPr>
          <w:lang w:eastAsia="en-US"/>
        </w:rPr>
        <w:t xml:space="preserve">An additional part of this work this year has included supporting </w:t>
      </w:r>
      <w:r w:rsidR="0030196D">
        <w:rPr>
          <w:lang w:eastAsia="en-US"/>
        </w:rPr>
        <w:t>Department of Environment, Land, Water and Planning</w:t>
      </w:r>
      <w:r>
        <w:rPr>
          <w:lang w:eastAsia="en-US"/>
        </w:rPr>
        <w:t xml:space="preserve"> in its development of the Waterways of the West Action Plan. This program will ensure that Melbourne’s western waterways and their parklands are protected in the future so that these community assets continue to be valued and enjoyed for years to come.</w:t>
      </w:r>
    </w:p>
    <w:p w14:paraId="453D5133" w14:textId="18419932" w:rsidR="006D239B" w:rsidRDefault="006D239B" w:rsidP="006D239B">
      <w:pPr>
        <w:pStyle w:val="Heading2"/>
      </w:pPr>
      <w:bookmarkStart w:id="319" w:name="_Ref89718212"/>
      <w:bookmarkStart w:id="320" w:name="_Toc89723016"/>
      <w:bookmarkStart w:id="321" w:name="_Toc89723216"/>
      <w:bookmarkStart w:id="322" w:name="_Toc89723276"/>
      <w:bookmarkStart w:id="323" w:name="_Toc89860540"/>
      <w:bookmarkStart w:id="324" w:name="_Toc89860684"/>
      <w:bookmarkStart w:id="325" w:name="_Toc90325959"/>
      <w:bookmarkStart w:id="326" w:name="_Toc93659365"/>
      <w:r>
        <w:lastRenderedPageBreak/>
        <w:t>Customers and Community</w:t>
      </w:r>
      <w:bookmarkEnd w:id="319"/>
      <w:bookmarkEnd w:id="320"/>
      <w:bookmarkEnd w:id="321"/>
      <w:bookmarkEnd w:id="322"/>
      <w:bookmarkEnd w:id="323"/>
      <w:bookmarkEnd w:id="324"/>
      <w:bookmarkEnd w:id="325"/>
      <w:bookmarkEnd w:id="326"/>
    </w:p>
    <w:p w14:paraId="26C7A93E" w14:textId="32C92214" w:rsidR="006D239B" w:rsidRDefault="006D239B" w:rsidP="006D239B">
      <w:pPr>
        <w:pStyle w:val="PullBox"/>
      </w:pPr>
      <w:r>
        <w:t>Melbourne Water provides a range of valued services to customers and the community, who are at the centre of everything we do.</w:t>
      </w:r>
    </w:p>
    <w:p w14:paraId="0DB5A398" w14:textId="13BDFE96" w:rsidR="006D239B" w:rsidRDefault="006D239B" w:rsidP="006D239B">
      <w:pPr>
        <w:pStyle w:val="GreyBox"/>
      </w:pPr>
      <w:r w:rsidRPr="00296848">
        <w:t xml:space="preserve">Aligns with goals </w:t>
      </w:r>
      <w:r>
        <w:t>4, 6, 9, 11, 13, 15 and 17</w:t>
      </w:r>
    </w:p>
    <w:p w14:paraId="6B5C66CD" w14:textId="77777777" w:rsidR="006D239B" w:rsidRDefault="006D239B" w:rsidP="006D239B">
      <w:pPr>
        <w:pStyle w:val="Heading3"/>
      </w:pPr>
      <w:bookmarkStart w:id="327" w:name="_Toc89723017"/>
      <w:bookmarkStart w:id="328" w:name="_Toc90325960"/>
      <w:bookmarkStart w:id="329" w:name="_Toc93659366"/>
      <w:r w:rsidRPr="00920E0E">
        <w:t>Our Approach</w:t>
      </w:r>
      <w:bookmarkEnd w:id="327"/>
      <w:bookmarkEnd w:id="328"/>
      <w:bookmarkEnd w:id="329"/>
    </w:p>
    <w:p w14:paraId="692D2923" w14:textId="79814B05" w:rsidR="006D239B" w:rsidRDefault="006D239B" w:rsidP="006D239B">
      <w:pPr>
        <w:pStyle w:val="BodyText"/>
        <w:rPr>
          <w:lang w:eastAsia="en-US"/>
        </w:rPr>
      </w:pPr>
      <w:r>
        <w:rPr>
          <w:lang w:eastAsia="en-US"/>
        </w:rPr>
        <w:t>The essential services Melbourne Water delivers are shaped and influenced by the current and future needs and priorities of our customers and community. We engage with them extensively as our strategies, plans and projects are designed to embed the outcomes that are most valued.</w:t>
      </w:r>
    </w:p>
    <w:p w14:paraId="269C989E" w14:textId="524B6052" w:rsidR="006D239B" w:rsidRDefault="006D239B" w:rsidP="006D239B">
      <w:pPr>
        <w:pStyle w:val="BodyText"/>
        <w:rPr>
          <w:lang w:eastAsia="en-US"/>
        </w:rPr>
      </w:pPr>
      <w:r>
        <w:rPr>
          <w:lang w:eastAsia="en-US"/>
        </w:rPr>
        <w:t xml:space="preserve">We develop relationships with our customers and partner with them to deliver shared services to our community. Our community represents those that are engaged, invested in, contribute to or are impacted by the decisions we make. Our community resides in the greater Melbourne region and benefits from the services we provide with our customers and partners. Our </w:t>
      </w:r>
      <w:r w:rsidRPr="006D239B">
        <w:rPr>
          <w:rStyle w:val="ItalicText"/>
          <w:lang w:eastAsia="en-US"/>
        </w:rPr>
        <w:t>Melbourne</w:t>
      </w:r>
      <w:r w:rsidRPr="006D239B">
        <w:rPr>
          <w:rStyle w:val="ItalicText"/>
        </w:rPr>
        <w:t xml:space="preserve"> </w:t>
      </w:r>
      <w:r w:rsidRPr="006D239B">
        <w:rPr>
          <w:rStyle w:val="ItalicText"/>
          <w:lang w:eastAsia="en-US"/>
        </w:rPr>
        <w:t>Water Customer and Community Strategy</w:t>
      </w:r>
      <w:r>
        <w:rPr>
          <w:lang w:eastAsia="en-US"/>
        </w:rPr>
        <w:t xml:space="preserve"> guides our approach to customers and the community, and outlines our plan to better manage and respond to their needs.</w:t>
      </w:r>
    </w:p>
    <w:p w14:paraId="351B00AA" w14:textId="2DED6A1A" w:rsidR="006D239B" w:rsidRDefault="006D239B" w:rsidP="006D239B">
      <w:pPr>
        <w:pStyle w:val="Heading4"/>
      </w:pPr>
      <w:r>
        <w:t>Customer segments</w:t>
      </w:r>
    </w:p>
    <w:p w14:paraId="03F57E52" w14:textId="16ABAAC3" w:rsidR="006D239B" w:rsidRDefault="006D239B" w:rsidP="006D239B">
      <w:pPr>
        <w:pStyle w:val="BodyText"/>
        <w:rPr>
          <w:lang w:eastAsia="en-US"/>
        </w:rPr>
      </w:pPr>
      <w:r>
        <w:rPr>
          <w:lang w:eastAsia="en-US"/>
        </w:rPr>
        <w:t>To assist Melbourne Water to define and understand our customers, we separate our customer base into key segments. These are:</w:t>
      </w:r>
    </w:p>
    <w:p w14:paraId="7BFBCEE0" w14:textId="098F6185" w:rsidR="006D239B" w:rsidRDefault="006D239B" w:rsidP="006D239B">
      <w:pPr>
        <w:pStyle w:val="ListBullet"/>
        <w:rPr>
          <w:lang w:eastAsia="en-US"/>
        </w:rPr>
      </w:pPr>
      <w:r>
        <w:rPr>
          <w:lang w:eastAsia="en-US"/>
        </w:rPr>
        <w:t>State Government</w:t>
      </w:r>
    </w:p>
    <w:p w14:paraId="063C6555" w14:textId="0AE4EEDC" w:rsidR="006D239B" w:rsidRDefault="006D239B" w:rsidP="006D239B">
      <w:pPr>
        <w:pStyle w:val="ListBullet"/>
        <w:rPr>
          <w:lang w:eastAsia="en-US"/>
        </w:rPr>
      </w:pPr>
      <w:r>
        <w:rPr>
          <w:lang w:eastAsia="en-US"/>
        </w:rPr>
        <w:t>local government</w:t>
      </w:r>
    </w:p>
    <w:p w14:paraId="12E89B3B" w14:textId="77777777" w:rsidR="006D239B" w:rsidRDefault="006D239B" w:rsidP="006D239B">
      <w:pPr>
        <w:pStyle w:val="ListBullet"/>
        <w:rPr>
          <w:lang w:eastAsia="en-US"/>
        </w:rPr>
      </w:pPr>
      <w:r>
        <w:rPr>
          <w:lang w:eastAsia="en-US"/>
        </w:rPr>
        <w:t>retail water companies</w:t>
      </w:r>
    </w:p>
    <w:p w14:paraId="0097E54D" w14:textId="62CB7FD4" w:rsidR="006D239B" w:rsidRDefault="006D239B" w:rsidP="006D239B">
      <w:pPr>
        <w:pStyle w:val="ListBullet"/>
        <w:rPr>
          <w:lang w:eastAsia="en-US"/>
        </w:rPr>
      </w:pPr>
      <w:r>
        <w:rPr>
          <w:lang w:eastAsia="en-US"/>
        </w:rPr>
        <w:t>industry leadership</w:t>
      </w:r>
    </w:p>
    <w:p w14:paraId="04958933" w14:textId="77777777" w:rsidR="006D239B" w:rsidRDefault="006D239B" w:rsidP="006D239B">
      <w:pPr>
        <w:pStyle w:val="ListBullet"/>
        <w:rPr>
          <w:lang w:eastAsia="en-US"/>
        </w:rPr>
      </w:pPr>
      <w:r>
        <w:rPr>
          <w:lang w:eastAsia="en-US"/>
        </w:rPr>
        <w:t>direct service customers (including developers)</w:t>
      </w:r>
    </w:p>
    <w:p w14:paraId="77BD2F6F" w14:textId="04010B0E" w:rsidR="006D239B" w:rsidRDefault="006D239B" w:rsidP="006D239B">
      <w:pPr>
        <w:pStyle w:val="ListBullet"/>
        <w:rPr>
          <w:lang w:eastAsia="en-US"/>
        </w:rPr>
      </w:pPr>
      <w:r>
        <w:rPr>
          <w:lang w:eastAsia="en-US"/>
        </w:rPr>
        <w:t>suppliers</w:t>
      </w:r>
    </w:p>
    <w:p w14:paraId="2FD1A139" w14:textId="426A5196" w:rsidR="006D239B" w:rsidRDefault="006D239B" w:rsidP="006D239B">
      <w:pPr>
        <w:pStyle w:val="ListBullet"/>
        <w:rPr>
          <w:lang w:eastAsia="en-US"/>
        </w:rPr>
      </w:pPr>
      <w:r>
        <w:rPr>
          <w:lang w:eastAsia="en-US"/>
        </w:rPr>
        <w:t>engaged community groups</w:t>
      </w:r>
    </w:p>
    <w:p w14:paraId="080C2078" w14:textId="46F5B3D4" w:rsidR="006D239B" w:rsidRDefault="006D239B" w:rsidP="006D239B">
      <w:pPr>
        <w:pStyle w:val="ListBullet"/>
        <w:rPr>
          <w:lang w:eastAsia="en-US"/>
        </w:rPr>
      </w:pPr>
      <w:r>
        <w:rPr>
          <w:lang w:eastAsia="en-US"/>
        </w:rPr>
        <w:t>community.</w:t>
      </w:r>
    </w:p>
    <w:p w14:paraId="6A08FF10" w14:textId="77777777" w:rsidR="006D239B" w:rsidRDefault="006D239B" w:rsidP="006D239B">
      <w:pPr>
        <w:pStyle w:val="Heading3"/>
      </w:pPr>
      <w:bookmarkStart w:id="330" w:name="_Toc89723018"/>
      <w:bookmarkStart w:id="331" w:name="_Toc90325961"/>
      <w:bookmarkStart w:id="332" w:name="_Toc93659367"/>
      <w:r>
        <w:t>Next Generation Engagement Program</w:t>
      </w:r>
      <w:bookmarkEnd w:id="330"/>
      <w:bookmarkEnd w:id="331"/>
      <w:bookmarkEnd w:id="332"/>
    </w:p>
    <w:p w14:paraId="4A022157" w14:textId="725D13B4" w:rsidR="006D239B" w:rsidRDefault="006D239B" w:rsidP="006D239B">
      <w:pPr>
        <w:pStyle w:val="BodyText"/>
        <w:rPr>
          <w:lang w:eastAsia="en-US"/>
        </w:rPr>
      </w:pPr>
      <w:r>
        <w:rPr>
          <w:lang w:eastAsia="en-US"/>
        </w:rPr>
        <w:t>Over the past few years we have worked hard to embed our Next Generation Community Engagement model (NextGen) into the culture of the organisation. In 2020 we were proud to be awarded Australasian Organisation of the Year by the International Association of Public Participation (IAP2) in recognition of our leading practice.</w:t>
      </w:r>
    </w:p>
    <w:p w14:paraId="673C18B1" w14:textId="13DA50C0" w:rsidR="006D239B" w:rsidRDefault="006D239B" w:rsidP="006D239B">
      <w:pPr>
        <w:pStyle w:val="BodyText"/>
        <w:rPr>
          <w:lang w:eastAsia="en-US"/>
        </w:rPr>
      </w:pPr>
      <w:r>
        <w:rPr>
          <w:lang w:eastAsia="en-US"/>
        </w:rPr>
        <w:t xml:space="preserve">Some of the leading innovations recently delivered through the </w:t>
      </w:r>
      <w:r w:rsidR="0030196D">
        <w:rPr>
          <w:lang w:eastAsia="en-US"/>
        </w:rPr>
        <w:t>Next Generation Community Engagement Program</w:t>
      </w:r>
      <w:r>
        <w:rPr>
          <w:lang w:eastAsia="en-US"/>
        </w:rPr>
        <w:t xml:space="preserve"> program include the use of cutting-edge digital engagement and education tools delivered through our YourSay engagement platform. In 2020-21, there was a 72 per cent increase in digital engagement interactions through YourSay as we pivoted to deliver innovative digital engagement to support our customers through a challenging year. Complex, multi-stage engagement programs for major strategic projects were completed, including the 2021 Price Submission and our </w:t>
      </w:r>
      <w:r w:rsidRPr="00AE75DF">
        <w:rPr>
          <w:rStyle w:val="ItalicText"/>
          <w:lang w:eastAsia="en-US"/>
        </w:rPr>
        <w:t>Waterways Drainage and Investment Plan</w:t>
      </w:r>
      <w:r>
        <w:rPr>
          <w:lang w:eastAsia="en-US"/>
        </w:rPr>
        <w:t xml:space="preserve">. We also continued community collaboration on Sunbury’s </w:t>
      </w:r>
      <w:r w:rsidRPr="00AE75DF">
        <w:rPr>
          <w:rStyle w:val="ItalicText"/>
          <w:lang w:eastAsia="en-US"/>
        </w:rPr>
        <w:t>Integrated</w:t>
      </w:r>
      <w:r w:rsidRPr="00AE75DF">
        <w:rPr>
          <w:rStyle w:val="ItalicText"/>
        </w:rPr>
        <w:t xml:space="preserve"> W</w:t>
      </w:r>
      <w:r w:rsidRPr="00AE75DF">
        <w:rPr>
          <w:rStyle w:val="ItalicText"/>
          <w:lang w:eastAsia="en-US"/>
        </w:rPr>
        <w:t>ater Management Plan</w:t>
      </w:r>
      <w:r>
        <w:rPr>
          <w:lang w:eastAsia="en-US"/>
        </w:rPr>
        <w:t xml:space="preserve">. These projects involved significant customer and community engagement, collaboration and empowerment, </w:t>
      </w:r>
      <w:r>
        <w:rPr>
          <w:lang w:eastAsia="en-US"/>
        </w:rPr>
        <w:lastRenderedPageBreak/>
        <w:t xml:space="preserve">including deliberative panels and co-design approaches, as well as a range of online digital forums as part of our </w:t>
      </w:r>
      <w:r w:rsidR="0030196D">
        <w:t>COVID</w:t>
      </w:r>
      <w:r w:rsidR="0030196D">
        <w:noBreakHyphen/>
        <w:t>19</w:t>
      </w:r>
      <w:r>
        <w:rPr>
          <w:lang w:eastAsia="en-US"/>
        </w:rPr>
        <w:t xml:space="preserve"> arrangements.</w:t>
      </w:r>
    </w:p>
    <w:p w14:paraId="77C9C730" w14:textId="71D11209" w:rsidR="006D239B" w:rsidRDefault="006D239B" w:rsidP="006D239B">
      <w:pPr>
        <w:pStyle w:val="BodyText"/>
        <w:rPr>
          <w:lang w:eastAsia="en-US"/>
        </w:rPr>
      </w:pPr>
      <w:r>
        <w:rPr>
          <w:lang w:eastAsia="en-US"/>
        </w:rPr>
        <w:t>In addition, nearly 225 capital infrastructure projects and several hundred local community projects were undertaken (such as tree planting, weed control and grass cutting) to improve our local communities and protect the environment. We engaged the community in a range of ways, from community bulletins, focus groups, doorknocks and popup events to innovative and online approaches such as deliberative panels, co-design, digital platforms and social media.</w:t>
      </w:r>
    </w:p>
    <w:p w14:paraId="7CADD23C" w14:textId="0C9B791D" w:rsidR="006D239B" w:rsidRPr="00920E0E" w:rsidRDefault="00AE75DF" w:rsidP="001451F8">
      <w:pPr>
        <w:pStyle w:val="PullBox"/>
        <w:keepNext/>
        <w:keepLines/>
      </w:pPr>
      <w:r w:rsidRPr="00920E0E">
        <w:t>8050 participants in education and citizen science programs</w:t>
      </w:r>
    </w:p>
    <w:p w14:paraId="4382159E" w14:textId="567DD7B1" w:rsidR="00AE75DF" w:rsidRDefault="00AE75DF" w:rsidP="00AE75DF">
      <w:pPr>
        <w:pStyle w:val="PullBox"/>
      </w:pPr>
      <w:r w:rsidRPr="00920E0E">
        <w:t>114% increase in digital engagement</w:t>
      </w:r>
    </w:p>
    <w:p w14:paraId="77401DF5" w14:textId="77777777" w:rsidR="00AE75DF" w:rsidRDefault="00AE75DF" w:rsidP="00AE75DF">
      <w:pPr>
        <w:pStyle w:val="Heading3"/>
      </w:pPr>
      <w:bookmarkStart w:id="333" w:name="_Toc89723019"/>
      <w:bookmarkStart w:id="334" w:name="_Toc90325962"/>
      <w:bookmarkStart w:id="335" w:name="_Toc93659368"/>
      <w:r>
        <w:t>Increasing water literacy</w:t>
      </w:r>
      <w:bookmarkEnd w:id="333"/>
      <w:bookmarkEnd w:id="334"/>
      <w:bookmarkEnd w:id="335"/>
    </w:p>
    <w:p w14:paraId="294B08F9" w14:textId="77777777" w:rsidR="00AE75DF" w:rsidRDefault="00AE75DF" w:rsidP="00AE75DF">
      <w:pPr>
        <w:pStyle w:val="BodyText"/>
        <w:rPr>
          <w:lang w:eastAsia="en-US"/>
        </w:rPr>
      </w:pPr>
      <w:r>
        <w:rPr>
          <w:lang w:eastAsia="en-US"/>
        </w:rPr>
        <w:t>We have evolved our approach to community education about the water cycle in 2020-21 to develop a framework to deliver behaviour change through the uptake of sustainable water saving habits by improving community water literacy and water cycle management understanding. Our research shows that communities with higher water literacy are empowered to participate in the shaping of Melbourne’s water future, as well as being more likely to practice water-saving behaviours.</w:t>
      </w:r>
    </w:p>
    <w:p w14:paraId="1D46A733" w14:textId="46D917F0" w:rsidR="00AE75DF" w:rsidRDefault="00AE75DF" w:rsidP="00AE75DF">
      <w:pPr>
        <w:pStyle w:val="BodyText"/>
        <w:rPr>
          <w:lang w:eastAsia="en-US"/>
        </w:rPr>
      </w:pPr>
      <w:r>
        <w:rPr>
          <w:lang w:eastAsia="en-US"/>
        </w:rPr>
        <w:t>We have signed a new partnership agreement with Zoos Victoria to communicate water literacy concepts to audiences, and have planned increased investment in digital education resources to significantly expand our audience reach, equipping people with the knowledge to contribute to smart water choices.</w:t>
      </w:r>
    </w:p>
    <w:p w14:paraId="308DF4AB" w14:textId="292A7A06" w:rsidR="00AE75DF" w:rsidRDefault="00AE75DF" w:rsidP="00AE75DF">
      <w:pPr>
        <w:pStyle w:val="BodyText"/>
        <w:rPr>
          <w:lang w:eastAsia="en-US"/>
        </w:rPr>
      </w:pPr>
      <w:r>
        <w:rPr>
          <w:lang w:eastAsia="en-US"/>
        </w:rPr>
        <w:t>To embed this delivery in our programs, we have included a KPI in our 2021 Price Submission to increase the proportion of the community with at minimum moderate water literacy to at least 75 per cent.</w:t>
      </w:r>
    </w:p>
    <w:p w14:paraId="50F0095B" w14:textId="77777777" w:rsidR="00AE75DF" w:rsidRDefault="00AE75DF" w:rsidP="00AE75DF">
      <w:pPr>
        <w:pStyle w:val="Heading3"/>
      </w:pPr>
      <w:bookmarkStart w:id="336" w:name="_Toc89723020"/>
      <w:bookmarkStart w:id="337" w:name="_Toc90325963"/>
      <w:bookmarkStart w:id="338" w:name="_Toc93659369"/>
      <w:r>
        <w:t>Reducing litter in our waterways</w:t>
      </w:r>
      <w:bookmarkEnd w:id="336"/>
      <w:bookmarkEnd w:id="337"/>
      <w:bookmarkEnd w:id="338"/>
    </w:p>
    <w:p w14:paraId="09B89D1A" w14:textId="00FB5E01" w:rsidR="00AE75DF" w:rsidRDefault="00AE75DF" w:rsidP="00AE75DF">
      <w:pPr>
        <w:pStyle w:val="BodyText"/>
        <w:rPr>
          <w:lang w:eastAsia="en-US"/>
        </w:rPr>
      </w:pPr>
      <w:r>
        <w:rPr>
          <w:lang w:eastAsia="en-US"/>
        </w:rPr>
        <w:t xml:space="preserve">Ninety-five per cent of litter that ends up in Port Phillip Bay comes from suburban stormwater drains. Melbourne Water works hard to keep our rivers and creeks clean and to bring safe and enjoyable green spaces adjacent to these waterways. We continued the third year of our Litter Action Project supported by funding from </w:t>
      </w:r>
      <w:r w:rsidR="0030196D">
        <w:rPr>
          <w:lang w:eastAsia="en-US"/>
        </w:rPr>
        <w:t>Department of Environment, Land, Water and Planning</w:t>
      </w:r>
      <w:r>
        <w:rPr>
          <w:lang w:eastAsia="en-US"/>
        </w:rPr>
        <w:t>’s Port Philip Bay Fund. This program engaged over 1960 people and established 15 Litter Action Groups across Melbourne. It prevented more than 39,000 pieces of litter from entering waterways and Port Philip Bay and implemented 15 initiatives to help prevent litter from entering waterways. Over 7900 volunteer hours were contributed to this project.</w:t>
      </w:r>
    </w:p>
    <w:p w14:paraId="34C875F9" w14:textId="3466BC01" w:rsidR="00AE75DF" w:rsidRDefault="00AE75DF" w:rsidP="00AE75DF">
      <w:pPr>
        <w:pStyle w:val="BodyText"/>
        <w:rPr>
          <w:lang w:eastAsia="en-US"/>
        </w:rPr>
      </w:pPr>
      <w:r>
        <w:rPr>
          <w:lang w:eastAsia="en-US"/>
        </w:rPr>
        <w:t>We also ran a litter awareness communications campaign to improve community perception of maintenance management of waterways and surrounding open spaces, and motivate waterway users to pick up litter adjacent to waterways to enhance their own – and their community’s – enjoyment of these spaces. It provided community with a sense of belonging and shared responsibility, driving empowered action by disposing of litter along waterways when enjoying these spaces.</w:t>
      </w:r>
    </w:p>
    <w:p w14:paraId="44E833FC" w14:textId="2C221DDA" w:rsidR="00AE75DF" w:rsidRDefault="00AE75DF" w:rsidP="00AE75DF">
      <w:pPr>
        <w:pStyle w:val="Heading3"/>
      </w:pPr>
      <w:bookmarkStart w:id="339" w:name="_Toc89723021"/>
      <w:bookmarkStart w:id="340" w:name="_Toc90325964"/>
      <w:bookmarkStart w:id="341" w:name="_Toc93659370"/>
      <w:r>
        <w:t>Improving the service experience of our customers</w:t>
      </w:r>
      <w:bookmarkEnd w:id="339"/>
      <w:bookmarkEnd w:id="340"/>
      <w:bookmarkEnd w:id="341"/>
    </w:p>
    <w:p w14:paraId="2236483E" w14:textId="4D9FACFF" w:rsidR="00AE75DF" w:rsidRDefault="00AE75DF" w:rsidP="00AE75DF">
      <w:pPr>
        <w:pStyle w:val="BodyText"/>
        <w:rPr>
          <w:lang w:eastAsia="en-US"/>
        </w:rPr>
      </w:pPr>
      <w:r>
        <w:rPr>
          <w:lang w:eastAsia="en-US"/>
        </w:rPr>
        <w:t xml:space="preserve">This year we have developed a strategic relationship management tool which helps create a complete view of our key customers, relationships, interactions and insights. The tool is a key enabler of both the </w:t>
      </w:r>
      <w:r w:rsidRPr="00AE75DF">
        <w:rPr>
          <w:rStyle w:val="ItalicText"/>
          <w:lang w:eastAsia="en-US"/>
        </w:rPr>
        <w:t>Customer and Community</w:t>
      </w:r>
      <w:r w:rsidRPr="00AE75DF">
        <w:rPr>
          <w:rStyle w:val="ItalicText"/>
        </w:rPr>
        <w:t xml:space="preserve"> </w:t>
      </w:r>
      <w:r w:rsidRPr="00AE75DF">
        <w:rPr>
          <w:rStyle w:val="ItalicText"/>
          <w:lang w:eastAsia="en-US"/>
        </w:rPr>
        <w:t>Strategy</w:t>
      </w:r>
      <w:r>
        <w:rPr>
          <w:lang w:eastAsia="en-US"/>
        </w:rPr>
        <w:t xml:space="preserve"> and the </w:t>
      </w:r>
      <w:r w:rsidRPr="00AE75DF">
        <w:rPr>
          <w:rStyle w:val="ItalicText"/>
          <w:lang w:eastAsia="en-US"/>
        </w:rPr>
        <w:t>Digital Strategy</w:t>
      </w:r>
      <w:r>
        <w:rPr>
          <w:lang w:eastAsia="en-US"/>
        </w:rPr>
        <w:t>. It will drive greater customer focus, responsiveness and exceptional experiences through the digital platform as well as facilitate effective collaboration with customers, stakeholders and the community. A staged rollout began in June 2021 and will continue later into the year.</w:t>
      </w:r>
    </w:p>
    <w:p w14:paraId="177E33CA" w14:textId="24234F41" w:rsidR="00AE75DF" w:rsidRDefault="00AE75DF" w:rsidP="00AE75DF">
      <w:pPr>
        <w:pStyle w:val="Heading3"/>
      </w:pPr>
      <w:bookmarkStart w:id="342" w:name="_Toc89723022"/>
      <w:bookmarkStart w:id="343" w:name="_Ref89809922"/>
      <w:bookmarkStart w:id="344" w:name="_Toc90325965"/>
      <w:bookmarkStart w:id="345" w:name="_Toc93659371"/>
      <w:r>
        <w:lastRenderedPageBreak/>
        <w:t>Digital services and education</w:t>
      </w:r>
      <w:bookmarkEnd w:id="342"/>
      <w:bookmarkEnd w:id="343"/>
      <w:bookmarkEnd w:id="344"/>
      <w:bookmarkEnd w:id="345"/>
    </w:p>
    <w:p w14:paraId="5D35D539" w14:textId="2A9377F8" w:rsidR="00AE75DF" w:rsidRDefault="00AE75DF" w:rsidP="00AE75DF">
      <w:pPr>
        <w:pStyle w:val="BodyText"/>
        <w:rPr>
          <w:lang w:eastAsia="en-US"/>
        </w:rPr>
      </w:pPr>
      <w:r>
        <w:rPr>
          <w:lang w:eastAsia="en-US"/>
        </w:rPr>
        <w:t xml:space="preserve">Our digital services continued to evolve to deliver an improved channel experience for our customers and the community. In 2020-21 we delivered further innovations and expanded the successful Western Treatment Plant virtual tour by launching the augmented reality </w:t>
      </w:r>
      <w:r w:rsidR="0030196D">
        <w:rPr>
          <w:lang w:eastAsia="en-US"/>
        </w:rPr>
        <w:t>Western Treatment Plant</w:t>
      </w:r>
      <w:r>
        <w:rPr>
          <w:lang w:eastAsia="en-US"/>
        </w:rPr>
        <w:t xml:space="preserve"> Tour App. This new tool takes users right into the </w:t>
      </w:r>
      <w:r w:rsidR="0030196D">
        <w:rPr>
          <w:lang w:eastAsia="en-US"/>
        </w:rPr>
        <w:t>Western Treatment Plant</w:t>
      </w:r>
      <w:r>
        <w:rPr>
          <w:lang w:eastAsia="en-US"/>
        </w:rPr>
        <w:t xml:space="preserve"> for 360-degree views of the site, from the sewage inlet to the substantial lagoons that are used to clean up around half of Melbourne's sewage.</w:t>
      </w:r>
    </w:p>
    <w:p w14:paraId="672C51E3" w14:textId="7CD2A651" w:rsidR="00AE75DF" w:rsidRDefault="00AE75DF" w:rsidP="00AE75DF">
      <w:pPr>
        <w:pStyle w:val="BodyText"/>
        <w:rPr>
          <w:lang w:eastAsia="en-US"/>
        </w:rPr>
      </w:pPr>
      <w:r>
        <w:rPr>
          <w:lang w:eastAsia="en-US"/>
        </w:rPr>
        <w:t>In October we partnered with the Australian Water Association and 16 Victorian water authorities to deliver the National Water Week Online Learning Festival. The Festival offered a whole range of online events over the week from webinars to theatre, storybook readings and activities for the classroom. Together, we had over 4000 participants in events, almost 2000 views of available videos, 36,601 social media views and 5165 webinar participants.</w:t>
      </w:r>
    </w:p>
    <w:p w14:paraId="6D95B7CE" w14:textId="7D2F36FA" w:rsidR="00AE75DF" w:rsidRDefault="00AE75DF" w:rsidP="00AE75DF">
      <w:pPr>
        <w:pStyle w:val="BodyText"/>
        <w:rPr>
          <w:lang w:eastAsia="en-US"/>
        </w:rPr>
      </w:pPr>
      <w:r>
        <w:rPr>
          <w:lang w:eastAsia="en-US"/>
        </w:rPr>
        <w:t xml:space="preserve">There were 8050 participants in our education and citizen science programs including attending workshops, events and presentations either online or in person. Over 18,000 users engaged with us digitally by subscribing to newsletters, monitoring frogs or using our innovative website resources like Drip Trip and the </w:t>
      </w:r>
      <w:r w:rsidR="0030196D">
        <w:rPr>
          <w:lang w:eastAsia="en-US"/>
        </w:rPr>
        <w:t>Western Treatment Plant</w:t>
      </w:r>
      <w:r>
        <w:rPr>
          <w:lang w:eastAsia="en-US"/>
        </w:rPr>
        <w:t xml:space="preserve"> Virtual Tour.</w:t>
      </w:r>
    </w:p>
    <w:p w14:paraId="2C7EA917" w14:textId="5230BFC7" w:rsidR="00AE75DF" w:rsidRDefault="00AE75DF" w:rsidP="00AE75DF">
      <w:pPr>
        <w:pStyle w:val="Heading3"/>
      </w:pPr>
      <w:bookmarkStart w:id="346" w:name="_Toc89723023"/>
      <w:bookmarkStart w:id="347" w:name="_Toc90325966"/>
      <w:bookmarkStart w:id="348" w:name="_Toc93659372"/>
      <w:r>
        <w:t>QR codes enhancing community experiences</w:t>
      </w:r>
      <w:bookmarkEnd w:id="346"/>
      <w:bookmarkEnd w:id="347"/>
      <w:bookmarkEnd w:id="348"/>
    </w:p>
    <w:p w14:paraId="11941AEF" w14:textId="75AB29DD" w:rsidR="00AE75DF" w:rsidRDefault="00AE75DF" w:rsidP="00AE75DF">
      <w:pPr>
        <w:pStyle w:val="BodyText"/>
        <w:rPr>
          <w:lang w:eastAsia="en-US"/>
        </w:rPr>
      </w:pPr>
      <w:r>
        <w:rPr>
          <w:lang w:eastAsia="en-US"/>
        </w:rPr>
        <w:t xml:space="preserve">The events of 2020 saw universal adoption of QR technology for the first time in our communities. Building on the momentum of QR code check-in to a location during the </w:t>
      </w:r>
      <w:r w:rsidR="0030196D">
        <w:t>COVID</w:t>
      </w:r>
      <w:r w:rsidR="0030196D">
        <w:noBreakHyphen/>
        <w:t>19</w:t>
      </w:r>
      <w:r>
        <w:rPr>
          <w:lang w:eastAsia="en-US"/>
        </w:rPr>
        <w:t xml:space="preserve"> pandemic, Melbourne Water leveraged our operational QR code check-in to develop an enterprise-wide system. The system allows the business to self-serve QR codes for printed material, site signage and other engagement collateral providing a dynamic and streamlined digital experience for community that is content rich and relevant to their local context.</w:t>
      </w:r>
    </w:p>
    <w:p w14:paraId="08A3DD1C" w14:textId="24459E59" w:rsidR="00AE75DF" w:rsidRDefault="00AE75DF" w:rsidP="00AE75DF">
      <w:pPr>
        <w:pStyle w:val="BodyText"/>
        <w:rPr>
          <w:lang w:eastAsia="en-US"/>
        </w:rPr>
      </w:pPr>
      <w:r>
        <w:rPr>
          <w:lang w:eastAsia="en-US"/>
        </w:rPr>
        <w:t>This work forms a key part of our digital engagement and education program, which aims to drive water literacy outcomes and improved customer and community digital experiences. In the operational parts of business, QR technology is now being used to augment and provide additional contextual information to plant and asset infrastructure.</w:t>
      </w:r>
    </w:p>
    <w:p w14:paraId="11663AB7" w14:textId="77777777" w:rsidR="00AE75DF" w:rsidRDefault="00AE75DF" w:rsidP="00AE75DF">
      <w:pPr>
        <w:pStyle w:val="Heading3"/>
      </w:pPr>
      <w:bookmarkStart w:id="349" w:name="_Toc89723024"/>
      <w:bookmarkStart w:id="350" w:name="_Toc90325967"/>
      <w:bookmarkStart w:id="351" w:name="_Toc93659373"/>
      <w:r>
        <w:t>Customer hardship program</w:t>
      </w:r>
      <w:bookmarkEnd w:id="349"/>
      <w:bookmarkEnd w:id="350"/>
      <w:bookmarkEnd w:id="351"/>
    </w:p>
    <w:p w14:paraId="625EC2C0" w14:textId="66552AAF" w:rsidR="00AE75DF" w:rsidRDefault="00AE75DF" w:rsidP="00AE75DF">
      <w:pPr>
        <w:pStyle w:val="BodyText"/>
        <w:rPr>
          <w:lang w:eastAsia="en-US"/>
        </w:rPr>
      </w:pPr>
      <w:r>
        <w:rPr>
          <w:lang w:eastAsia="en-US"/>
        </w:rPr>
        <w:t>Melbourne Water customers mostly experience hardship in relation to the waterways and drainage charge, which is collected on our behalf from customers by the retail water companies. We also manage hardship for some direct customers relating to river water permits. In December 2020, Melbourne Water actively began engaging with the three metro water retail companies to gain better understanding of their financial vulnerability (hardship) programs and any new support measures developed in response to the pandemic. We are continuing to explore ways to support their hardship programs, and have updated our debt management policies and developed a process to proactively identify financially vulnerable customers.</w:t>
      </w:r>
    </w:p>
    <w:p w14:paraId="5DEACAA3" w14:textId="77777777" w:rsidR="00AE75DF" w:rsidRDefault="00AE75DF" w:rsidP="00AE75DF">
      <w:pPr>
        <w:pStyle w:val="Heading3"/>
      </w:pPr>
      <w:bookmarkStart w:id="352" w:name="_Toc89723025"/>
      <w:bookmarkStart w:id="353" w:name="_Ref89811046"/>
      <w:bookmarkStart w:id="354" w:name="_Toc90325968"/>
      <w:bookmarkStart w:id="355" w:name="_Toc93659374"/>
      <w:r>
        <w:t>Our customer performance</w:t>
      </w:r>
      <w:bookmarkEnd w:id="352"/>
      <w:bookmarkEnd w:id="353"/>
      <w:bookmarkEnd w:id="354"/>
      <w:bookmarkEnd w:id="355"/>
    </w:p>
    <w:p w14:paraId="404F4E14" w14:textId="77777777" w:rsidR="00AE75DF" w:rsidRDefault="00AE75DF" w:rsidP="00AE75DF">
      <w:pPr>
        <w:pStyle w:val="BodyText"/>
        <w:rPr>
          <w:lang w:eastAsia="en-US"/>
        </w:rPr>
      </w:pPr>
      <w:r>
        <w:rPr>
          <w:lang w:eastAsia="en-US"/>
        </w:rPr>
        <w:t>To better understand the needs of our customers, we use a broad and evolving range of tools including targeted research projects, internal data analysis and direct feedback to inform our customer strategies and plans.</w:t>
      </w:r>
    </w:p>
    <w:p w14:paraId="3E98D905" w14:textId="1B8F8670" w:rsidR="00AE75DF" w:rsidRDefault="00AE75DF" w:rsidP="00AE75DF">
      <w:pPr>
        <w:pStyle w:val="BodyText"/>
        <w:rPr>
          <w:lang w:eastAsia="en-US"/>
        </w:rPr>
      </w:pPr>
      <w:r>
        <w:rPr>
          <w:lang w:eastAsia="en-US"/>
        </w:rPr>
        <w:t>Our six-monthly Reputation Study tracks customer and community perceptions of Melbourne Water and includes metrics relating to trust, esteem, admiration and respect. Our overarching Reputation Score remains strong at 79.9 despite a slight dip from 81.8 in June 2020. The decrease was driven by our customers (80.0 compared with 82.4 in June 2020), while our reputation with the wider community of Melburnians continues to go from strength to strength (78.7, up from 76.4 in June 2020).</w:t>
      </w:r>
    </w:p>
    <w:p w14:paraId="5B79FDDA" w14:textId="0A1BD43C" w:rsidR="00AE75DF" w:rsidRDefault="00AE75DF" w:rsidP="00AE75DF">
      <w:pPr>
        <w:pStyle w:val="BodyText"/>
        <w:rPr>
          <w:lang w:eastAsia="en-US"/>
        </w:rPr>
      </w:pPr>
      <w:r>
        <w:rPr>
          <w:lang w:eastAsia="en-US"/>
        </w:rPr>
        <w:lastRenderedPageBreak/>
        <w:t>While our Reputational Score is strong, we are always striving to improve. This year we implemented a Customer Satisfaction by Service (CSAT) framework aligned to core services and customer segment satisfaction levels, launching with a pilot in November 2020 for our water and sewerage services. Results show a high level of satisfaction with our operations, with opportunities existing to further improve our engagement and collaboration with the water retail companies in future planning. The remainder of the CSAT framework will be implemented in 2021-22.</w:t>
      </w:r>
    </w:p>
    <w:p w14:paraId="72930088" w14:textId="2BF4D9D3" w:rsidR="00AE75DF" w:rsidRDefault="00AE75DF" w:rsidP="00AE75DF">
      <w:pPr>
        <w:pStyle w:val="BodyText"/>
        <w:rPr>
          <w:lang w:eastAsia="en-US"/>
        </w:rPr>
      </w:pPr>
      <w:r>
        <w:rPr>
          <w:lang w:eastAsia="en-US"/>
        </w:rPr>
        <w:t>Our Customer Service Centre continued to maintain a very high standard of service assisting customers and the community. In 2020-21, it managed over 38,000 phone calls and received 900 social media enquiries. Our digital customer service program managed a significant 114 per cent increase in engagement, with website use 9 per cent higher, and an audience increase of 18 per cent.</w:t>
      </w:r>
    </w:p>
    <w:p w14:paraId="64DC4906" w14:textId="7EC206BE" w:rsidR="00AE75DF" w:rsidRPr="008167E8" w:rsidRDefault="00AE75DF" w:rsidP="002715CB">
      <w:pPr>
        <w:pStyle w:val="BodyText"/>
        <w:rPr>
          <w:rStyle w:val="Bold"/>
        </w:rPr>
      </w:pPr>
      <w:r w:rsidRPr="008167E8">
        <w:rPr>
          <w:rStyle w:val="Bold"/>
        </w:rPr>
        <w:t>Melbourne Water Reputation Score – Community and Customers</w:t>
      </w:r>
    </w:p>
    <w:p w14:paraId="45ED6564" w14:textId="0FE922A6" w:rsidR="00AE75DF" w:rsidRDefault="008167E8" w:rsidP="00007B2A">
      <w:pPr>
        <w:spacing w:after="120"/>
      </w:pPr>
      <w:r>
        <w:rPr>
          <w:noProof/>
        </w:rPr>
        <w:drawing>
          <wp:inline distT="0" distB="0" distL="0" distR="0" wp14:anchorId="51F9910F" wp14:editId="1AD21ACD">
            <wp:extent cx="5742000" cy="1836000"/>
            <wp:effectExtent l="0" t="0" r="0" b="0"/>
            <wp:docPr id="14" name="Picture 14" descr="A chart showing the Melbourne Water Community and Customers reputation score from June 2015 to June 2021. The chart shows an upward trend line. See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hart showing the Melbourne Water Community and Customers reputation score from June 2015 to June 2021. The chart shows an upward trend line. See data table below."/>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42000" cy="1836000"/>
                    </a:xfrm>
                    <a:prstGeom prst="rect">
                      <a:avLst/>
                    </a:prstGeom>
                  </pic:spPr>
                </pic:pic>
              </a:graphicData>
            </a:graphic>
          </wp:inline>
        </w:drawing>
      </w:r>
    </w:p>
    <w:tbl>
      <w:tblPr>
        <w:tblStyle w:val="TableGrid"/>
        <w:tblW w:w="0" w:type="auto"/>
        <w:tblLook w:val="04A0" w:firstRow="1" w:lastRow="0" w:firstColumn="1" w:lastColumn="0" w:noHBand="0" w:noVBand="1"/>
      </w:tblPr>
      <w:tblGrid>
        <w:gridCol w:w="4815"/>
        <w:gridCol w:w="4816"/>
      </w:tblGrid>
      <w:tr w:rsidR="008167E8" w:rsidRPr="00C778D6" w14:paraId="0CDA982A"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4815" w:type="dxa"/>
            <w:vAlign w:val="bottom"/>
          </w:tcPr>
          <w:p w14:paraId="24651FEF" w14:textId="1C6ECC5A" w:rsidR="008167E8" w:rsidRPr="00C778D6" w:rsidRDefault="008167E8" w:rsidP="00C778D6">
            <w:pPr>
              <w:pStyle w:val="TableBodyText"/>
              <w:spacing w:before="0" w:after="0"/>
              <w:rPr>
                <w:szCs w:val="20"/>
              </w:rPr>
            </w:pPr>
            <w:bookmarkStart w:id="356" w:name="ColumnTitle_10"/>
            <w:r w:rsidRPr="00C778D6">
              <w:rPr>
                <w:szCs w:val="20"/>
              </w:rPr>
              <w:t>Period</w:t>
            </w:r>
          </w:p>
        </w:tc>
        <w:tc>
          <w:tcPr>
            <w:tcW w:w="4816" w:type="dxa"/>
            <w:vAlign w:val="bottom"/>
          </w:tcPr>
          <w:p w14:paraId="5686CFB1" w14:textId="5164647E" w:rsidR="008167E8" w:rsidRPr="00C778D6" w:rsidRDefault="008167E8" w:rsidP="00C778D6">
            <w:pPr>
              <w:pStyle w:val="TableBodyText"/>
              <w:spacing w:before="0" w:after="0"/>
              <w:jc w:val="right"/>
              <w:rPr>
                <w:szCs w:val="20"/>
              </w:rPr>
            </w:pPr>
            <w:r w:rsidRPr="00C778D6">
              <w:rPr>
                <w:szCs w:val="20"/>
              </w:rPr>
              <w:t>Melbourne Water Reputation Score</w:t>
            </w:r>
          </w:p>
        </w:tc>
      </w:tr>
      <w:bookmarkEnd w:id="356"/>
      <w:tr w:rsidR="008167E8" w:rsidRPr="00C778D6" w14:paraId="2D0B38E4" w14:textId="77777777" w:rsidTr="001451F8">
        <w:tc>
          <w:tcPr>
            <w:tcW w:w="4815" w:type="dxa"/>
          </w:tcPr>
          <w:p w14:paraId="390C3516" w14:textId="529F899B" w:rsidR="006E0915" w:rsidRPr="00C778D6" w:rsidRDefault="008167E8" w:rsidP="00C778D6">
            <w:pPr>
              <w:pStyle w:val="TableBodyText"/>
              <w:spacing w:before="0" w:after="0"/>
              <w:rPr>
                <w:szCs w:val="20"/>
              </w:rPr>
            </w:pPr>
            <w:r w:rsidRPr="00C778D6">
              <w:rPr>
                <w:szCs w:val="20"/>
              </w:rPr>
              <w:t>June 2015</w:t>
            </w:r>
          </w:p>
        </w:tc>
        <w:tc>
          <w:tcPr>
            <w:tcW w:w="4816" w:type="dxa"/>
          </w:tcPr>
          <w:p w14:paraId="245D5ED1" w14:textId="41F21795" w:rsidR="008167E8" w:rsidRPr="00C778D6" w:rsidRDefault="006E0915" w:rsidP="00C778D6">
            <w:pPr>
              <w:pStyle w:val="TableBodyText"/>
              <w:spacing w:before="0" w:after="0"/>
              <w:jc w:val="right"/>
              <w:rPr>
                <w:szCs w:val="20"/>
              </w:rPr>
            </w:pPr>
            <w:r w:rsidRPr="00C778D6">
              <w:rPr>
                <w:szCs w:val="20"/>
              </w:rPr>
              <w:t>75.2</w:t>
            </w:r>
          </w:p>
        </w:tc>
      </w:tr>
      <w:tr w:rsidR="008167E8" w:rsidRPr="00C778D6" w14:paraId="5CDAF11C" w14:textId="77777777" w:rsidTr="001451F8">
        <w:tc>
          <w:tcPr>
            <w:tcW w:w="4815" w:type="dxa"/>
          </w:tcPr>
          <w:p w14:paraId="229248D0" w14:textId="4A8CF44B" w:rsidR="008167E8" w:rsidRPr="00C778D6" w:rsidRDefault="008167E8" w:rsidP="00C778D6">
            <w:pPr>
              <w:pStyle w:val="TableBodyText"/>
              <w:spacing w:before="0" w:after="0"/>
              <w:rPr>
                <w:szCs w:val="20"/>
              </w:rPr>
            </w:pPr>
            <w:r w:rsidRPr="00C778D6">
              <w:rPr>
                <w:szCs w:val="20"/>
              </w:rPr>
              <w:t>September 2015</w:t>
            </w:r>
          </w:p>
        </w:tc>
        <w:tc>
          <w:tcPr>
            <w:tcW w:w="4816" w:type="dxa"/>
          </w:tcPr>
          <w:p w14:paraId="61002010" w14:textId="063CE8BE" w:rsidR="008167E8" w:rsidRPr="00C778D6" w:rsidRDefault="006E0915" w:rsidP="00C778D6">
            <w:pPr>
              <w:pStyle w:val="TableBodyText"/>
              <w:spacing w:before="0" w:after="0"/>
              <w:jc w:val="right"/>
              <w:rPr>
                <w:szCs w:val="20"/>
              </w:rPr>
            </w:pPr>
            <w:r w:rsidRPr="00C778D6">
              <w:rPr>
                <w:szCs w:val="20"/>
              </w:rPr>
              <w:t>75.2</w:t>
            </w:r>
          </w:p>
        </w:tc>
      </w:tr>
      <w:tr w:rsidR="008167E8" w:rsidRPr="00C778D6" w14:paraId="797B34D2" w14:textId="77777777" w:rsidTr="001451F8">
        <w:tc>
          <w:tcPr>
            <w:tcW w:w="4815" w:type="dxa"/>
          </w:tcPr>
          <w:p w14:paraId="0E0EC537" w14:textId="3FB2A38A" w:rsidR="008167E8" w:rsidRPr="00C778D6" w:rsidRDefault="008167E8" w:rsidP="00C778D6">
            <w:pPr>
              <w:pStyle w:val="TableBodyText"/>
              <w:spacing w:before="0" w:after="0"/>
              <w:rPr>
                <w:szCs w:val="20"/>
              </w:rPr>
            </w:pPr>
            <w:r w:rsidRPr="00C778D6">
              <w:rPr>
                <w:szCs w:val="20"/>
              </w:rPr>
              <w:t>December 2015</w:t>
            </w:r>
          </w:p>
        </w:tc>
        <w:tc>
          <w:tcPr>
            <w:tcW w:w="4816" w:type="dxa"/>
          </w:tcPr>
          <w:p w14:paraId="67B08214" w14:textId="33BF1289" w:rsidR="008167E8" w:rsidRPr="00C778D6" w:rsidRDefault="006E0915" w:rsidP="00C778D6">
            <w:pPr>
              <w:pStyle w:val="TableBodyText"/>
              <w:spacing w:before="0" w:after="0"/>
              <w:jc w:val="right"/>
              <w:rPr>
                <w:szCs w:val="20"/>
              </w:rPr>
            </w:pPr>
            <w:r w:rsidRPr="00C778D6">
              <w:rPr>
                <w:szCs w:val="20"/>
              </w:rPr>
              <w:t>74.7</w:t>
            </w:r>
          </w:p>
        </w:tc>
      </w:tr>
      <w:tr w:rsidR="008167E8" w:rsidRPr="00C778D6" w14:paraId="293577B6" w14:textId="77777777" w:rsidTr="001451F8">
        <w:tc>
          <w:tcPr>
            <w:tcW w:w="4815" w:type="dxa"/>
          </w:tcPr>
          <w:p w14:paraId="31C140C1" w14:textId="03840D58" w:rsidR="008167E8" w:rsidRPr="00C778D6" w:rsidRDefault="008167E8" w:rsidP="00C778D6">
            <w:pPr>
              <w:pStyle w:val="TableBodyText"/>
              <w:spacing w:before="0" w:after="0"/>
              <w:rPr>
                <w:szCs w:val="20"/>
              </w:rPr>
            </w:pPr>
            <w:r w:rsidRPr="00C778D6">
              <w:rPr>
                <w:szCs w:val="20"/>
              </w:rPr>
              <w:t>March 2016</w:t>
            </w:r>
          </w:p>
        </w:tc>
        <w:tc>
          <w:tcPr>
            <w:tcW w:w="4816" w:type="dxa"/>
          </w:tcPr>
          <w:p w14:paraId="5DDE0367" w14:textId="546C025D" w:rsidR="008167E8" w:rsidRPr="00C778D6" w:rsidRDefault="006E0915" w:rsidP="00C778D6">
            <w:pPr>
              <w:pStyle w:val="TableBodyText"/>
              <w:spacing w:before="0" w:after="0"/>
              <w:jc w:val="right"/>
              <w:rPr>
                <w:szCs w:val="20"/>
              </w:rPr>
            </w:pPr>
            <w:r w:rsidRPr="00C778D6">
              <w:rPr>
                <w:szCs w:val="20"/>
              </w:rPr>
              <w:t>75.2</w:t>
            </w:r>
          </w:p>
        </w:tc>
      </w:tr>
      <w:tr w:rsidR="008167E8" w:rsidRPr="00C778D6" w14:paraId="2A4AD212" w14:textId="77777777" w:rsidTr="001451F8">
        <w:tc>
          <w:tcPr>
            <w:tcW w:w="4815" w:type="dxa"/>
          </w:tcPr>
          <w:p w14:paraId="2852E71C" w14:textId="457A34C1" w:rsidR="008167E8" w:rsidRPr="00C778D6" w:rsidRDefault="008167E8" w:rsidP="00C778D6">
            <w:pPr>
              <w:pStyle w:val="TableBodyText"/>
              <w:spacing w:before="0" w:after="0"/>
              <w:rPr>
                <w:szCs w:val="20"/>
              </w:rPr>
            </w:pPr>
            <w:r w:rsidRPr="00C778D6">
              <w:rPr>
                <w:szCs w:val="20"/>
              </w:rPr>
              <w:t>June 2016</w:t>
            </w:r>
          </w:p>
        </w:tc>
        <w:tc>
          <w:tcPr>
            <w:tcW w:w="4816" w:type="dxa"/>
          </w:tcPr>
          <w:p w14:paraId="0F78D9DE" w14:textId="55465F54" w:rsidR="008167E8" w:rsidRPr="00C778D6" w:rsidRDefault="006E0915" w:rsidP="00C778D6">
            <w:pPr>
              <w:pStyle w:val="TableBodyText"/>
              <w:spacing w:before="0" w:after="0"/>
              <w:jc w:val="right"/>
              <w:rPr>
                <w:szCs w:val="20"/>
              </w:rPr>
            </w:pPr>
            <w:r w:rsidRPr="00C778D6">
              <w:rPr>
                <w:szCs w:val="20"/>
              </w:rPr>
              <w:t>76.8</w:t>
            </w:r>
          </w:p>
        </w:tc>
      </w:tr>
      <w:tr w:rsidR="008167E8" w:rsidRPr="00C778D6" w14:paraId="57545706" w14:textId="77777777" w:rsidTr="001451F8">
        <w:tc>
          <w:tcPr>
            <w:tcW w:w="4815" w:type="dxa"/>
          </w:tcPr>
          <w:p w14:paraId="0C7FFB2A" w14:textId="3FD71609" w:rsidR="008167E8" w:rsidRPr="00C778D6" w:rsidRDefault="008167E8" w:rsidP="00C778D6">
            <w:pPr>
              <w:pStyle w:val="TableBodyText"/>
              <w:spacing w:before="0" w:after="0"/>
              <w:rPr>
                <w:szCs w:val="20"/>
              </w:rPr>
            </w:pPr>
            <w:r w:rsidRPr="00C778D6">
              <w:rPr>
                <w:szCs w:val="20"/>
              </w:rPr>
              <w:t>September 2016</w:t>
            </w:r>
          </w:p>
        </w:tc>
        <w:tc>
          <w:tcPr>
            <w:tcW w:w="4816" w:type="dxa"/>
          </w:tcPr>
          <w:p w14:paraId="24D3403E" w14:textId="2793EF2E" w:rsidR="008167E8" w:rsidRPr="00C778D6" w:rsidRDefault="006E0915" w:rsidP="00C778D6">
            <w:pPr>
              <w:pStyle w:val="TableBodyText"/>
              <w:spacing w:before="0" w:after="0"/>
              <w:jc w:val="right"/>
              <w:rPr>
                <w:szCs w:val="20"/>
              </w:rPr>
            </w:pPr>
            <w:r w:rsidRPr="00C778D6">
              <w:rPr>
                <w:szCs w:val="20"/>
              </w:rPr>
              <w:t>77.3</w:t>
            </w:r>
          </w:p>
        </w:tc>
      </w:tr>
      <w:tr w:rsidR="008167E8" w:rsidRPr="00C778D6" w14:paraId="351BF853" w14:textId="77777777" w:rsidTr="001451F8">
        <w:tc>
          <w:tcPr>
            <w:tcW w:w="4815" w:type="dxa"/>
          </w:tcPr>
          <w:p w14:paraId="4152EE39" w14:textId="5ABA7E8C" w:rsidR="008167E8" w:rsidRPr="00C778D6" w:rsidRDefault="008167E8" w:rsidP="00C778D6">
            <w:pPr>
              <w:pStyle w:val="TableBodyText"/>
              <w:spacing w:before="0" w:after="0"/>
              <w:rPr>
                <w:szCs w:val="20"/>
              </w:rPr>
            </w:pPr>
            <w:r w:rsidRPr="00C778D6">
              <w:rPr>
                <w:szCs w:val="20"/>
              </w:rPr>
              <w:t>December 2016</w:t>
            </w:r>
          </w:p>
        </w:tc>
        <w:tc>
          <w:tcPr>
            <w:tcW w:w="4816" w:type="dxa"/>
          </w:tcPr>
          <w:p w14:paraId="2589DE25" w14:textId="3D5E1CA5" w:rsidR="008167E8" w:rsidRPr="00C778D6" w:rsidRDefault="006E0915" w:rsidP="00C778D6">
            <w:pPr>
              <w:pStyle w:val="TableBodyText"/>
              <w:spacing w:before="0" w:after="0"/>
              <w:jc w:val="right"/>
              <w:rPr>
                <w:szCs w:val="20"/>
              </w:rPr>
            </w:pPr>
            <w:r w:rsidRPr="00C778D6">
              <w:rPr>
                <w:szCs w:val="20"/>
              </w:rPr>
              <w:t>78.5</w:t>
            </w:r>
          </w:p>
        </w:tc>
      </w:tr>
      <w:tr w:rsidR="008167E8" w:rsidRPr="00C778D6" w14:paraId="74DE09AC" w14:textId="77777777" w:rsidTr="001451F8">
        <w:tc>
          <w:tcPr>
            <w:tcW w:w="4815" w:type="dxa"/>
          </w:tcPr>
          <w:p w14:paraId="6ECE4D52" w14:textId="1C93595A" w:rsidR="006E0915" w:rsidRPr="00C778D6" w:rsidRDefault="008167E8" w:rsidP="00C778D6">
            <w:pPr>
              <w:pStyle w:val="TableBodyText"/>
              <w:spacing w:before="0" w:after="0"/>
              <w:rPr>
                <w:szCs w:val="20"/>
              </w:rPr>
            </w:pPr>
            <w:r w:rsidRPr="00C778D6">
              <w:rPr>
                <w:szCs w:val="20"/>
              </w:rPr>
              <w:t>March 2017</w:t>
            </w:r>
          </w:p>
        </w:tc>
        <w:tc>
          <w:tcPr>
            <w:tcW w:w="4816" w:type="dxa"/>
          </w:tcPr>
          <w:p w14:paraId="7B793B1F" w14:textId="06D9A52E" w:rsidR="008167E8" w:rsidRPr="00C778D6" w:rsidRDefault="006E0915" w:rsidP="00C778D6">
            <w:pPr>
              <w:pStyle w:val="TableBodyText"/>
              <w:spacing w:before="0" w:after="0"/>
              <w:jc w:val="right"/>
              <w:rPr>
                <w:szCs w:val="20"/>
              </w:rPr>
            </w:pPr>
            <w:r w:rsidRPr="00C778D6">
              <w:rPr>
                <w:szCs w:val="20"/>
              </w:rPr>
              <w:t>80.6</w:t>
            </w:r>
          </w:p>
        </w:tc>
      </w:tr>
      <w:tr w:rsidR="008167E8" w:rsidRPr="00C778D6" w14:paraId="391170B5" w14:textId="77777777" w:rsidTr="001451F8">
        <w:tc>
          <w:tcPr>
            <w:tcW w:w="4815" w:type="dxa"/>
          </w:tcPr>
          <w:p w14:paraId="6DD5D568" w14:textId="79B54CF2" w:rsidR="008167E8" w:rsidRPr="00C778D6" w:rsidRDefault="008167E8" w:rsidP="00C778D6">
            <w:pPr>
              <w:pStyle w:val="TableBodyText"/>
              <w:spacing w:before="0" w:after="0"/>
              <w:rPr>
                <w:szCs w:val="20"/>
              </w:rPr>
            </w:pPr>
            <w:r w:rsidRPr="00C778D6">
              <w:rPr>
                <w:szCs w:val="20"/>
              </w:rPr>
              <w:t>June 2017</w:t>
            </w:r>
          </w:p>
        </w:tc>
        <w:tc>
          <w:tcPr>
            <w:tcW w:w="4816" w:type="dxa"/>
          </w:tcPr>
          <w:p w14:paraId="3F68F87C" w14:textId="0AE02096" w:rsidR="008167E8" w:rsidRPr="00C778D6" w:rsidRDefault="006E0915" w:rsidP="00C778D6">
            <w:pPr>
              <w:pStyle w:val="TableBodyText"/>
              <w:spacing w:before="0" w:after="0"/>
              <w:jc w:val="right"/>
              <w:rPr>
                <w:szCs w:val="20"/>
              </w:rPr>
            </w:pPr>
            <w:r w:rsidRPr="00C778D6">
              <w:rPr>
                <w:szCs w:val="20"/>
              </w:rPr>
              <w:t>80.2</w:t>
            </w:r>
          </w:p>
        </w:tc>
      </w:tr>
      <w:tr w:rsidR="008167E8" w:rsidRPr="00C778D6" w14:paraId="6F10D4B4" w14:textId="77777777" w:rsidTr="001451F8">
        <w:tc>
          <w:tcPr>
            <w:tcW w:w="4815" w:type="dxa"/>
          </w:tcPr>
          <w:p w14:paraId="3AD7E907" w14:textId="7B569295" w:rsidR="008167E8" w:rsidRPr="00C778D6" w:rsidRDefault="008167E8" w:rsidP="00C778D6">
            <w:pPr>
              <w:pStyle w:val="TableBodyText"/>
              <w:spacing w:before="0" w:after="0"/>
              <w:rPr>
                <w:szCs w:val="20"/>
              </w:rPr>
            </w:pPr>
            <w:r w:rsidRPr="00C778D6">
              <w:rPr>
                <w:szCs w:val="20"/>
              </w:rPr>
              <w:t>September 2017</w:t>
            </w:r>
          </w:p>
        </w:tc>
        <w:tc>
          <w:tcPr>
            <w:tcW w:w="4816" w:type="dxa"/>
          </w:tcPr>
          <w:p w14:paraId="08137F8C" w14:textId="6FC0FA20" w:rsidR="008167E8" w:rsidRPr="00C778D6" w:rsidRDefault="006E0915" w:rsidP="00C778D6">
            <w:pPr>
              <w:pStyle w:val="TableBodyText"/>
              <w:spacing w:before="0" w:after="0"/>
              <w:jc w:val="right"/>
              <w:rPr>
                <w:szCs w:val="20"/>
              </w:rPr>
            </w:pPr>
            <w:r w:rsidRPr="00C778D6">
              <w:rPr>
                <w:szCs w:val="20"/>
              </w:rPr>
              <w:t>79.1</w:t>
            </w:r>
          </w:p>
        </w:tc>
      </w:tr>
      <w:tr w:rsidR="008167E8" w:rsidRPr="00C778D6" w14:paraId="00FBC866" w14:textId="77777777" w:rsidTr="001451F8">
        <w:tc>
          <w:tcPr>
            <w:tcW w:w="4815" w:type="dxa"/>
          </w:tcPr>
          <w:p w14:paraId="4D2502BE" w14:textId="5D08C036" w:rsidR="008167E8" w:rsidRPr="00C778D6" w:rsidRDefault="008167E8" w:rsidP="00C778D6">
            <w:pPr>
              <w:pStyle w:val="TableBodyText"/>
              <w:spacing w:before="0" w:after="0"/>
              <w:rPr>
                <w:szCs w:val="20"/>
              </w:rPr>
            </w:pPr>
            <w:r w:rsidRPr="00C778D6">
              <w:rPr>
                <w:szCs w:val="20"/>
              </w:rPr>
              <w:t>March 2018</w:t>
            </w:r>
          </w:p>
        </w:tc>
        <w:tc>
          <w:tcPr>
            <w:tcW w:w="4816" w:type="dxa"/>
          </w:tcPr>
          <w:p w14:paraId="1FE72178" w14:textId="56A817CE" w:rsidR="008167E8" w:rsidRPr="00C778D6" w:rsidRDefault="006E0915" w:rsidP="00C778D6">
            <w:pPr>
              <w:pStyle w:val="TableBodyText"/>
              <w:spacing w:before="0" w:after="0"/>
              <w:jc w:val="right"/>
              <w:rPr>
                <w:szCs w:val="20"/>
              </w:rPr>
            </w:pPr>
            <w:r w:rsidRPr="00C778D6">
              <w:rPr>
                <w:szCs w:val="20"/>
              </w:rPr>
              <w:t>81.5</w:t>
            </w:r>
          </w:p>
        </w:tc>
      </w:tr>
      <w:tr w:rsidR="008167E8" w:rsidRPr="00C778D6" w14:paraId="19AED906" w14:textId="77777777" w:rsidTr="001451F8">
        <w:tc>
          <w:tcPr>
            <w:tcW w:w="4815" w:type="dxa"/>
          </w:tcPr>
          <w:p w14:paraId="5DE83E0D" w14:textId="05EE99CC" w:rsidR="008167E8" w:rsidRPr="00C778D6" w:rsidRDefault="008167E8" w:rsidP="00C778D6">
            <w:pPr>
              <w:pStyle w:val="TableBodyText"/>
              <w:spacing w:before="0" w:after="0"/>
              <w:rPr>
                <w:szCs w:val="20"/>
              </w:rPr>
            </w:pPr>
            <w:r w:rsidRPr="00C778D6">
              <w:rPr>
                <w:szCs w:val="20"/>
              </w:rPr>
              <w:t>June 2018</w:t>
            </w:r>
          </w:p>
        </w:tc>
        <w:tc>
          <w:tcPr>
            <w:tcW w:w="4816" w:type="dxa"/>
          </w:tcPr>
          <w:p w14:paraId="31A17268" w14:textId="6F8467C5" w:rsidR="008167E8" w:rsidRPr="00C778D6" w:rsidRDefault="006E0915" w:rsidP="00C778D6">
            <w:pPr>
              <w:pStyle w:val="TableBodyText"/>
              <w:spacing w:before="0" w:after="0"/>
              <w:jc w:val="right"/>
              <w:rPr>
                <w:szCs w:val="20"/>
              </w:rPr>
            </w:pPr>
            <w:r w:rsidRPr="00C778D6">
              <w:rPr>
                <w:szCs w:val="20"/>
              </w:rPr>
              <w:t>80.8</w:t>
            </w:r>
          </w:p>
        </w:tc>
      </w:tr>
      <w:tr w:rsidR="008167E8" w:rsidRPr="00C778D6" w14:paraId="0204F7E1" w14:textId="77777777" w:rsidTr="001451F8">
        <w:tc>
          <w:tcPr>
            <w:tcW w:w="4815" w:type="dxa"/>
          </w:tcPr>
          <w:p w14:paraId="004E522A" w14:textId="0E7D6801" w:rsidR="008167E8" w:rsidRPr="00C778D6" w:rsidRDefault="008167E8" w:rsidP="00C778D6">
            <w:pPr>
              <w:pStyle w:val="TableBodyText"/>
              <w:spacing w:before="0" w:after="0"/>
              <w:rPr>
                <w:szCs w:val="20"/>
              </w:rPr>
            </w:pPr>
            <w:r w:rsidRPr="00C778D6">
              <w:rPr>
                <w:szCs w:val="20"/>
              </w:rPr>
              <w:t>December 2018</w:t>
            </w:r>
          </w:p>
        </w:tc>
        <w:tc>
          <w:tcPr>
            <w:tcW w:w="4816" w:type="dxa"/>
          </w:tcPr>
          <w:p w14:paraId="57B2D0E6" w14:textId="5113C30D" w:rsidR="008167E8" w:rsidRPr="00C778D6" w:rsidRDefault="006E0915" w:rsidP="00C778D6">
            <w:pPr>
              <w:pStyle w:val="TableBodyText"/>
              <w:spacing w:before="0" w:after="0"/>
              <w:jc w:val="right"/>
              <w:rPr>
                <w:szCs w:val="20"/>
              </w:rPr>
            </w:pPr>
            <w:r w:rsidRPr="00C778D6">
              <w:rPr>
                <w:szCs w:val="20"/>
              </w:rPr>
              <w:t>80.7</w:t>
            </w:r>
          </w:p>
        </w:tc>
      </w:tr>
      <w:tr w:rsidR="008167E8" w:rsidRPr="00C778D6" w14:paraId="2EB8725C" w14:textId="77777777" w:rsidTr="001451F8">
        <w:tc>
          <w:tcPr>
            <w:tcW w:w="4815" w:type="dxa"/>
          </w:tcPr>
          <w:p w14:paraId="3C32E1A2" w14:textId="254CFF87" w:rsidR="008167E8" w:rsidRPr="00C778D6" w:rsidRDefault="008167E8" w:rsidP="00C778D6">
            <w:pPr>
              <w:pStyle w:val="TableBodyText"/>
              <w:spacing w:before="0" w:after="0"/>
              <w:rPr>
                <w:szCs w:val="20"/>
              </w:rPr>
            </w:pPr>
            <w:r w:rsidRPr="00C778D6">
              <w:rPr>
                <w:szCs w:val="20"/>
              </w:rPr>
              <w:t>June 2019</w:t>
            </w:r>
          </w:p>
        </w:tc>
        <w:tc>
          <w:tcPr>
            <w:tcW w:w="4816" w:type="dxa"/>
          </w:tcPr>
          <w:p w14:paraId="0706E629" w14:textId="222999C4" w:rsidR="008167E8" w:rsidRPr="00C778D6" w:rsidRDefault="006E0915" w:rsidP="00C778D6">
            <w:pPr>
              <w:pStyle w:val="TableBodyText"/>
              <w:spacing w:before="0" w:after="0"/>
              <w:jc w:val="right"/>
              <w:rPr>
                <w:szCs w:val="20"/>
              </w:rPr>
            </w:pPr>
            <w:r w:rsidRPr="00C778D6">
              <w:rPr>
                <w:szCs w:val="20"/>
              </w:rPr>
              <w:t>81.0</w:t>
            </w:r>
          </w:p>
        </w:tc>
      </w:tr>
      <w:tr w:rsidR="008167E8" w:rsidRPr="00C778D6" w14:paraId="493EA04E" w14:textId="77777777" w:rsidTr="001451F8">
        <w:tc>
          <w:tcPr>
            <w:tcW w:w="4815" w:type="dxa"/>
          </w:tcPr>
          <w:p w14:paraId="67622DA5" w14:textId="6D8EFC55" w:rsidR="008167E8" w:rsidRPr="00C778D6" w:rsidRDefault="008167E8" w:rsidP="00C778D6">
            <w:pPr>
              <w:pStyle w:val="TableBodyText"/>
              <w:spacing w:before="0" w:after="0"/>
              <w:rPr>
                <w:szCs w:val="20"/>
              </w:rPr>
            </w:pPr>
            <w:r w:rsidRPr="00C778D6">
              <w:rPr>
                <w:szCs w:val="20"/>
              </w:rPr>
              <w:t>December 2019</w:t>
            </w:r>
          </w:p>
        </w:tc>
        <w:tc>
          <w:tcPr>
            <w:tcW w:w="4816" w:type="dxa"/>
          </w:tcPr>
          <w:p w14:paraId="3C7E02CF" w14:textId="091AC986" w:rsidR="008167E8" w:rsidRPr="00C778D6" w:rsidRDefault="006E0915" w:rsidP="00C778D6">
            <w:pPr>
              <w:pStyle w:val="TableBodyText"/>
              <w:spacing w:before="0" w:after="0"/>
              <w:jc w:val="right"/>
              <w:rPr>
                <w:szCs w:val="20"/>
              </w:rPr>
            </w:pPr>
            <w:r w:rsidRPr="00C778D6">
              <w:rPr>
                <w:szCs w:val="20"/>
              </w:rPr>
              <w:t>79.8</w:t>
            </w:r>
          </w:p>
        </w:tc>
      </w:tr>
      <w:tr w:rsidR="008167E8" w:rsidRPr="00C778D6" w14:paraId="4597D664" w14:textId="77777777" w:rsidTr="001451F8">
        <w:tc>
          <w:tcPr>
            <w:tcW w:w="4815" w:type="dxa"/>
          </w:tcPr>
          <w:p w14:paraId="3D09E9AC" w14:textId="37B45325" w:rsidR="008167E8" w:rsidRPr="00C778D6" w:rsidRDefault="008167E8" w:rsidP="00C778D6">
            <w:pPr>
              <w:pStyle w:val="TableBodyText"/>
              <w:spacing w:before="0" w:after="0"/>
              <w:rPr>
                <w:szCs w:val="20"/>
              </w:rPr>
            </w:pPr>
            <w:r w:rsidRPr="00C778D6">
              <w:rPr>
                <w:szCs w:val="20"/>
              </w:rPr>
              <w:t>June 2020</w:t>
            </w:r>
          </w:p>
        </w:tc>
        <w:tc>
          <w:tcPr>
            <w:tcW w:w="4816" w:type="dxa"/>
          </w:tcPr>
          <w:p w14:paraId="405630B8" w14:textId="0E82FBC3" w:rsidR="008167E8" w:rsidRPr="00C778D6" w:rsidRDefault="006E0915" w:rsidP="00C778D6">
            <w:pPr>
              <w:pStyle w:val="TableBodyText"/>
              <w:spacing w:before="0" w:after="0"/>
              <w:jc w:val="right"/>
              <w:rPr>
                <w:szCs w:val="20"/>
              </w:rPr>
            </w:pPr>
            <w:r w:rsidRPr="00C778D6">
              <w:rPr>
                <w:szCs w:val="20"/>
              </w:rPr>
              <w:t>81.3</w:t>
            </w:r>
          </w:p>
        </w:tc>
      </w:tr>
      <w:tr w:rsidR="008167E8" w:rsidRPr="002C1E65" w14:paraId="42AD105B" w14:textId="77777777" w:rsidTr="001451F8">
        <w:tc>
          <w:tcPr>
            <w:tcW w:w="4815" w:type="dxa"/>
          </w:tcPr>
          <w:p w14:paraId="09426088" w14:textId="6F67F0FC" w:rsidR="008167E8" w:rsidRPr="00C778D6" w:rsidRDefault="008167E8" w:rsidP="00C778D6">
            <w:pPr>
              <w:pStyle w:val="TableBodyText"/>
              <w:spacing w:before="0" w:after="0"/>
              <w:rPr>
                <w:szCs w:val="20"/>
              </w:rPr>
            </w:pPr>
            <w:r w:rsidRPr="00C778D6">
              <w:rPr>
                <w:szCs w:val="20"/>
              </w:rPr>
              <w:t>June 2021</w:t>
            </w:r>
          </w:p>
        </w:tc>
        <w:tc>
          <w:tcPr>
            <w:tcW w:w="4816" w:type="dxa"/>
          </w:tcPr>
          <w:p w14:paraId="527DE452" w14:textId="49A7BBB1" w:rsidR="008167E8" w:rsidRPr="002C1E65" w:rsidRDefault="006E0915" w:rsidP="00C778D6">
            <w:pPr>
              <w:pStyle w:val="TableBodyText"/>
              <w:spacing w:before="0" w:after="0"/>
              <w:jc w:val="right"/>
              <w:rPr>
                <w:szCs w:val="20"/>
              </w:rPr>
            </w:pPr>
            <w:r w:rsidRPr="00C778D6">
              <w:rPr>
                <w:szCs w:val="20"/>
              </w:rPr>
              <w:t>79.9</w:t>
            </w:r>
          </w:p>
        </w:tc>
      </w:tr>
    </w:tbl>
    <w:p w14:paraId="5FFABBC6" w14:textId="26E69E84" w:rsidR="00AE75DF" w:rsidRDefault="00AE75DF" w:rsidP="00AE75DF">
      <w:pPr>
        <w:pStyle w:val="Heading2"/>
      </w:pPr>
      <w:bookmarkStart w:id="357" w:name="_Toc89723026"/>
      <w:bookmarkStart w:id="358" w:name="_Toc89723217"/>
      <w:bookmarkStart w:id="359" w:name="_Toc89723277"/>
      <w:bookmarkStart w:id="360" w:name="_Ref89808139"/>
      <w:bookmarkStart w:id="361" w:name="_Toc89860541"/>
      <w:bookmarkStart w:id="362" w:name="_Toc89860685"/>
      <w:bookmarkStart w:id="363" w:name="_Toc90325969"/>
      <w:bookmarkStart w:id="364" w:name="_Toc93659375"/>
      <w:r>
        <w:lastRenderedPageBreak/>
        <w:t>Water for Aboriginal Cultural, Spiritual and Economic Value</w:t>
      </w:r>
      <w:bookmarkEnd w:id="357"/>
      <w:bookmarkEnd w:id="358"/>
      <w:bookmarkEnd w:id="359"/>
      <w:bookmarkEnd w:id="360"/>
      <w:bookmarkEnd w:id="361"/>
      <w:bookmarkEnd w:id="362"/>
      <w:bookmarkEnd w:id="363"/>
      <w:bookmarkEnd w:id="364"/>
    </w:p>
    <w:p w14:paraId="42B5E964" w14:textId="2F96BC84" w:rsidR="00AE75DF" w:rsidRDefault="00AE75DF" w:rsidP="00DD30CD">
      <w:pPr>
        <w:pStyle w:val="PullBox"/>
        <w:keepNext/>
      </w:pPr>
      <w:r w:rsidRPr="001A1874">
        <w:t>Melbourne Water is committed to improving our relationships and outcomes with Traditional Owners in</w:t>
      </w:r>
      <w:r>
        <w:t xml:space="preserve"> our operating area and the Victorian Aboriginal community more broadly.</w:t>
      </w:r>
    </w:p>
    <w:p w14:paraId="0F63F6F5" w14:textId="6AB14354" w:rsidR="00AE75DF" w:rsidRDefault="00AE75DF" w:rsidP="00AE75DF">
      <w:pPr>
        <w:pStyle w:val="GreyBox"/>
      </w:pPr>
      <w:r w:rsidRPr="00296848">
        <w:t xml:space="preserve">Aligns with goals </w:t>
      </w:r>
      <w:r>
        <w:t xml:space="preserve">1, 3, 6, 9, 10, 11, 13, 15 </w:t>
      </w:r>
      <w:r w:rsidR="00AA44BB">
        <w:t>and 17</w:t>
      </w:r>
    </w:p>
    <w:p w14:paraId="153F859C" w14:textId="77777777" w:rsidR="00AA44BB" w:rsidRDefault="00AA44BB" w:rsidP="00AA44BB">
      <w:pPr>
        <w:pStyle w:val="Heading3"/>
      </w:pPr>
      <w:bookmarkStart w:id="365" w:name="_Toc89723027"/>
      <w:bookmarkStart w:id="366" w:name="_Toc90325970"/>
      <w:bookmarkStart w:id="367" w:name="_Toc93659376"/>
      <w:r>
        <w:t>Our Approach</w:t>
      </w:r>
      <w:bookmarkEnd w:id="365"/>
      <w:bookmarkEnd w:id="366"/>
      <w:bookmarkEnd w:id="367"/>
    </w:p>
    <w:p w14:paraId="667CCE78" w14:textId="695EEED8" w:rsidR="00AA44BB" w:rsidRDefault="00AA44BB" w:rsidP="00AA44BB">
      <w:pPr>
        <w:pStyle w:val="BodyText"/>
        <w:rPr>
          <w:lang w:eastAsia="en-US"/>
        </w:rPr>
      </w:pPr>
      <w:r>
        <w:rPr>
          <w:lang w:eastAsia="en-US"/>
        </w:rPr>
        <w:t xml:space="preserve">Melbourne Water’s approach to Traditional Owner partnerships aligns with our </w:t>
      </w:r>
      <w:r w:rsidRPr="00AA44BB">
        <w:rPr>
          <w:rStyle w:val="ItalicText"/>
          <w:lang w:eastAsia="en-US"/>
        </w:rPr>
        <w:t>Customer and</w:t>
      </w:r>
      <w:r w:rsidRPr="00AA44BB">
        <w:rPr>
          <w:rStyle w:val="ItalicText"/>
        </w:rPr>
        <w:t xml:space="preserve"> </w:t>
      </w:r>
      <w:r w:rsidRPr="00AA44BB">
        <w:rPr>
          <w:rStyle w:val="ItalicText"/>
          <w:lang w:eastAsia="en-US"/>
        </w:rPr>
        <w:t xml:space="preserve">Community Strategy </w:t>
      </w:r>
      <w:r>
        <w:rPr>
          <w:lang w:eastAsia="en-US"/>
        </w:rPr>
        <w:t>direction and principles and has the fundamental distinction that Wurundjeri Woi wurrung, Bunurong, Wadawurrung, Gunaikurnai and Taungurung are sovereign partners in land and water management, not customers or stakeholders to be consulted in relation to these matters.</w:t>
      </w:r>
    </w:p>
    <w:p w14:paraId="242050D6" w14:textId="77777777" w:rsidR="00AA44BB" w:rsidRDefault="00AA44BB" w:rsidP="00AA44BB">
      <w:pPr>
        <w:pStyle w:val="Heading3"/>
      </w:pPr>
      <w:bookmarkStart w:id="368" w:name="_Toc89723028"/>
      <w:bookmarkStart w:id="369" w:name="_Toc90325971"/>
      <w:bookmarkStart w:id="370" w:name="_Toc93659377"/>
      <w:r>
        <w:t>Traditional Owner partnerships</w:t>
      </w:r>
      <w:bookmarkEnd w:id="368"/>
      <w:bookmarkEnd w:id="369"/>
      <w:bookmarkEnd w:id="370"/>
    </w:p>
    <w:p w14:paraId="1F0C4CF9" w14:textId="2816068A" w:rsidR="00AA44BB" w:rsidRDefault="00AA44BB" w:rsidP="00AA44BB">
      <w:pPr>
        <w:pStyle w:val="BodyText"/>
        <w:rPr>
          <w:lang w:eastAsia="en-US"/>
        </w:rPr>
      </w:pPr>
      <w:r>
        <w:rPr>
          <w:lang w:eastAsia="en-US"/>
        </w:rPr>
        <w:t xml:space="preserve">In 2020-21, we explored formal partnerships enabling self-determined priorities of Traditional Owners which will shape agreements with Melbourne Water. One formal agreement has been drafted with Wadawurrung, based on </w:t>
      </w:r>
      <w:r w:rsidRPr="00AA44BB">
        <w:rPr>
          <w:rStyle w:val="ItalicText"/>
          <w:lang w:eastAsia="en-US"/>
        </w:rPr>
        <w:t>Paleert</w:t>
      </w:r>
      <w:r w:rsidRPr="00AA44BB">
        <w:rPr>
          <w:rStyle w:val="ItalicText"/>
        </w:rPr>
        <w:t xml:space="preserve"> </w:t>
      </w:r>
      <w:r w:rsidRPr="00AA44BB">
        <w:rPr>
          <w:rStyle w:val="ItalicText"/>
          <w:lang w:eastAsia="en-US"/>
        </w:rPr>
        <w:t>Tjaara</w:t>
      </w:r>
      <w:r w:rsidRPr="00AA44BB">
        <w:rPr>
          <w:rStyle w:val="ItalicText"/>
        </w:rPr>
        <w:t xml:space="preserve"> </w:t>
      </w:r>
      <w:r w:rsidRPr="00AA44BB">
        <w:rPr>
          <w:rStyle w:val="ItalicText"/>
          <w:lang w:eastAsia="en-US"/>
        </w:rPr>
        <w:t>Dja</w:t>
      </w:r>
      <w:r w:rsidRPr="00AA44BB">
        <w:rPr>
          <w:rStyle w:val="ItalicText"/>
        </w:rPr>
        <w:t xml:space="preserve"> </w:t>
      </w:r>
      <w:r w:rsidRPr="00AA44BB">
        <w:rPr>
          <w:rStyle w:val="ItalicText"/>
          <w:lang w:eastAsia="en-US"/>
        </w:rPr>
        <w:t>let’s</w:t>
      </w:r>
      <w:r w:rsidRPr="00AA44BB">
        <w:rPr>
          <w:rStyle w:val="ItalicText"/>
        </w:rPr>
        <w:t xml:space="preserve"> </w:t>
      </w:r>
      <w:r w:rsidRPr="00AA44BB">
        <w:rPr>
          <w:rStyle w:val="ItalicText"/>
          <w:lang w:eastAsia="en-US"/>
        </w:rPr>
        <w:t>make</w:t>
      </w:r>
      <w:r w:rsidRPr="00AA44BB">
        <w:rPr>
          <w:rStyle w:val="ItalicText"/>
        </w:rPr>
        <w:t xml:space="preserve"> </w:t>
      </w:r>
      <w:r w:rsidRPr="00AA44BB">
        <w:rPr>
          <w:rStyle w:val="ItalicText"/>
          <w:lang w:eastAsia="en-US"/>
        </w:rPr>
        <w:t>Country good</w:t>
      </w:r>
      <w:r w:rsidRPr="00AA44BB">
        <w:rPr>
          <w:rStyle w:val="ItalicText"/>
        </w:rPr>
        <w:t xml:space="preserve"> </w:t>
      </w:r>
      <w:r w:rsidRPr="00AA44BB">
        <w:rPr>
          <w:rStyle w:val="ItalicText"/>
          <w:lang w:eastAsia="en-US"/>
        </w:rPr>
        <w:t>together</w:t>
      </w:r>
      <w:r>
        <w:rPr>
          <w:lang w:eastAsia="en-US"/>
        </w:rPr>
        <w:t xml:space="preserve"> (Country Plan). We committed to aligning the </w:t>
      </w:r>
      <w:r w:rsidRPr="00AA44BB">
        <w:rPr>
          <w:rStyle w:val="ItalicText"/>
          <w:lang w:eastAsia="en-US"/>
        </w:rPr>
        <w:t>Healthy</w:t>
      </w:r>
      <w:r w:rsidRPr="00AA44BB">
        <w:rPr>
          <w:rStyle w:val="ItalicText"/>
        </w:rPr>
        <w:t xml:space="preserve"> </w:t>
      </w:r>
      <w:r w:rsidRPr="00AA44BB">
        <w:rPr>
          <w:rStyle w:val="ItalicText"/>
          <w:lang w:eastAsia="en-US"/>
        </w:rPr>
        <w:t>Waterways</w:t>
      </w:r>
      <w:r w:rsidRPr="00AA44BB">
        <w:rPr>
          <w:rStyle w:val="ItalicText"/>
        </w:rPr>
        <w:t xml:space="preserve"> </w:t>
      </w:r>
      <w:r w:rsidRPr="00AA44BB">
        <w:rPr>
          <w:rStyle w:val="ItalicText"/>
          <w:lang w:eastAsia="en-US"/>
        </w:rPr>
        <w:t>Strategy</w:t>
      </w:r>
      <w:r>
        <w:rPr>
          <w:lang w:eastAsia="en-US"/>
        </w:rPr>
        <w:t xml:space="preserve"> with country plans. We are committed to formalising further partnership agreements with other Traditional Owners and partnering to develop self-determination agreements that align to Melbourne Water priorities.</w:t>
      </w:r>
    </w:p>
    <w:p w14:paraId="35F19C56" w14:textId="77777777" w:rsidR="00AA44BB" w:rsidRDefault="00AA44BB" w:rsidP="00AA44BB">
      <w:pPr>
        <w:pStyle w:val="Heading3"/>
      </w:pPr>
      <w:bookmarkStart w:id="371" w:name="_Toc89723029"/>
      <w:bookmarkStart w:id="372" w:name="_Toc90325972"/>
      <w:bookmarkStart w:id="373" w:name="_Toc93659378"/>
      <w:r>
        <w:t>Cultural Fire</w:t>
      </w:r>
      <w:bookmarkEnd w:id="371"/>
      <w:bookmarkEnd w:id="372"/>
      <w:bookmarkEnd w:id="373"/>
    </w:p>
    <w:p w14:paraId="0FC5FDC3" w14:textId="1FBC16D9" w:rsidR="00AA44BB" w:rsidRDefault="00AA44BB" w:rsidP="00AA44BB">
      <w:pPr>
        <w:pStyle w:val="BodyText"/>
        <w:rPr>
          <w:lang w:eastAsia="en-US"/>
        </w:rPr>
      </w:pPr>
      <w:r>
        <w:rPr>
          <w:lang w:eastAsia="en-US"/>
        </w:rPr>
        <w:t>Healthy Country requires Cultural Fire, emphasising the right fire at the right time. It also employs Aboriginal people to practice maintenance of Country, which is an important cultural obligation, while also meeting our obligations for environmental management.</w:t>
      </w:r>
    </w:p>
    <w:p w14:paraId="1D5546C3" w14:textId="14C965F3" w:rsidR="00AE75DF" w:rsidRDefault="00AA44BB" w:rsidP="00AA44BB">
      <w:pPr>
        <w:pStyle w:val="BodyText"/>
        <w:rPr>
          <w:lang w:eastAsia="en-US"/>
        </w:rPr>
      </w:pPr>
      <w:r>
        <w:rPr>
          <w:lang w:eastAsia="en-US"/>
        </w:rPr>
        <w:t xml:space="preserve">We have developed a Cultural Fire Plan with Traditional Owners with support from the Firesticks Alliance Corporation, which is an adaptation of the </w:t>
      </w:r>
      <w:r w:rsidRPr="00AA44BB">
        <w:rPr>
          <w:rStyle w:val="ItalicText"/>
          <w:lang w:eastAsia="en-US"/>
        </w:rPr>
        <w:t>Victorian Traditional Owner</w:t>
      </w:r>
      <w:r w:rsidRPr="00AA44BB">
        <w:rPr>
          <w:rStyle w:val="ItalicText"/>
        </w:rPr>
        <w:t xml:space="preserve"> </w:t>
      </w:r>
      <w:r w:rsidRPr="00AA44BB">
        <w:rPr>
          <w:rStyle w:val="ItalicText"/>
          <w:lang w:eastAsia="en-US"/>
        </w:rPr>
        <w:t>Cultural Fire Strategy</w:t>
      </w:r>
      <w:r>
        <w:rPr>
          <w:lang w:eastAsia="en-US"/>
        </w:rPr>
        <w:t>. This will deliver cultural burns with Traditional Owners during the next three to five years.</w:t>
      </w:r>
    </w:p>
    <w:p w14:paraId="4BF44BCD" w14:textId="66B40331" w:rsidR="00AA44BB" w:rsidRDefault="00AA44BB" w:rsidP="00AA44BB">
      <w:pPr>
        <w:pStyle w:val="BodyText"/>
        <w:rPr>
          <w:lang w:eastAsia="en-US"/>
        </w:rPr>
      </w:pPr>
      <w:r>
        <w:rPr>
          <w:lang w:eastAsia="en-US"/>
        </w:rPr>
        <w:t>Melbourne Water has completed several walks on Country with Wadawurrung to plan cultural burns at three sites. The plan allows Melbourne Water to satisfy biodiversity requirements including targets within the ecological burn plans at Western Treatment Plant.</w:t>
      </w:r>
    </w:p>
    <w:p w14:paraId="436103DF" w14:textId="3EEC65DF" w:rsidR="00AA44BB" w:rsidRDefault="00AA44BB" w:rsidP="00AA44BB">
      <w:pPr>
        <w:pStyle w:val="BodyText"/>
        <w:rPr>
          <w:lang w:eastAsia="en-US"/>
        </w:rPr>
      </w:pPr>
      <w:r>
        <w:rPr>
          <w:lang w:eastAsia="en-US"/>
        </w:rPr>
        <w:t>Wurundjeri Wiiñ (Fire) has been delivered at two sites this year. A Cultural Fire at Macedon Regional Park has been completed, along with a Wurundjeri burn in Yan Yean at Castle Flat. This is the first time this type of burn has been used in Yan Yean for more than 100 years. The burn was delivered for Melbourne Water by the Wurundjeri Woi-wurrung Narrap Unit (with support from Melbourne Water and CFA crews).</w:t>
      </w:r>
    </w:p>
    <w:p w14:paraId="0D58E071" w14:textId="00921A3B" w:rsidR="00AA44BB" w:rsidRDefault="00AA44BB" w:rsidP="00AA44BB">
      <w:pPr>
        <w:pStyle w:val="BodyText"/>
        <w:rPr>
          <w:lang w:eastAsia="en-US"/>
        </w:rPr>
      </w:pPr>
      <w:r>
        <w:rPr>
          <w:lang w:eastAsia="en-US"/>
        </w:rPr>
        <w:t>These projects aim to embed Traditional Owner burning techniques into our everyday operations and confirm an ongoing program of cultural burning that is planned and delivered by Traditional Owners in collaboration with Melbourne Water.</w:t>
      </w:r>
    </w:p>
    <w:p w14:paraId="3B3234ED" w14:textId="77777777" w:rsidR="00AA44BB" w:rsidRDefault="00AA44BB" w:rsidP="001451F8">
      <w:pPr>
        <w:pStyle w:val="Heading3"/>
      </w:pPr>
      <w:bookmarkStart w:id="374" w:name="_Toc89723030"/>
      <w:bookmarkStart w:id="375" w:name="_Toc90325973"/>
      <w:bookmarkStart w:id="376" w:name="_Toc93659379"/>
      <w:r>
        <w:lastRenderedPageBreak/>
        <w:t>Protecting traditional ecological knowledge</w:t>
      </w:r>
      <w:bookmarkEnd w:id="374"/>
      <w:bookmarkEnd w:id="375"/>
      <w:bookmarkEnd w:id="376"/>
    </w:p>
    <w:p w14:paraId="70680E46" w14:textId="3EA0E875" w:rsidR="00AA44BB" w:rsidRDefault="00AA44BB" w:rsidP="001451F8">
      <w:pPr>
        <w:pStyle w:val="BodyText"/>
        <w:keepNext/>
        <w:keepLines/>
        <w:rPr>
          <w:lang w:eastAsia="en-US"/>
        </w:rPr>
      </w:pPr>
      <w:r>
        <w:rPr>
          <w:lang w:eastAsia="en-US"/>
        </w:rPr>
        <w:t xml:space="preserve">Melbourne Water has developed a partnership with Traditional Owners with support from the University of Melbourne to develop protocols for the protection of traditional ecological knowledge (TEK) or culturally specific information as part of research activities. The protocol will be put in place to ensure that Melbourne Water understands how to use, store and share Traditional Owner cultural knowledge in the right way, and is consistent with the commitments outlined in our </w:t>
      </w:r>
      <w:r w:rsidRPr="00AA44BB">
        <w:rPr>
          <w:rStyle w:val="ItalicText"/>
          <w:lang w:eastAsia="en-US"/>
        </w:rPr>
        <w:t>Reconciliation Action Plan</w:t>
      </w:r>
      <w:r>
        <w:rPr>
          <w:lang w:eastAsia="en-US"/>
        </w:rPr>
        <w:t xml:space="preserve"> (RAP). The protocol also seeks to establish ways for Melbourne Water to share research findings from our Applied Research program with Traditional Owners, as well as facilitating Traditional Owner involvement in collaborative research with Melbourne Water.</w:t>
      </w:r>
    </w:p>
    <w:p w14:paraId="62F896DA" w14:textId="77777777" w:rsidR="00AA44BB" w:rsidRDefault="00AA44BB" w:rsidP="00AA44BB">
      <w:pPr>
        <w:pStyle w:val="Heading3"/>
      </w:pPr>
      <w:bookmarkStart w:id="377" w:name="_Toc89723031"/>
      <w:bookmarkStart w:id="378" w:name="_Ref89808150"/>
      <w:bookmarkStart w:id="379" w:name="_Toc90325974"/>
      <w:bookmarkStart w:id="380" w:name="ReconActionPlan"/>
      <w:bookmarkStart w:id="381" w:name="_Toc93659380"/>
      <w:r>
        <w:t>Reconciliation Action Plan</w:t>
      </w:r>
      <w:bookmarkEnd w:id="377"/>
      <w:bookmarkEnd w:id="378"/>
      <w:bookmarkEnd w:id="379"/>
      <w:bookmarkEnd w:id="381"/>
    </w:p>
    <w:bookmarkEnd w:id="380"/>
    <w:p w14:paraId="5D187FED" w14:textId="142A1C15" w:rsidR="00AA44BB" w:rsidRDefault="00AA44BB" w:rsidP="00AA44BB">
      <w:pPr>
        <w:pStyle w:val="BodyText"/>
        <w:rPr>
          <w:lang w:eastAsia="en-US"/>
        </w:rPr>
      </w:pPr>
      <w:r>
        <w:rPr>
          <w:lang w:eastAsia="en-US"/>
        </w:rPr>
        <w:t xml:space="preserve">To continue developing a culturally competent organisation, we are partnering with Traditional Owners on a range of activities and projects, along with implementing our </w:t>
      </w:r>
      <w:r w:rsidRPr="00AA44BB">
        <w:rPr>
          <w:rStyle w:val="ItalicText"/>
          <w:lang w:eastAsia="en-US"/>
        </w:rPr>
        <w:t>Innovate II</w:t>
      </w:r>
      <w:r w:rsidRPr="00AA44BB">
        <w:rPr>
          <w:rStyle w:val="ItalicText"/>
        </w:rPr>
        <w:t xml:space="preserve"> </w:t>
      </w:r>
      <w:r w:rsidRPr="00AA44BB">
        <w:rPr>
          <w:rStyle w:val="ItalicText"/>
          <w:lang w:eastAsia="en-US"/>
        </w:rPr>
        <w:t>RAP</w:t>
      </w:r>
      <w:r>
        <w:rPr>
          <w:lang w:eastAsia="en-US"/>
        </w:rPr>
        <w:t>. In 2020-21, our delivery has been under three core focus areas: procurement, Aboriginal employment and focus on cultural competency and safety.</w:t>
      </w:r>
    </w:p>
    <w:p w14:paraId="0FF08270" w14:textId="7750ABB6" w:rsidR="00AA44BB" w:rsidRDefault="00AA44BB" w:rsidP="00AD7993">
      <w:pPr>
        <w:pStyle w:val="ListNumber"/>
        <w:numPr>
          <w:ilvl w:val="0"/>
          <w:numId w:val="8"/>
        </w:numPr>
        <w:rPr>
          <w:lang w:eastAsia="en-US"/>
        </w:rPr>
      </w:pPr>
      <w:r>
        <w:rPr>
          <w:lang w:eastAsia="en-US"/>
        </w:rPr>
        <w:t>Procurement</w:t>
      </w:r>
    </w:p>
    <w:p w14:paraId="00B37960" w14:textId="77777777" w:rsidR="00AA44BB" w:rsidRDefault="00AA44BB" w:rsidP="00AA44BB">
      <w:pPr>
        <w:pStyle w:val="BodyText"/>
        <w:rPr>
          <w:lang w:eastAsia="en-US"/>
        </w:rPr>
      </w:pPr>
      <w:r>
        <w:rPr>
          <w:lang w:eastAsia="en-US"/>
        </w:rPr>
        <w:t>The Aboriginal business sector is growing rapidly, and Melbourne Water’s Procurement Team is working with Kinaway (the Victorian Aboriginal Chamber of Commerce) to link members with opportunities across our supply chain.</w:t>
      </w:r>
    </w:p>
    <w:p w14:paraId="41F98989" w14:textId="52E043A8" w:rsidR="00AA44BB" w:rsidRDefault="00AA44BB" w:rsidP="00AA44BB">
      <w:pPr>
        <w:pStyle w:val="BodyText"/>
        <w:rPr>
          <w:lang w:eastAsia="en-US"/>
        </w:rPr>
      </w:pPr>
      <w:r>
        <w:rPr>
          <w:lang w:eastAsia="en-US"/>
        </w:rPr>
        <w:t>Our procurement system supports social value weighted criteria through embedded social procurement criteria to better inform buyers with this information. We have also offered to provide mentoring support to Kinaway members and presented at the Indigenous Business Month Kinaway Event in October 2020 on our social procurement in action.</w:t>
      </w:r>
    </w:p>
    <w:p w14:paraId="677E28D9" w14:textId="3A921C60" w:rsidR="00AA44BB" w:rsidRDefault="00AA44BB" w:rsidP="00AA44BB">
      <w:pPr>
        <w:pStyle w:val="BodyText"/>
        <w:rPr>
          <w:lang w:eastAsia="en-US"/>
        </w:rPr>
      </w:pPr>
      <w:r>
        <w:rPr>
          <w:lang w:eastAsia="en-US"/>
        </w:rPr>
        <w:t>We have created innovative training programs with our suppliers to establish a 100-per-cent-owned Aboriginal construction business, which creates a positive legacy and pipeline of work for young Aboriginals.</w:t>
      </w:r>
    </w:p>
    <w:p w14:paraId="0004F69F" w14:textId="466587B5" w:rsidR="00AA44BB" w:rsidRDefault="00AA44BB" w:rsidP="00AA44BB">
      <w:pPr>
        <w:pStyle w:val="BodyText"/>
        <w:rPr>
          <w:lang w:eastAsia="en-US"/>
        </w:rPr>
      </w:pPr>
      <w:r>
        <w:rPr>
          <w:lang w:eastAsia="en-US"/>
        </w:rPr>
        <w:t xml:space="preserve">Working with Winya, a certified Aboriginal-owned business, our Facilities Team explored options to reupholster, rather than replace, our worn-out chairs. This initiative resulted in a 40 per cent cost reduction on furniture replacement, as well as delivering on our social procurement strategy and </w:t>
      </w:r>
      <w:r w:rsidR="00A52F94">
        <w:rPr>
          <w:lang w:eastAsia="en-US"/>
        </w:rPr>
        <w:t>Reconciliation Action Plan</w:t>
      </w:r>
      <w:r>
        <w:rPr>
          <w:lang w:eastAsia="en-US"/>
        </w:rPr>
        <w:t xml:space="preserve"> commitments.</w:t>
      </w:r>
    </w:p>
    <w:p w14:paraId="4B3797B5" w14:textId="1268EB4D" w:rsidR="00AA44BB" w:rsidRDefault="00AA44BB" w:rsidP="00AA44BB">
      <w:pPr>
        <w:pStyle w:val="ListNumber"/>
        <w:rPr>
          <w:lang w:eastAsia="en-US"/>
        </w:rPr>
      </w:pPr>
      <w:r>
        <w:rPr>
          <w:lang w:eastAsia="en-US"/>
        </w:rPr>
        <w:t>Aboriginal employment</w:t>
      </w:r>
    </w:p>
    <w:p w14:paraId="238BB38F" w14:textId="73E3C7A4" w:rsidR="00AA44BB" w:rsidRDefault="00AA44BB" w:rsidP="00AA44BB">
      <w:pPr>
        <w:pStyle w:val="BodyText"/>
        <w:rPr>
          <w:lang w:eastAsia="en-US"/>
        </w:rPr>
      </w:pPr>
      <w:r>
        <w:rPr>
          <w:lang w:eastAsia="en-US"/>
        </w:rPr>
        <w:t>Melbourne Water Waterways and Catchment Operations Group recently awarded a contract to Traditional Owner Organisation, Wurundjeri Woi wurrung Narrap Rangers. The Narrap Rangers Team will deliver minor field services to Melbourne Water at culturally sensitive sites and use traditional work methods.</w:t>
      </w:r>
    </w:p>
    <w:p w14:paraId="03CAE78A" w14:textId="14204DE4" w:rsidR="00AA44BB" w:rsidRDefault="00AA44BB" w:rsidP="00AA44BB">
      <w:pPr>
        <w:pStyle w:val="BodyText"/>
        <w:rPr>
          <w:lang w:eastAsia="en-US"/>
        </w:rPr>
      </w:pPr>
      <w:r>
        <w:rPr>
          <w:lang w:eastAsia="en-US"/>
        </w:rPr>
        <w:t>Melbourne Water aims to build the capacity of Traditional Owners to work in partnership with Melbourne Water and the water sector more broadly. This year, we delivered a number of capacity building projects with Traditional Owners that provide work on Country, while developing waterway management experience.</w:t>
      </w:r>
    </w:p>
    <w:p w14:paraId="1A214DF6" w14:textId="7D25C801" w:rsidR="00AA44BB" w:rsidRDefault="00AA44BB" w:rsidP="00A104F7">
      <w:pPr>
        <w:pStyle w:val="ListNumber"/>
        <w:rPr>
          <w:lang w:eastAsia="en-US"/>
        </w:rPr>
      </w:pPr>
      <w:r>
        <w:rPr>
          <w:lang w:eastAsia="en-US"/>
        </w:rPr>
        <w:t>Focus on cultural competency and safety</w:t>
      </w:r>
    </w:p>
    <w:p w14:paraId="1B11A6CD" w14:textId="7A63E640" w:rsidR="00AA44BB" w:rsidRDefault="00AA44BB" w:rsidP="00AA44BB">
      <w:pPr>
        <w:pStyle w:val="BodyText"/>
        <w:rPr>
          <w:lang w:eastAsia="en-US"/>
        </w:rPr>
      </w:pPr>
      <w:r>
        <w:rPr>
          <w:lang w:eastAsia="en-US"/>
        </w:rPr>
        <w:t>Making Melbourne Water a culturally safe place to work</w:t>
      </w:r>
      <w:r w:rsidR="00A104F7">
        <w:rPr>
          <w:lang w:eastAsia="en-US"/>
        </w:rPr>
        <w:t xml:space="preserve"> </w:t>
      </w:r>
      <w:r>
        <w:rPr>
          <w:lang w:eastAsia="en-US"/>
        </w:rPr>
        <w:t>has driven our program this year, supported through three</w:t>
      </w:r>
      <w:r w:rsidR="00A104F7">
        <w:rPr>
          <w:lang w:eastAsia="en-US"/>
        </w:rPr>
        <w:t xml:space="preserve"> </w:t>
      </w:r>
      <w:r>
        <w:rPr>
          <w:lang w:eastAsia="en-US"/>
        </w:rPr>
        <w:t>annual week-long events, of cultural immersion to improve</w:t>
      </w:r>
      <w:r w:rsidR="00A104F7">
        <w:rPr>
          <w:lang w:eastAsia="en-US"/>
        </w:rPr>
        <w:t xml:space="preserve"> </w:t>
      </w:r>
      <w:r>
        <w:rPr>
          <w:lang w:eastAsia="en-US"/>
        </w:rPr>
        <w:t>our cultural safety, knowledge and connections – National</w:t>
      </w:r>
      <w:r w:rsidR="00A104F7">
        <w:rPr>
          <w:lang w:eastAsia="en-US"/>
        </w:rPr>
        <w:t xml:space="preserve"> </w:t>
      </w:r>
      <w:r>
        <w:rPr>
          <w:lang w:eastAsia="en-US"/>
        </w:rPr>
        <w:t>Reconciliation Week (May), NAIDOC Week (July) and our own</w:t>
      </w:r>
      <w:r w:rsidR="00A104F7">
        <w:rPr>
          <w:lang w:eastAsia="en-US"/>
        </w:rPr>
        <w:t xml:space="preserve"> </w:t>
      </w:r>
      <w:r>
        <w:rPr>
          <w:lang w:eastAsia="en-US"/>
        </w:rPr>
        <w:t>Melbourne Water celebratory event Yaluk Biik Baan (August). Widespread use of Aboriginal art in all office locations, using Traditional Owner-endorsed language for rooms and in co</w:t>
      </w:r>
      <w:r w:rsidR="00A104F7">
        <w:rPr>
          <w:lang w:eastAsia="en-US"/>
        </w:rPr>
        <w:t>-</w:t>
      </w:r>
      <w:r>
        <w:rPr>
          <w:lang w:eastAsia="en-US"/>
        </w:rPr>
        <w:t>delivered</w:t>
      </w:r>
      <w:r w:rsidR="00A104F7">
        <w:rPr>
          <w:lang w:eastAsia="en-US"/>
        </w:rPr>
        <w:t xml:space="preserve"> </w:t>
      </w:r>
      <w:r>
        <w:rPr>
          <w:lang w:eastAsia="en-US"/>
        </w:rPr>
        <w:t>projects, and acknowledging</w:t>
      </w:r>
      <w:r w:rsidR="00A104F7">
        <w:rPr>
          <w:lang w:eastAsia="en-US"/>
        </w:rPr>
        <w:t xml:space="preserve"> </w:t>
      </w:r>
      <w:r>
        <w:rPr>
          <w:lang w:eastAsia="en-US"/>
        </w:rPr>
        <w:t>Country in all</w:t>
      </w:r>
      <w:r w:rsidR="00A104F7">
        <w:rPr>
          <w:lang w:eastAsia="en-US"/>
        </w:rPr>
        <w:t xml:space="preserve"> </w:t>
      </w:r>
      <w:r>
        <w:rPr>
          <w:lang w:eastAsia="en-US"/>
        </w:rPr>
        <w:t>office</w:t>
      </w:r>
      <w:r w:rsidR="00A104F7">
        <w:rPr>
          <w:lang w:eastAsia="en-US"/>
        </w:rPr>
        <w:t xml:space="preserve"> </w:t>
      </w:r>
      <w:r>
        <w:rPr>
          <w:lang w:eastAsia="en-US"/>
        </w:rPr>
        <w:t>foyers and entries</w:t>
      </w:r>
      <w:r w:rsidR="00A104F7">
        <w:rPr>
          <w:lang w:eastAsia="en-US"/>
        </w:rPr>
        <w:t xml:space="preserve"> </w:t>
      </w:r>
      <w:r>
        <w:rPr>
          <w:lang w:eastAsia="en-US"/>
        </w:rPr>
        <w:t>are</w:t>
      </w:r>
      <w:r w:rsidR="00A104F7">
        <w:rPr>
          <w:lang w:eastAsia="en-US"/>
        </w:rPr>
        <w:t xml:space="preserve"> </w:t>
      </w:r>
      <w:r>
        <w:rPr>
          <w:lang w:eastAsia="en-US"/>
        </w:rPr>
        <w:t>further embedding</w:t>
      </w:r>
      <w:r w:rsidR="00A104F7">
        <w:rPr>
          <w:lang w:eastAsia="en-US"/>
        </w:rPr>
        <w:t xml:space="preserve"> </w:t>
      </w:r>
      <w:r>
        <w:rPr>
          <w:lang w:eastAsia="en-US"/>
        </w:rPr>
        <w:t>culturally safe</w:t>
      </w:r>
      <w:r w:rsidR="00A104F7">
        <w:rPr>
          <w:lang w:eastAsia="en-US"/>
        </w:rPr>
        <w:t xml:space="preserve"> </w:t>
      </w:r>
      <w:r>
        <w:rPr>
          <w:lang w:eastAsia="en-US"/>
        </w:rPr>
        <w:t>principles.</w:t>
      </w:r>
    </w:p>
    <w:p w14:paraId="44F4D305" w14:textId="691ED75F" w:rsidR="00AA44BB" w:rsidRDefault="00AA44BB" w:rsidP="00AA44BB">
      <w:pPr>
        <w:pStyle w:val="BodyText"/>
        <w:rPr>
          <w:lang w:eastAsia="en-US"/>
        </w:rPr>
      </w:pPr>
      <w:r>
        <w:rPr>
          <w:lang w:eastAsia="en-US"/>
        </w:rPr>
        <w:lastRenderedPageBreak/>
        <w:t>Melbourne Water’s cultural awareness training plan includes</w:t>
      </w:r>
      <w:r w:rsidR="00A104F7">
        <w:rPr>
          <w:lang w:eastAsia="en-US"/>
        </w:rPr>
        <w:t xml:space="preserve"> </w:t>
      </w:r>
      <w:r>
        <w:rPr>
          <w:lang w:eastAsia="en-US"/>
        </w:rPr>
        <w:t>a three-tiered approach comprising online learning, training</w:t>
      </w:r>
      <w:r w:rsidR="00A104F7">
        <w:rPr>
          <w:lang w:eastAsia="en-US"/>
        </w:rPr>
        <w:t xml:space="preserve"> </w:t>
      </w:r>
      <w:r>
        <w:rPr>
          <w:lang w:eastAsia="en-US"/>
        </w:rPr>
        <w:t>by third-party providers (not Traditional Owners) and by</w:t>
      </w:r>
      <w:r w:rsidR="00A104F7">
        <w:rPr>
          <w:lang w:eastAsia="en-US"/>
        </w:rPr>
        <w:t xml:space="preserve"> </w:t>
      </w:r>
      <w:r>
        <w:rPr>
          <w:lang w:eastAsia="en-US"/>
        </w:rPr>
        <w:t xml:space="preserve">Traditional Owners delivered on Country at </w:t>
      </w:r>
      <w:r w:rsidR="0030196D">
        <w:rPr>
          <w:lang w:eastAsia="en-US"/>
        </w:rPr>
        <w:t>Western Treatment Plant</w:t>
      </w:r>
      <w:r>
        <w:rPr>
          <w:lang w:eastAsia="en-US"/>
        </w:rPr>
        <w:t xml:space="preserve"> and Werribee</w:t>
      </w:r>
      <w:r w:rsidR="00A104F7">
        <w:rPr>
          <w:lang w:eastAsia="en-US"/>
        </w:rPr>
        <w:t xml:space="preserve"> </w:t>
      </w:r>
      <w:r>
        <w:rPr>
          <w:lang w:eastAsia="en-US"/>
        </w:rPr>
        <w:t>River You Yangs, Wadawarrung, Wurundjeri Woi worrung.</w:t>
      </w:r>
      <w:r w:rsidR="00A104F7">
        <w:rPr>
          <w:lang w:eastAsia="en-US"/>
        </w:rPr>
        <w:t xml:space="preserve"> </w:t>
      </w:r>
      <w:r>
        <w:rPr>
          <w:lang w:eastAsia="en-US"/>
        </w:rPr>
        <w:t>Overall, 161 participants completed cultural awareness training</w:t>
      </w:r>
      <w:r w:rsidR="00A104F7">
        <w:rPr>
          <w:lang w:eastAsia="en-US"/>
        </w:rPr>
        <w:t xml:space="preserve"> </w:t>
      </w:r>
      <w:r>
        <w:rPr>
          <w:lang w:eastAsia="en-US"/>
        </w:rPr>
        <w:t>for the year, including 11 as part of on-Country experience.</w:t>
      </w:r>
    </w:p>
    <w:p w14:paraId="2DB0BE5E" w14:textId="0448811B" w:rsidR="00AA44BB" w:rsidRDefault="00AA44BB" w:rsidP="00AA44BB">
      <w:pPr>
        <w:pStyle w:val="BodyText"/>
        <w:rPr>
          <w:lang w:eastAsia="en-US"/>
        </w:rPr>
      </w:pPr>
      <w:r>
        <w:rPr>
          <w:lang w:eastAsia="en-US"/>
        </w:rPr>
        <w:t xml:space="preserve">The </w:t>
      </w:r>
      <w:r w:rsidR="0030196D">
        <w:t>COVID</w:t>
      </w:r>
      <w:r w:rsidR="0030196D">
        <w:noBreakHyphen/>
        <w:t>19</w:t>
      </w:r>
      <w:r>
        <w:rPr>
          <w:lang w:eastAsia="en-US"/>
        </w:rPr>
        <w:t xml:space="preserve"> restrictions prevented full-scale delivery of</w:t>
      </w:r>
      <w:r w:rsidR="00A104F7">
        <w:rPr>
          <w:lang w:eastAsia="en-US"/>
        </w:rPr>
        <w:t xml:space="preserve"> </w:t>
      </w:r>
      <w:r>
        <w:rPr>
          <w:lang w:eastAsia="en-US"/>
        </w:rPr>
        <w:t>on-Country inductions during the year. The induction for</w:t>
      </w:r>
      <w:r w:rsidR="00A104F7">
        <w:rPr>
          <w:lang w:eastAsia="en-US"/>
        </w:rPr>
        <w:t xml:space="preserve"> </w:t>
      </w:r>
      <w:r>
        <w:rPr>
          <w:lang w:eastAsia="en-US"/>
        </w:rPr>
        <w:t xml:space="preserve">the Waterways Blitz team (see page </w:t>
      </w:r>
      <w:r w:rsidR="009D31FD">
        <w:rPr>
          <w:lang w:eastAsia="en-US"/>
        </w:rPr>
        <w:fldChar w:fldCharType="begin"/>
      </w:r>
      <w:r w:rsidR="009D31FD">
        <w:rPr>
          <w:lang w:eastAsia="en-US"/>
        </w:rPr>
        <w:instrText xml:space="preserve"> PAGEREF _Ref89718584 \h </w:instrText>
      </w:r>
      <w:r w:rsidR="009D31FD">
        <w:rPr>
          <w:lang w:eastAsia="en-US"/>
        </w:rPr>
      </w:r>
      <w:r w:rsidR="009D31FD">
        <w:rPr>
          <w:lang w:eastAsia="en-US"/>
        </w:rPr>
        <w:fldChar w:fldCharType="separate"/>
      </w:r>
      <w:r w:rsidR="00472151">
        <w:rPr>
          <w:noProof/>
          <w:lang w:eastAsia="en-US"/>
        </w:rPr>
        <w:t>38</w:t>
      </w:r>
      <w:r w:rsidR="009D31FD">
        <w:rPr>
          <w:lang w:eastAsia="en-US"/>
        </w:rPr>
        <w:fldChar w:fldCharType="end"/>
      </w:r>
      <w:r>
        <w:rPr>
          <w:lang w:eastAsia="en-US"/>
        </w:rPr>
        <w:t>) was conducted on</w:t>
      </w:r>
      <w:r w:rsidR="00A104F7">
        <w:rPr>
          <w:lang w:eastAsia="en-US"/>
        </w:rPr>
        <w:t xml:space="preserve"> </w:t>
      </w:r>
      <w:r>
        <w:rPr>
          <w:lang w:eastAsia="en-US"/>
        </w:rPr>
        <w:t>Country, led by Wurundjeri Woi worrung.</w:t>
      </w:r>
    </w:p>
    <w:p w14:paraId="577F0CAB" w14:textId="2712FE8C" w:rsidR="00AA44BB" w:rsidRDefault="00AA44BB" w:rsidP="00AA44BB">
      <w:pPr>
        <w:pStyle w:val="BodyText"/>
        <w:rPr>
          <w:lang w:eastAsia="en-US"/>
        </w:rPr>
      </w:pPr>
      <w:r>
        <w:rPr>
          <w:lang w:eastAsia="en-US"/>
        </w:rPr>
        <w:t>In 2020-21, work also included the establishment of a Cultural</w:t>
      </w:r>
      <w:r w:rsidR="00A104F7">
        <w:rPr>
          <w:lang w:eastAsia="en-US"/>
        </w:rPr>
        <w:t xml:space="preserve"> </w:t>
      </w:r>
      <w:r>
        <w:rPr>
          <w:lang w:eastAsia="en-US"/>
        </w:rPr>
        <w:t>Advisory Group, comprised of Melbourne Water employees</w:t>
      </w:r>
      <w:r w:rsidR="00A104F7">
        <w:rPr>
          <w:lang w:eastAsia="en-US"/>
        </w:rPr>
        <w:t xml:space="preserve"> </w:t>
      </w:r>
      <w:r>
        <w:rPr>
          <w:lang w:eastAsia="en-US"/>
        </w:rPr>
        <w:t>committed to advancing reconciliation, and the creation and</w:t>
      </w:r>
      <w:r w:rsidR="00A104F7">
        <w:rPr>
          <w:lang w:eastAsia="en-US"/>
        </w:rPr>
        <w:t xml:space="preserve"> </w:t>
      </w:r>
      <w:r>
        <w:rPr>
          <w:lang w:eastAsia="en-US"/>
        </w:rPr>
        <w:t>application of consistent protocols for Acknowledgement and</w:t>
      </w:r>
      <w:r w:rsidR="00A104F7">
        <w:rPr>
          <w:lang w:eastAsia="en-US"/>
        </w:rPr>
        <w:t xml:space="preserve"> </w:t>
      </w:r>
      <w:r>
        <w:rPr>
          <w:lang w:eastAsia="en-US"/>
        </w:rPr>
        <w:t>Welcome to Country across Melbourne Water.</w:t>
      </w:r>
    </w:p>
    <w:p w14:paraId="4DBD89CA" w14:textId="542843A9" w:rsidR="00AA44BB" w:rsidRDefault="00AA44BB" w:rsidP="00AA44BB">
      <w:pPr>
        <w:pStyle w:val="BodyText"/>
        <w:rPr>
          <w:lang w:eastAsia="en-US"/>
        </w:rPr>
      </w:pPr>
      <w:r>
        <w:rPr>
          <w:lang w:eastAsia="en-US"/>
        </w:rPr>
        <w:t>As part of NAIDOC week, we held a virtual Yarning Circle</w:t>
      </w:r>
      <w:r w:rsidR="00A104F7">
        <w:rPr>
          <w:lang w:eastAsia="en-US"/>
        </w:rPr>
        <w:t xml:space="preserve"> </w:t>
      </w:r>
      <w:r>
        <w:rPr>
          <w:lang w:eastAsia="en-US"/>
        </w:rPr>
        <w:t>with Aunty Janet Turpie-Johnstone and Dr Kerry Arabena,</w:t>
      </w:r>
      <w:r w:rsidR="00A104F7">
        <w:rPr>
          <w:lang w:eastAsia="en-US"/>
        </w:rPr>
        <w:t xml:space="preserve"> </w:t>
      </w:r>
      <w:r>
        <w:rPr>
          <w:lang w:eastAsia="en-US"/>
        </w:rPr>
        <w:t>facilitated by community leader Karen Milward. The session</w:t>
      </w:r>
      <w:r w:rsidR="00A104F7">
        <w:rPr>
          <w:lang w:eastAsia="en-US"/>
        </w:rPr>
        <w:t xml:space="preserve"> </w:t>
      </w:r>
      <w:r>
        <w:rPr>
          <w:lang w:eastAsia="en-US"/>
        </w:rPr>
        <w:t>was Aborginal-led and designed, and over 100 participants</w:t>
      </w:r>
      <w:r w:rsidR="00A104F7">
        <w:rPr>
          <w:lang w:eastAsia="en-US"/>
        </w:rPr>
        <w:t xml:space="preserve"> </w:t>
      </w:r>
      <w:r>
        <w:rPr>
          <w:lang w:eastAsia="en-US"/>
        </w:rPr>
        <w:t>gained further understanding of Aboriginal and Torres Strait</w:t>
      </w:r>
      <w:r w:rsidR="00A104F7">
        <w:rPr>
          <w:lang w:eastAsia="en-US"/>
        </w:rPr>
        <w:t xml:space="preserve"> </w:t>
      </w:r>
      <w:r>
        <w:rPr>
          <w:lang w:eastAsia="en-US"/>
        </w:rPr>
        <w:t>Islander culture and steps they can take to create culturally</w:t>
      </w:r>
      <w:r w:rsidR="00A104F7">
        <w:rPr>
          <w:lang w:eastAsia="en-US"/>
        </w:rPr>
        <w:t xml:space="preserve"> </w:t>
      </w:r>
      <w:r>
        <w:rPr>
          <w:lang w:eastAsia="en-US"/>
        </w:rPr>
        <w:t>safe environments.</w:t>
      </w:r>
    </w:p>
    <w:p w14:paraId="68F7E75B" w14:textId="6E0FB5E9" w:rsidR="00AE75DF" w:rsidRDefault="00AA44BB" w:rsidP="00AA44BB">
      <w:pPr>
        <w:pStyle w:val="BodyText"/>
        <w:rPr>
          <w:lang w:eastAsia="en-US"/>
        </w:rPr>
      </w:pPr>
      <w:r>
        <w:rPr>
          <w:lang w:eastAsia="en-US"/>
        </w:rPr>
        <w:t>We also ran an event partnership with the Australian Water Association for more than 100 participants from across the</w:t>
      </w:r>
      <w:r w:rsidR="00A104F7">
        <w:rPr>
          <w:lang w:eastAsia="en-US"/>
        </w:rPr>
        <w:t xml:space="preserve"> </w:t>
      </w:r>
      <w:r>
        <w:rPr>
          <w:lang w:eastAsia="en-US"/>
        </w:rPr>
        <w:t>water sector with Wurundjeri Elder Uncle Dave Wandin guiding</w:t>
      </w:r>
      <w:r w:rsidR="00A104F7">
        <w:rPr>
          <w:lang w:eastAsia="en-US"/>
        </w:rPr>
        <w:t xml:space="preserve"> </w:t>
      </w:r>
      <w:r>
        <w:rPr>
          <w:lang w:eastAsia="en-US"/>
        </w:rPr>
        <w:t>the conversation, while taking participants on a virtual tour of</w:t>
      </w:r>
      <w:r w:rsidR="00A104F7">
        <w:rPr>
          <w:lang w:eastAsia="en-US"/>
        </w:rPr>
        <w:t xml:space="preserve"> </w:t>
      </w:r>
      <w:r>
        <w:rPr>
          <w:lang w:eastAsia="en-US"/>
        </w:rPr>
        <w:t>Wandoon Estate (formerly Coranderrk).</w:t>
      </w:r>
    </w:p>
    <w:p w14:paraId="2A396987" w14:textId="6F520ECD" w:rsidR="00A104F7" w:rsidRDefault="00A104F7" w:rsidP="00A104F7">
      <w:pPr>
        <w:pStyle w:val="Heading1"/>
      </w:pPr>
      <w:bookmarkStart w:id="382" w:name="_Toc89723032"/>
      <w:bookmarkStart w:id="383" w:name="_Toc89723218"/>
      <w:bookmarkStart w:id="384" w:name="_Toc89723278"/>
      <w:bookmarkStart w:id="385" w:name="_Ref89797399"/>
      <w:bookmarkStart w:id="386" w:name="_Toc89860542"/>
      <w:bookmarkStart w:id="387" w:name="_Toc89860686"/>
      <w:bookmarkStart w:id="388" w:name="_Toc90325975"/>
      <w:bookmarkStart w:id="389" w:name="_Toc93659381"/>
      <w:r>
        <w:lastRenderedPageBreak/>
        <w:t>Delivering for Environment</w:t>
      </w:r>
      <w:bookmarkEnd w:id="382"/>
      <w:bookmarkEnd w:id="383"/>
      <w:bookmarkEnd w:id="384"/>
      <w:bookmarkEnd w:id="385"/>
      <w:bookmarkEnd w:id="386"/>
      <w:bookmarkEnd w:id="387"/>
      <w:bookmarkEnd w:id="388"/>
      <w:bookmarkEnd w:id="389"/>
    </w:p>
    <w:p w14:paraId="6CD7F2B9" w14:textId="45901024" w:rsidR="00A104F7" w:rsidRDefault="00A104F7" w:rsidP="00A104F7">
      <w:pPr>
        <w:pStyle w:val="BodyText"/>
        <w:rPr>
          <w:lang w:eastAsia="en-US"/>
        </w:rPr>
      </w:pPr>
      <w:r>
        <w:rPr>
          <w:lang w:eastAsia="en-US"/>
        </w:rPr>
        <w:t xml:space="preserve">As a business we are mindful that our operations consume resources and have the potential to create environmental impacts. We are committed to minimising these impacts to enhance our contribution to the environmental sustainability of greater Melbourne. Our </w:t>
      </w:r>
      <w:r w:rsidRPr="00A104F7">
        <w:rPr>
          <w:rStyle w:val="ItalicText"/>
          <w:lang w:eastAsia="en-US"/>
        </w:rPr>
        <w:t>Environmental Stewardship Strategy</w:t>
      </w:r>
      <w:r>
        <w:rPr>
          <w:lang w:eastAsia="en-US"/>
        </w:rPr>
        <w:t xml:space="preserve"> sets out how we will achieve this.</w:t>
      </w:r>
    </w:p>
    <w:p w14:paraId="6BC2A720" w14:textId="02DE575F" w:rsidR="00A104F7" w:rsidRDefault="00A104F7" w:rsidP="00A104F7">
      <w:pPr>
        <w:pStyle w:val="BodyText"/>
        <w:rPr>
          <w:lang w:eastAsia="en-US"/>
        </w:rPr>
      </w:pPr>
      <w:r>
        <w:rPr>
          <w:lang w:eastAsia="en-US"/>
        </w:rPr>
        <w:t>Melbourne Water is one of the largest greenhouse gas emitters in Victoria, as we manage wastewater on behalf of most Melburnians. We have an important role in reducing emissions and helping meet Victorian and Australian greenhouse targets.</w:t>
      </w:r>
    </w:p>
    <w:p w14:paraId="2C90A6C7" w14:textId="6F1136CF" w:rsidR="00AE75DF" w:rsidRDefault="00A104F7" w:rsidP="00A104F7">
      <w:pPr>
        <w:pStyle w:val="Heading2"/>
      </w:pPr>
      <w:bookmarkStart w:id="390" w:name="_Toc89723033"/>
      <w:bookmarkStart w:id="391" w:name="_Toc89723219"/>
      <w:bookmarkStart w:id="392" w:name="_Toc89723279"/>
      <w:bookmarkStart w:id="393" w:name="_Ref89809814"/>
      <w:bookmarkStart w:id="394" w:name="_Toc89860543"/>
      <w:bookmarkStart w:id="395" w:name="_Toc89860687"/>
      <w:bookmarkStart w:id="396" w:name="_Toc90325976"/>
      <w:bookmarkStart w:id="397" w:name="_Toc93659382"/>
      <w:r>
        <w:t>Climate Change and Adaptation</w:t>
      </w:r>
      <w:bookmarkEnd w:id="390"/>
      <w:bookmarkEnd w:id="391"/>
      <w:bookmarkEnd w:id="392"/>
      <w:bookmarkEnd w:id="393"/>
      <w:bookmarkEnd w:id="394"/>
      <w:bookmarkEnd w:id="395"/>
      <w:bookmarkEnd w:id="396"/>
      <w:bookmarkEnd w:id="397"/>
    </w:p>
    <w:p w14:paraId="64FC8C55" w14:textId="07374ABD" w:rsidR="00A104F7" w:rsidRDefault="00A104F7" w:rsidP="00A104F7">
      <w:pPr>
        <w:pStyle w:val="GreyBox"/>
      </w:pPr>
      <w:r w:rsidRPr="00296848">
        <w:t xml:space="preserve">Aligns with goals </w:t>
      </w:r>
      <w:r>
        <w:t>6, 7, 12, 13 and 17</w:t>
      </w:r>
    </w:p>
    <w:p w14:paraId="6FDC6914" w14:textId="77777777" w:rsidR="00A104F7" w:rsidRDefault="00A104F7" w:rsidP="00A104F7">
      <w:pPr>
        <w:pStyle w:val="Heading3"/>
      </w:pPr>
      <w:bookmarkStart w:id="398" w:name="_Toc89723034"/>
      <w:bookmarkStart w:id="399" w:name="_Toc90325977"/>
      <w:bookmarkStart w:id="400" w:name="_Toc93659383"/>
      <w:r>
        <w:t>Our Approach</w:t>
      </w:r>
      <w:bookmarkEnd w:id="398"/>
      <w:bookmarkEnd w:id="399"/>
      <w:bookmarkEnd w:id="400"/>
    </w:p>
    <w:p w14:paraId="702C882D" w14:textId="10FBB708" w:rsidR="00AE75DF" w:rsidRDefault="00A104F7" w:rsidP="00A104F7">
      <w:pPr>
        <w:pStyle w:val="BodyText"/>
        <w:rPr>
          <w:lang w:eastAsia="en-US"/>
        </w:rPr>
      </w:pPr>
      <w:r w:rsidRPr="001A1874">
        <w:rPr>
          <w:lang w:eastAsia="en-US"/>
        </w:rPr>
        <w:t>Melbourne Water’s ongoing climate and resilience planning tracks our responses to climate change and is</w:t>
      </w:r>
      <w:r>
        <w:rPr>
          <w:lang w:eastAsia="en-US"/>
        </w:rPr>
        <w:t xml:space="preserve"> helping to build the knowledge and capability of our people.</w:t>
      </w:r>
    </w:p>
    <w:p w14:paraId="380C4644" w14:textId="5E9B06DB" w:rsidR="00A104F7" w:rsidRDefault="00A104F7" w:rsidP="00A104F7">
      <w:pPr>
        <w:pStyle w:val="BodyText"/>
        <w:rPr>
          <w:lang w:eastAsia="en-US"/>
        </w:rPr>
      </w:pPr>
      <w:r>
        <w:rPr>
          <w:lang w:eastAsia="en-US"/>
        </w:rPr>
        <w:t>This year we have further enhanced our disclosures, in line with the recommendations of the Task Force on Climate-related Financial Disclosures (TCFD).</w:t>
      </w:r>
    </w:p>
    <w:p w14:paraId="70EC9408" w14:textId="77777777" w:rsidR="0010453B" w:rsidRDefault="0010453B" w:rsidP="0010453B">
      <w:pPr>
        <w:pStyle w:val="Heading3"/>
      </w:pPr>
      <w:bookmarkStart w:id="401" w:name="_Toc89723035"/>
      <w:bookmarkStart w:id="402" w:name="_Toc90325978"/>
      <w:bookmarkStart w:id="403" w:name="_Toc93659384"/>
      <w:r>
        <w:t>Climate risks</w:t>
      </w:r>
      <w:bookmarkEnd w:id="401"/>
      <w:bookmarkEnd w:id="402"/>
      <w:bookmarkEnd w:id="403"/>
    </w:p>
    <w:p w14:paraId="0B917A2E" w14:textId="23CFB20B" w:rsidR="0010453B" w:rsidRDefault="0010453B" w:rsidP="0010453B">
      <w:pPr>
        <w:pStyle w:val="BodyText"/>
        <w:rPr>
          <w:lang w:eastAsia="en-US"/>
        </w:rPr>
      </w:pPr>
      <w:r>
        <w:rPr>
          <w:lang w:eastAsia="en-US"/>
        </w:rPr>
        <w:t>Climate change creates challenges for Melbourne Water’s services, the natural environment and liveability of our region. The future may bring less rainfall, more drought, rising sea levels, more intense storms and flooding, and more risk of fires. Increasing temperatures and extreme weather are already affecting our services and the way we operate. A transition to a low-carbon economy would create other risks and changes including new standards and regulation, new carbon prices and changing energy markets. Melbourne Water is working to understand and respond to both physical and transition risks of climate change.</w:t>
      </w:r>
    </w:p>
    <w:p w14:paraId="670900F6" w14:textId="77777777" w:rsidR="0010453B" w:rsidRDefault="0010453B" w:rsidP="0010453B">
      <w:pPr>
        <w:pStyle w:val="Heading3"/>
      </w:pPr>
      <w:bookmarkStart w:id="404" w:name="_Toc89723036"/>
      <w:bookmarkStart w:id="405" w:name="_Toc90325979"/>
      <w:bookmarkStart w:id="406" w:name="_Toc93659385"/>
      <w:r>
        <w:t>Scenario planning</w:t>
      </w:r>
      <w:bookmarkEnd w:id="404"/>
      <w:bookmarkEnd w:id="405"/>
      <w:bookmarkEnd w:id="406"/>
    </w:p>
    <w:p w14:paraId="258489C1" w14:textId="03046F73" w:rsidR="00A104F7" w:rsidRDefault="0010453B" w:rsidP="0010453B">
      <w:pPr>
        <w:pStyle w:val="BodyText"/>
        <w:rPr>
          <w:lang w:eastAsia="en-US"/>
        </w:rPr>
      </w:pPr>
      <w:r>
        <w:rPr>
          <w:lang w:eastAsia="en-US"/>
        </w:rPr>
        <w:t>Our service strategies outline potential future climate scenarios informed by the best available climate projections, and modelling and research programs. They assess key risks and propose strategic adaptation responses that draw on community and stakeholder input. Use of climate scenarios is tailored to the unique requirements and best practices applicable to each service and type of risk. Scenario analysis and planning generally includes a Representative Concentration Pathway (RCP) of 8.5 as defined by the Intergovernmental Panel on Climate Change to explore potential ‘worst case’ future climate impacts, along with other scenarios that may be relevant. A range of other future conditions are considered alongside climate projections to explore topics such as interaction of climate changes and urban growth.</w:t>
      </w:r>
    </w:p>
    <w:p w14:paraId="1B4FBBEF" w14:textId="77777777" w:rsidR="0010453B" w:rsidRDefault="0010453B" w:rsidP="0010453B">
      <w:pPr>
        <w:pStyle w:val="Heading3"/>
      </w:pPr>
      <w:bookmarkStart w:id="407" w:name="_Toc89723037"/>
      <w:bookmarkStart w:id="408" w:name="_Toc90325980"/>
      <w:bookmarkStart w:id="409" w:name="_Toc93659386"/>
      <w:r>
        <w:t>Risk governance and management</w:t>
      </w:r>
      <w:bookmarkEnd w:id="407"/>
      <w:bookmarkEnd w:id="408"/>
      <w:bookmarkEnd w:id="409"/>
    </w:p>
    <w:p w14:paraId="05440400" w14:textId="6C2E0845" w:rsidR="0010453B" w:rsidRDefault="0010453B" w:rsidP="0010453B">
      <w:pPr>
        <w:pStyle w:val="BodyText"/>
        <w:rPr>
          <w:lang w:eastAsia="en-US"/>
        </w:rPr>
      </w:pPr>
      <w:r>
        <w:rPr>
          <w:lang w:eastAsia="en-US"/>
        </w:rPr>
        <w:t>Climate risks are governed internally through Melbourne Water’s business-wide risk framework, and through ongoing service planning processes. Climate risks, planning and responses are reported to the Board through quarterly risk reports, ongoing operational reporting and periodic detailed discussion of priority risk topics.</w:t>
      </w:r>
    </w:p>
    <w:p w14:paraId="5E9ECDBB" w14:textId="185A7BFE" w:rsidR="0010453B" w:rsidRDefault="0010453B" w:rsidP="001451F8">
      <w:pPr>
        <w:pStyle w:val="BodyText"/>
        <w:keepNext/>
        <w:keepLines/>
        <w:rPr>
          <w:lang w:eastAsia="en-US"/>
        </w:rPr>
      </w:pPr>
      <w:r>
        <w:rPr>
          <w:lang w:eastAsia="en-US"/>
        </w:rPr>
        <w:lastRenderedPageBreak/>
        <w:t>We conduct ongoing research and annual environment scanning to ensure we have the best available climate information and identify emerging risks and opportunities. We engage with regulators, research institutions and other government bodies in our region to share climate knowledge and coordinate our efforts.</w:t>
      </w:r>
    </w:p>
    <w:p w14:paraId="0D476AC2" w14:textId="77777777" w:rsidR="0010453B" w:rsidRDefault="0010453B" w:rsidP="0010453B">
      <w:pPr>
        <w:pStyle w:val="Heading3"/>
      </w:pPr>
      <w:bookmarkStart w:id="410" w:name="_Toc89723038"/>
      <w:bookmarkStart w:id="411" w:name="_Toc90325981"/>
      <w:bookmarkStart w:id="412" w:name="_Toc93659387"/>
      <w:r>
        <w:t>Climate planning and response</w:t>
      </w:r>
      <w:bookmarkEnd w:id="410"/>
      <w:bookmarkEnd w:id="411"/>
      <w:bookmarkEnd w:id="412"/>
    </w:p>
    <w:p w14:paraId="6B20B417" w14:textId="3ECDEAE3" w:rsidR="0010453B" w:rsidRDefault="0010453B" w:rsidP="0010453B">
      <w:pPr>
        <w:pStyle w:val="BodyText"/>
        <w:rPr>
          <w:lang w:eastAsia="en-US"/>
        </w:rPr>
      </w:pPr>
      <w:r>
        <w:rPr>
          <w:lang w:eastAsia="en-US"/>
        </w:rPr>
        <w:t>Examples of climate planning and response activities delivered in 2020-21 include:</w:t>
      </w:r>
    </w:p>
    <w:p w14:paraId="26548FF0" w14:textId="51861BA6" w:rsidR="0010453B" w:rsidRDefault="0010453B" w:rsidP="00C778D6">
      <w:pPr>
        <w:pStyle w:val="ListBullet"/>
        <w:rPr>
          <w:lang w:eastAsia="en-US"/>
        </w:rPr>
      </w:pPr>
      <w:r>
        <w:rPr>
          <w:lang w:eastAsia="en-US"/>
        </w:rPr>
        <w:t xml:space="preserve">working with </w:t>
      </w:r>
      <w:r w:rsidR="0030196D">
        <w:rPr>
          <w:lang w:eastAsia="en-US"/>
        </w:rPr>
        <w:t>Department of Environment, Land, Water and Planning</w:t>
      </w:r>
      <w:r>
        <w:rPr>
          <w:lang w:eastAsia="en-US"/>
        </w:rPr>
        <w:t xml:space="preserve"> to support an update of </w:t>
      </w:r>
      <w:r w:rsidRPr="0010453B">
        <w:rPr>
          <w:rStyle w:val="ItalicText"/>
          <w:lang w:eastAsia="en-US"/>
        </w:rPr>
        <w:t xml:space="preserve">Guidelines for Assessing the Impact of Climate Change on Water Availability in Victoria </w:t>
      </w:r>
      <w:r>
        <w:rPr>
          <w:lang w:eastAsia="en-US"/>
        </w:rPr>
        <w:t>to include urban and integrated water. These guidelines are now helping to inform long-term water strategy and ongoing exploration of stormwater harvesting and other activities that could help boost overall supplies in future</w:t>
      </w:r>
    </w:p>
    <w:p w14:paraId="7F6D1F98" w14:textId="3335F3C1" w:rsidR="0010453B" w:rsidRDefault="0010453B" w:rsidP="00C778D6">
      <w:pPr>
        <w:pStyle w:val="ListBullet"/>
        <w:rPr>
          <w:lang w:eastAsia="en-US"/>
        </w:rPr>
      </w:pPr>
      <w:r>
        <w:rPr>
          <w:lang w:eastAsia="en-US"/>
        </w:rPr>
        <w:t>modelling how much water may be needed by resilient urban forests and public parks to continue providing cool, green spaces for communities as the climate changes. This is part of our work to understand how water demands may change in future, and is helping inform how we plan with others for all future water needs</w:t>
      </w:r>
    </w:p>
    <w:p w14:paraId="5C344819" w14:textId="0F809065" w:rsidR="0010453B" w:rsidRDefault="0010453B" w:rsidP="00C778D6">
      <w:pPr>
        <w:pStyle w:val="ListBullet"/>
        <w:rPr>
          <w:lang w:eastAsia="en-US"/>
        </w:rPr>
      </w:pPr>
      <w:r>
        <w:rPr>
          <w:lang w:eastAsia="en-US"/>
        </w:rPr>
        <w:t xml:space="preserve">a range of emissions reduction research, investment and planning activities, as outlined in Our Path to Net Zero (see page </w:t>
      </w:r>
      <w:r w:rsidR="009D31FD">
        <w:rPr>
          <w:lang w:eastAsia="en-US"/>
        </w:rPr>
        <w:fldChar w:fldCharType="begin"/>
      </w:r>
      <w:r w:rsidR="009D31FD">
        <w:rPr>
          <w:lang w:eastAsia="en-US"/>
        </w:rPr>
        <w:instrText xml:space="preserve"> PAGEREF OurPathtoNetZero \h </w:instrText>
      </w:r>
      <w:r w:rsidR="009D31FD">
        <w:rPr>
          <w:lang w:eastAsia="en-US"/>
        </w:rPr>
      </w:r>
      <w:r w:rsidR="009D31FD">
        <w:rPr>
          <w:lang w:eastAsia="en-US"/>
        </w:rPr>
        <w:fldChar w:fldCharType="separate"/>
      </w:r>
      <w:r w:rsidR="00472151">
        <w:rPr>
          <w:noProof/>
          <w:lang w:eastAsia="en-US"/>
        </w:rPr>
        <w:t>59</w:t>
      </w:r>
      <w:r w:rsidR="009D31FD">
        <w:rPr>
          <w:lang w:eastAsia="en-US"/>
        </w:rPr>
        <w:fldChar w:fldCharType="end"/>
      </w:r>
      <w:r>
        <w:rPr>
          <w:lang w:eastAsia="en-US"/>
        </w:rPr>
        <w:t>).</w:t>
      </w:r>
    </w:p>
    <w:p w14:paraId="2D2799FC" w14:textId="525B1F61" w:rsidR="00A104F7" w:rsidRDefault="00B766F3" w:rsidP="00B766F3">
      <w:pPr>
        <w:pStyle w:val="Caption"/>
        <w:rPr>
          <w:lang w:eastAsia="en-US"/>
        </w:rPr>
      </w:pPr>
      <w:r w:rsidRPr="00B766F3">
        <w:rPr>
          <w:lang w:eastAsia="en-US"/>
        </w:rPr>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4</w:t>
      </w:r>
      <w:r>
        <w:rPr>
          <w:lang w:eastAsia="en-US"/>
        </w:rPr>
        <w:fldChar w:fldCharType="end"/>
      </w:r>
      <w:r w:rsidRPr="00B766F3">
        <w:rPr>
          <w:lang w:eastAsia="en-US"/>
        </w:rPr>
        <w:t>: Actions to address climate risk</w:t>
      </w:r>
    </w:p>
    <w:tbl>
      <w:tblPr>
        <w:tblStyle w:val="TableGrid"/>
        <w:tblW w:w="5000" w:type="pct"/>
        <w:tblLook w:val="04A0" w:firstRow="1" w:lastRow="0" w:firstColumn="1" w:lastColumn="0" w:noHBand="0" w:noVBand="1"/>
      </w:tblPr>
      <w:tblGrid>
        <w:gridCol w:w="1135"/>
        <w:gridCol w:w="6237"/>
        <w:gridCol w:w="2259"/>
      </w:tblGrid>
      <w:tr w:rsidR="00B766F3" w:rsidRPr="002C1E65" w14:paraId="274FAC04"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589" w:type="pct"/>
            <w:vAlign w:val="bottom"/>
          </w:tcPr>
          <w:p w14:paraId="1BF2FE58" w14:textId="72EEF7F0" w:rsidR="00B766F3" w:rsidRPr="002C1E65" w:rsidRDefault="00B766F3" w:rsidP="001A1874">
            <w:pPr>
              <w:pStyle w:val="TableBodyText"/>
              <w:rPr>
                <w:szCs w:val="20"/>
                <w:lang w:eastAsia="en-US"/>
              </w:rPr>
            </w:pPr>
            <w:bookmarkStart w:id="413" w:name="ColumnTitle_11"/>
            <w:r w:rsidRPr="002C1E65">
              <w:rPr>
                <w:szCs w:val="20"/>
                <w:lang w:eastAsia="en-US"/>
              </w:rPr>
              <w:t>Item</w:t>
            </w:r>
          </w:p>
        </w:tc>
        <w:tc>
          <w:tcPr>
            <w:tcW w:w="3238" w:type="pct"/>
            <w:vAlign w:val="bottom"/>
          </w:tcPr>
          <w:p w14:paraId="068B5719" w14:textId="69FF82E8" w:rsidR="00B766F3" w:rsidRPr="002C1E65" w:rsidRDefault="00B766F3" w:rsidP="001A1874">
            <w:pPr>
              <w:pStyle w:val="TableBodyText"/>
              <w:rPr>
                <w:szCs w:val="20"/>
                <w:lang w:eastAsia="en-US"/>
              </w:rPr>
            </w:pPr>
            <w:r w:rsidRPr="002C1E65">
              <w:rPr>
                <w:szCs w:val="20"/>
                <w:lang w:eastAsia="en-US"/>
              </w:rPr>
              <w:t>Climate risks</w:t>
            </w:r>
          </w:p>
        </w:tc>
        <w:tc>
          <w:tcPr>
            <w:tcW w:w="1173" w:type="pct"/>
            <w:vAlign w:val="bottom"/>
          </w:tcPr>
          <w:p w14:paraId="54143C07" w14:textId="47D2EC96" w:rsidR="00B766F3" w:rsidRPr="002C1E65" w:rsidRDefault="0030196D" w:rsidP="001A1874">
            <w:pPr>
              <w:pStyle w:val="TableBodyText"/>
              <w:rPr>
                <w:szCs w:val="20"/>
                <w:lang w:eastAsia="en-US"/>
              </w:rPr>
            </w:pPr>
            <w:r>
              <w:rPr>
                <w:szCs w:val="20"/>
                <w:lang w:eastAsia="en-US"/>
              </w:rPr>
              <w:t>Key Performance Indicators</w:t>
            </w:r>
          </w:p>
        </w:tc>
      </w:tr>
      <w:bookmarkEnd w:id="413"/>
      <w:tr w:rsidR="00B766F3" w:rsidRPr="002C1E65" w14:paraId="6487A647" w14:textId="77777777" w:rsidTr="001A1874">
        <w:tc>
          <w:tcPr>
            <w:tcW w:w="589" w:type="pct"/>
          </w:tcPr>
          <w:p w14:paraId="3686D644" w14:textId="16FADF1B" w:rsidR="00B766F3" w:rsidRPr="002C1E65" w:rsidRDefault="00B766F3" w:rsidP="00B766F3">
            <w:pPr>
              <w:pStyle w:val="TableBodyText"/>
              <w:rPr>
                <w:szCs w:val="20"/>
                <w:lang w:eastAsia="en-US"/>
              </w:rPr>
            </w:pPr>
            <w:r w:rsidRPr="002C1E65">
              <w:rPr>
                <w:szCs w:val="20"/>
                <w:lang w:eastAsia="en-US"/>
              </w:rPr>
              <w:t>Water</w:t>
            </w:r>
          </w:p>
        </w:tc>
        <w:tc>
          <w:tcPr>
            <w:tcW w:w="3238" w:type="pct"/>
          </w:tcPr>
          <w:p w14:paraId="78771D70" w14:textId="0ACA5FD7" w:rsidR="00B766F3" w:rsidRPr="002C1E65" w:rsidRDefault="00B766F3" w:rsidP="00B766F3">
            <w:pPr>
              <w:pStyle w:val="TableBodyText"/>
              <w:rPr>
                <w:szCs w:val="20"/>
                <w:lang w:eastAsia="en-US"/>
              </w:rPr>
            </w:pPr>
            <w:r w:rsidRPr="002C1E65">
              <w:rPr>
                <w:szCs w:val="20"/>
                <w:lang w:eastAsia="en-US"/>
              </w:rPr>
              <w:t>Climate risks for water supply include declining rainfall in catchments, rising future demand, and increasing risks to water quality from events such as bushfire and algal blooms. Water supply and demand modelling has identified that new supplies could be needed within the next decade. Opportunities include developing new sources such as stormwater harvesting and making efficient use of the water we have from existing sources. We are currently raising community awareness, maximising the volume of water held in storage for immediate security, and working with government through long-term urban planning and water strategy processes to enable investment in new water sources at the appropriate time.</w:t>
            </w:r>
          </w:p>
        </w:tc>
        <w:tc>
          <w:tcPr>
            <w:tcW w:w="1173" w:type="pct"/>
          </w:tcPr>
          <w:p w14:paraId="57305E6E" w14:textId="2A84D893" w:rsidR="00B766F3" w:rsidRPr="002C1E65" w:rsidRDefault="00B766F3" w:rsidP="00B766F3">
            <w:pPr>
              <w:pStyle w:val="TableBodyText"/>
              <w:rPr>
                <w:szCs w:val="20"/>
                <w:lang w:eastAsia="en-US"/>
              </w:rPr>
            </w:pPr>
            <w:r w:rsidRPr="002C1E65">
              <w:rPr>
                <w:szCs w:val="20"/>
                <w:lang w:eastAsia="en-US"/>
              </w:rPr>
              <w:t>Maintaining natural water storages at &gt;40% full</w:t>
            </w:r>
          </w:p>
          <w:p w14:paraId="6DD6CD1C" w14:textId="064E1D9D" w:rsidR="00B766F3" w:rsidRPr="002C1E65" w:rsidRDefault="00B766F3" w:rsidP="00B766F3">
            <w:pPr>
              <w:pStyle w:val="TableBodyText"/>
              <w:rPr>
                <w:szCs w:val="20"/>
                <w:lang w:eastAsia="en-US"/>
              </w:rPr>
            </w:pPr>
            <w:r w:rsidRPr="002C1E65">
              <w:rPr>
                <w:szCs w:val="20"/>
                <w:lang w:eastAsia="en-US"/>
              </w:rPr>
              <w:t>Support delivery of 80GL of alternative water by 2065</w:t>
            </w:r>
          </w:p>
        </w:tc>
      </w:tr>
      <w:tr w:rsidR="00B766F3" w:rsidRPr="002C1E65" w14:paraId="18D7B095" w14:textId="77777777" w:rsidTr="001A1874">
        <w:tc>
          <w:tcPr>
            <w:tcW w:w="589" w:type="pct"/>
          </w:tcPr>
          <w:p w14:paraId="4302DC6B" w14:textId="0FD6B446" w:rsidR="00B766F3" w:rsidRPr="002C1E65" w:rsidRDefault="00B766F3" w:rsidP="00B766F3">
            <w:pPr>
              <w:pStyle w:val="TableBodyText"/>
              <w:rPr>
                <w:szCs w:val="20"/>
                <w:lang w:eastAsia="en-US"/>
              </w:rPr>
            </w:pPr>
            <w:r w:rsidRPr="002C1E65">
              <w:rPr>
                <w:szCs w:val="20"/>
                <w:lang w:eastAsia="en-US"/>
              </w:rPr>
              <w:t>Sewerage</w:t>
            </w:r>
          </w:p>
        </w:tc>
        <w:tc>
          <w:tcPr>
            <w:tcW w:w="3238" w:type="pct"/>
          </w:tcPr>
          <w:p w14:paraId="289D5EDF" w14:textId="6C4E16AC" w:rsidR="00B766F3" w:rsidRPr="002C1E65" w:rsidRDefault="00B766F3" w:rsidP="00B766F3">
            <w:pPr>
              <w:pStyle w:val="TableBodyText"/>
              <w:rPr>
                <w:szCs w:val="20"/>
                <w:lang w:eastAsia="en-US"/>
              </w:rPr>
            </w:pPr>
            <w:r w:rsidRPr="002C1E65">
              <w:rPr>
                <w:szCs w:val="20"/>
                <w:lang w:eastAsia="en-US"/>
              </w:rPr>
              <w:t>Climate risks for sewerage systems include more intense rainfalls leading to more water entering transfer and treatment networks, sea level rise and erosion affecting coastal assets (including the Western Treatment Plant), and rising regulatory requirements and costs for managing greenhouse gas emissions associated with wastewater. Modelling is in progress to better understand priority risks at a number of time-steps out to 2100.</w:t>
            </w:r>
          </w:p>
        </w:tc>
        <w:tc>
          <w:tcPr>
            <w:tcW w:w="1173" w:type="pct"/>
          </w:tcPr>
          <w:p w14:paraId="5FCEBA8E" w14:textId="124CF1FF" w:rsidR="00B766F3" w:rsidRPr="002C1E65" w:rsidRDefault="00B766F3" w:rsidP="00B766F3">
            <w:pPr>
              <w:pStyle w:val="TableBodyText"/>
              <w:rPr>
                <w:szCs w:val="20"/>
                <w:lang w:eastAsia="en-US"/>
              </w:rPr>
            </w:pPr>
            <w:r w:rsidRPr="002C1E65">
              <w:rPr>
                <w:szCs w:val="20"/>
                <w:lang w:eastAsia="en-US"/>
              </w:rPr>
              <w:t>Reducing reportable greenhouse gas emission to 204,380 tonnes CO2-e by 2025</w:t>
            </w:r>
          </w:p>
        </w:tc>
      </w:tr>
      <w:tr w:rsidR="00B766F3" w:rsidRPr="002C1E65" w14:paraId="5813FD06" w14:textId="77777777" w:rsidTr="001A1874">
        <w:tc>
          <w:tcPr>
            <w:tcW w:w="589" w:type="pct"/>
          </w:tcPr>
          <w:p w14:paraId="259DF330" w14:textId="76005DBD" w:rsidR="00B766F3" w:rsidRPr="002C1E65" w:rsidRDefault="00B766F3" w:rsidP="00B766F3">
            <w:pPr>
              <w:pStyle w:val="TableBodyText"/>
              <w:rPr>
                <w:szCs w:val="20"/>
                <w:lang w:eastAsia="en-US"/>
              </w:rPr>
            </w:pPr>
            <w:r w:rsidRPr="002C1E65">
              <w:rPr>
                <w:szCs w:val="20"/>
                <w:lang w:eastAsia="en-US"/>
              </w:rPr>
              <w:t>Flood and Drainage</w:t>
            </w:r>
          </w:p>
        </w:tc>
        <w:tc>
          <w:tcPr>
            <w:tcW w:w="3238" w:type="pct"/>
          </w:tcPr>
          <w:p w14:paraId="667C8D90" w14:textId="476E58D3" w:rsidR="00B766F3" w:rsidRPr="002C1E65" w:rsidRDefault="00B766F3" w:rsidP="00B766F3">
            <w:pPr>
              <w:pStyle w:val="TableBodyText"/>
              <w:rPr>
                <w:szCs w:val="20"/>
                <w:lang w:eastAsia="en-US"/>
              </w:rPr>
            </w:pPr>
            <w:r w:rsidRPr="002C1E65">
              <w:rPr>
                <w:szCs w:val="20"/>
                <w:lang w:eastAsia="en-US"/>
              </w:rPr>
              <w:t>Climate risks for flood and drainage services include more intense storms and sea level rise leading to more frequent and costly floods in future. Risks from more intense storms and sea level rise are now being explored and modelled out to 2100. Opportunities include well-designed new urban developments and renovations that make buildings safer, and that reduce runoff by slowing or harvesting stormwater, and building community awareness to enable flood planning and safety. We are currently investing in flood risk modelling, improvements to urban drainage and flood systems, building community awareness, and working with planning authorities to inform design of new urban development.</w:t>
            </w:r>
          </w:p>
        </w:tc>
        <w:tc>
          <w:tcPr>
            <w:tcW w:w="1173" w:type="pct"/>
          </w:tcPr>
          <w:p w14:paraId="4FAD3273" w14:textId="3A77AF5A" w:rsidR="00B766F3" w:rsidRPr="002C1E65" w:rsidRDefault="00B766F3" w:rsidP="00B766F3">
            <w:pPr>
              <w:pStyle w:val="TableBodyText"/>
              <w:rPr>
                <w:szCs w:val="20"/>
                <w:lang w:eastAsia="en-US"/>
              </w:rPr>
            </w:pPr>
            <w:r w:rsidRPr="002C1E65">
              <w:rPr>
                <w:szCs w:val="20"/>
                <w:lang w:eastAsia="en-US"/>
              </w:rPr>
              <w:t>Flood information renewed in 25% of rural catchments and 35% of urban catchments subject to flooding from FY22 to FY26</w:t>
            </w:r>
          </w:p>
          <w:p w14:paraId="37872E9D" w14:textId="0481DDE9" w:rsidR="00B766F3" w:rsidRPr="002C1E65" w:rsidRDefault="00B766F3" w:rsidP="00B766F3">
            <w:pPr>
              <w:pStyle w:val="TableBodyText"/>
              <w:rPr>
                <w:szCs w:val="20"/>
                <w:lang w:eastAsia="en-US"/>
              </w:rPr>
            </w:pPr>
            <w:r w:rsidRPr="002C1E65">
              <w:rPr>
                <w:szCs w:val="20"/>
                <w:lang w:eastAsia="en-US"/>
              </w:rPr>
              <w:t>Reduction in flood damages of $155 million achieved over the life of the works for assets created in period from FY22 to FY26</w:t>
            </w:r>
          </w:p>
        </w:tc>
      </w:tr>
      <w:tr w:rsidR="00B766F3" w:rsidRPr="002C1E65" w14:paraId="62B8A9AD" w14:textId="77777777" w:rsidTr="001A1874">
        <w:tc>
          <w:tcPr>
            <w:tcW w:w="589" w:type="pct"/>
          </w:tcPr>
          <w:p w14:paraId="2BEE8C38" w14:textId="4CFE7B8F" w:rsidR="00B766F3" w:rsidRPr="002C1E65" w:rsidRDefault="001A1874" w:rsidP="00B766F3">
            <w:pPr>
              <w:pStyle w:val="TableBodyText"/>
              <w:rPr>
                <w:szCs w:val="20"/>
                <w:lang w:eastAsia="en-US"/>
              </w:rPr>
            </w:pPr>
            <w:r w:rsidRPr="002C1E65">
              <w:rPr>
                <w:szCs w:val="20"/>
                <w:lang w:eastAsia="en-US"/>
              </w:rPr>
              <w:t>Waterways</w:t>
            </w:r>
          </w:p>
        </w:tc>
        <w:tc>
          <w:tcPr>
            <w:tcW w:w="3238" w:type="pct"/>
          </w:tcPr>
          <w:p w14:paraId="79861DC7" w14:textId="3E6ECC28" w:rsidR="00B766F3" w:rsidRPr="002C1E65" w:rsidRDefault="00B766F3" w:rsidP="00B766F3">
            <w:pPr>
              <w:pStyle w:val="TableBodyText"/>
              <w:rPr>
                <w:szCs w:val="20"/>
                <w:lang w:eastAsia="en-US"/>
              </w:rPr>
            </w:pPr>
            <w:r w:rsidRPr="002C1E65">
              <w:rPr>
                <w:szCs w:val="20"/>
                <w:lang w:eastAsia="en-US"/>
              </w:rPr>
              <w:t xml:space="preserve">Climate risks for waterways include less water for the environment as overall water availability declines, and increasing heat, fire, sea level rise and flood risks affecting flora, fauna and ecosystems. These threats amplify the damage being done by urban runoff and invasive species. Climate-related impacts are being observed now, and we are conducting modelling and research to better understand impacts over time in complex ecosystems. </w:t>
            </w:r>
            <w:r w:rsidRPr="002C1E65">
              <w:rPr>
                <w:szCs w:val="20"/>
                <w:lang w:eastAsia="en-US"/>
              </w:rPr>
              <w:lastRenderedPageBreak/>
              <w:t>Opportunities include more stormwater re-use and groundwater infiltration, and seeking more water for the environment as part of long-term resource policy. We are currently monitoring and managing environmental water, working with other government agencies to improve urban stormwater re-use opportunities, and informing long-term state water strategies with information about future environmental requirements.</w:t>
            </w:r>
          </w:p>
        </w:tc>
        <w:tc>
          <w:tcPr>
            <w:tcW w:w="1173" w:type="pct"/>
          </w:tcPr>
          <w:p w14:paraId="3C226668" w14:textId="24238094" w:rsidR="00B766F3" w:rsidRPr="002C1E65" w:rsidRDefault="00B766F3" w:rsidP="00B766F3">
            <w:pPr>
              <w:pStyle w:val="TableBodyText"/>
              <w:rPr>
                <w:szCs w:val="20"/>
                <w:lang w:eastAsia="en-US"/>
              </w:rPr>
            </w:pPr>
            <w:r w:rsidRPr="002C1E65">
              <w:rPr>
                <w:szCs w:val="20"/>
                <w:lang w:eastAsia="en-US"/>
              </w:rPr>
              <w:lastRenderedPageBreak/>
              <w:t>Contribute to capturing and reusing 80GL/year of stormwater to protect and/or restore waterways</w:t>
            </w:r>
          </w:p>
          <w:p w14:paraId="2931488A" w14:textId="5517F302" w:rsidR="00B766F3" w:rsidRPr="002C1E65" w:rsidRDefault="00B766F3" w:rsidP="00B766F3">
            <w:pPr>
              <w:pStyle w:val="TableBodyText"/>
              <w:rPr>
                <w:szCs w:val="20"/>
                <w:lang w:eastAsia="en-US"/>
              </w:rPr>
            </w:pPr>
            <w:r w:rsidRPr="002C1E65">
              <w:rPr>
                <w:szCs w:val="20"/>
                <w:lang w:eastAsia="en-US"/>
              </w:rPr>
              <w:lastRenderedPageBreak/>
              <w:t>Stormwater harvesting and infiltration capacity will increase by 8GL/y through Melbourne Water programs from FY22 to FY26</w:t>
            </w:r>
          </w:p>
        </w:tc>
      </w:tr>
    </w:tbl>
    <w:p w14:paraId="545D8E37" w14:textId="2F2E3F45" w:rsidR="00A104F7" w:rsidRDefault="000B44E8" w:rsidP="002C717E">
      <w:pPr>
        <w:pStyle w:val="Heading4"/>
      </w:pPr>
      <w:bookmarkStart w:id="414" w:name="Climateandresiliencehighlights"/>
      <w:r w:rsidRPr="000B44E8">
        <w:lastRenderedPageBreak/>
        <w:t>Climate and resilience highlights from 2020-21 delivery program by service</w:t>
      </w:r>
    </w:p>
    <w:bookmarkEnd w:id="414"/>
    <w:p w14:paraId="6BCBC322" w14:textId="490F64DA" w:rsidR="008B2E8C" w:rsidRDefault="008B2E8C" w:rsidP="008B2E8C">
      <w:pPr>
        <w:rPr>
          <w:rStyle w:val="Bold"/>
          <w:b w:val="0"/>
        </w:rPr>
      </w:pPr>
      <w:r>
        <w:rPr>
          <w:rStyle w:val="Bold"/>
          <w:b w:val="0"/>
        </w:rPr>
        <w:t>Notes</w:t>
      </w:r>
      <w:r w:rsidR="00CF70F9">
        <w:rPr>
          <w:rStyle w:val="Bold"/>
          <w:b w:val="0"/>
        </w:rPr>
        <w:t xml:space="preserve"> on the table below</w:t>
      </w:r>
      <w:r>
        <w:rPr>
          <w:rStyle w:val="Bold"/>
          <w:b w:val="0"/>
        </w:rPr>
        <w:t>:</w:t>
      </w:r>
    </w:p>
    <w:p w14:paraId="7CFF3E4A" w14:textId="07FC0EAD" w:rsidR="008B2E8C" w:rsidRPr="008B2E8C" w:rsidRDefault="008B2E8C" w:rsidP="008B2E8C">
      <w:pPr>
        <w:pStyle w:val="ListBullet"/>
      </w:pPr>
      <w:r w:rsidRPr="008B2E8C">
        <w:t>Short term: A significant component that has been completed or will be completed within approx. 1 year. May also have ongoing elements eg capital delivery programs associated with a plan.</w:t>
      </w:r>
    </w:p>
    <w:p w14:paraId="5F8A20E2" w14:textId="0A197578" w:rsidR="008B2E8C" w:rsidRPr="008B2E8C" w:rsidRDefault="008B2E8C" w:rsidP="008B2E8C">
      <w:pPr>
        <w:pStyle w:val="ListBullet"/>
      </w:pPr>
      <w:r w:rsidRPr="008B2E8C">
        <w:t>Medium term: Work will continue over 1 – 5 years.</w:t>
      </w:r>
    </w:p>
    <w:p w14:paraId="0DBC3997" w14:textId="21549807" w:rsidR="008B2E8C" w:rsidRDefault="008B2E8C" w:rsidP="008B2E8C">
      <w:pPr>
        <w:pStyle w:val="ListBullet"/>
        <w:spacing w:after="240"/>
      </w:pPr>
      <w:r w:rsidRPr="008B2E8C">
        <w:t>Ongoing: A long term program</w:t>
      </w:r>
    </w:p>
    <w:p w14:paraId="01E1E179" w14:textId="77777777" w:rsidR="00CF70F9" w:rsidRDefault="00CF70F9" w:rsidP="00CF70F9">
      <w:pPr>
        <w:pStyle w:val="BodyText"/>
        <w:rPr>
          <w:rStyle w:val="Bold"/>
        </w:rPr>
      </w:pPr>
      <w:r w:rsidRPr="002C717E">
        <w:rPr>
          <w:rStyle w:val="Bold"/>
        </w:rPr>
        <w:t>Service: Water</w:t>
      </w:r>
    </w:p>
    <w:tbl>
      <w:tblPr>
        <w:tblStyle w:val="TableGrid"/>
        <w:tblW w:w="5000" w:type="pct"/>
        <w:tblLook w:val="04A0" w:firstRow="1" w:lastRow="0" w:firstColumn="1" w:lastColumn="0" w:noHBand="0" w:noVBand="1"/>
      </w:tblPr>
      <w:tblGrid>
        <w:gridCol w:w="5528"/>
        <w:gridCol w:w="4103"/>
      </w:tblGrid>
      <w:tr w:rsidR="00237018" w:rsidRPr="002C1E65" w14:paraId="32994473"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2870" w:type="pct"/>
            <w:vAlign w:val="bottom"/>
          </w:tcPr>
          <w:p w14:paraId="0D47A13B" w14:textId="02632BE5" w:rsidR="00237018" w:rsidRPr="002C1E65" w:rsidRDefault="00237018" w:rsidP="00CC42EC">
            <w:pPr>
              <w:pStyle w:val="TableBodyText"/>
              <w:rPr>
                <w:szCs w:val="20"/>
                <w:lang w:eastAsia="en-US"/>
              </w:rPr>
            </w:pPr>
            <w:bookmarkStart w:id="415" w:name="ColumnTitle_12"/>
            <w:r w:rsidRPr="002C1E65">
              <w:rPr>
                <w:szCs w:val="20"/>
                <w:lang w:eastAsia="en-US"/>
              </w:rPr>
              <w:t>Item</w:t>
            </w:r>
          </w:p>
        </w:tc>
        <w:tc>
          <w:tcPr>
            <w:tcW w:w="2130" w:type="pct"/>
            <w:vAlign w:val="bottom"/>
          </w:tcPr>
          <w:p w14:paraId="6C88A8C4" w14:textId="1DDFCE48" w:rsidR="00237018" w:rsidRPr="002C1E65" w:rsidRDefault="00237018" w:rsidP="00CC42EC">
            <w:pPr>
              <w:pStyle w:val="TableBodyText"/>
              <w:rPr>
                <w:szCs w:val="20"/>
                <w:lang w:eastAsia="en-US"/>
              </w:rPr>
            </w:pPr>
            <w:r w:rsidRPr="002C1E65">
              <w:rPr>
                <w:szCs w:val="20"/>
                <w:lang w:eastAsia="en-US"/>
              </w:rPr>
              <w:t>Functional business areas</w:t>
            </w:r>
          </w:p>
        </w:tc>
      </w:tr>
      <w:bookmarkEnd w:id="415"/>
      <w:tr w:rsidR="00237018" w:rsidRPr="002C1E65" w14:paraId="47C26EA3" w14:textId="77777777" w:rsidTr="009C58F5">
        <w:tc>
          <w:tcPr>
            <w:tcW w:w="2870" w:type="pct"/>
          </w:tcPr>
          <w:p w14:paraId="3CE3BB9B" w14:textId="0BE2AFF2" w:rsidR="00237018" w:rsidRPr="002C1E65" w:rsidRDefault="00237018" w:rsidP="00845BF3">
            <w:pPr>
              <w:pStyle w:val="TableBullet"/>
              <w:spacing w:before="60" w:after="60"/>
              <w:rPr>
                <w:szCs w:val="20"/>
              </w:rPr>
            </w:pPr>
            <w:r w:rsidRPr="002C1E65">
              <w:rPr>
                <w:szCs w:val="20"/>
              </w:rPr>
              <w:t>Delivered annual ‘Water Outlook’ and Desalinated Water Order Advice, to support long-term water security for all Victorians.</w:t>
            </w:r>
          </w:p>
        </w:tc>
        <w:tc>
          <w:tcPr>
            <w:tcW w:w="2130" w:type="pct"/>
          </w:tcPr>
          <w:p w14:paraId="37D3FA61" w14:textId="5684C3CD" w:rsidR="00237018" w:rsidRPr="002C1E65" w:rsidRDefault="00237018" w:rsidP="00845BF3">
            <w:pPr>
              <w:pStyle w:val="TableBullet"/>
              <w:spacing w:before="60" w:after="60"/>
              <w:rPr>
                <w:szCs w:val="20"/>
              </w:rPr>
            </w:pPr>
            <w:r w:rsidRPr="002C1E65">
              <w:rPr>
                <w:szCs w:val="20"/>
              </w:rPr>
              <w:t>Time frame:</w:t>
            </w:r>
            <w:r w:rsidR="002C717E" w:rsidRPr="002C1E65">
              <w:rPr>
                <w:szCs w:val="20"/>
              </w:rPr>
              <w:t xml:space="preserve"> Ongoing</w:t>
            </w:r>
          </w:p>
          <w:p w14:paraId="0E9F8606" w14:textId="03EAEA26" w:rsidR="00237018" w:rsidRPr="002C1E65" w:rsidRDefault="00237018" w:rsidP="00845BF3">
            <w:pPr>
              <w:pStyle w:val="TableBullet"/>
              <w:spacing w:before="60" w:after="60"/>
              <w:rPr>
                <w:szCs w:val="20"/>
              </w:rPr>
            </w:pPr>
            <w:r w:rsidRPr="002C1E65">
              <w:rPr>
                <w:szCs w:val="20"/>
              </w:rPr>
              <w:t>Source waters and demand:</w:t>
            </w:r>
            <w:r w:rsidR="002C717E" w:rsidRPr="002C1E65">
              <w:rPr>
                <w:szCs w:val="20"/>
              </w:rPr>
              <w:t xml:space="preserve"> Short term</w:t>
            </w:r>
          </w:p>
          <w:p w14:paraId="1504B609" w14:textId="0C84D788" w:rsidR="00237018" w:rsidRPr="002C1E65" w:rsidRDefault="00237018" w:rsidP="00845BF3">
            <w:pPr>
              <w:pStyle w:val="TableBullet"/>
              <w:spacing w:before="60" w:after="60"/>
              <w:rPr>
                <w:szCs w:val="20"/>
              </w:rPr>
            </w:pPr>
            <w:r w:rsidRPr="002C1E65">
              <w:rPr>
                <w:szCs w:val="20"/>
              </w:rPr>
              <w:t>Built assets:</w:t>
            </w:r>
            <w:r w:rsidR="002C717E" w:rsidRPr="002C1E65">
              <w:rPr>
                <w:szCs w:val="20"/>
              </w:rPr>
              <w:t xml:space="preserve"> N/A</w:t>
            </w:r>
          </w:p>
          <w:p w14:paraId="3FA1C3AA" w14:textId="74FB3964" w:rsidR="00237018" w:rsidRPr="002C1E65" w:rsidRDefault="00237018" w:rsidP="00845BF3">
            <w:pPr>
              <w:pStyle w:val="TableBullet"/>
              <w:spacing w:before="60" w:after="60"/>
              <w:rPr>
                <w:szCs w:val="20"/>
              </w:rPr>
            </w:pPr>
            <w:r w:rsidRPr="002C1E65">
              <w:rPr>
                <w:szCs w:val="20"/>
              </w:rPr>
              <w:t>Natural environment:</w:t>
            </w:r>
            <w:r w:rsidR="002C717E" w:rsidRPr="002C1E65">
              <w:rPr>
                <w:szCs w:val="20"/>
              </w:rPr>
              <w:t xml:space="preserve"> N/A</w:t>
            </w:r>
          </w:p>
          <w:p w14:paraId="2ACF3439" w14:textId="35D4DB9A" w:rsidR="00237018" w:rsidRPr="002C1E65" w:rsidRDefault="00237018" w:rsidP="00845BF3">
            <w:pPr>
              <w:pStyle w:val="TableBullet"/>
              <w:spacing w:before="60" w:after="60"/>
              <w:rPr>
                <w:szCs w:val="20"/>
              </w:rPr>
            </w:pPr>
            <w:r w:rsidRPr="002C1E65">
              <w:rPr>
                <w:szCs w:val="20"/>
              </w:rPr>
              <w:t>People and workplace:</w:t>
            </w:r>
            <w:r w:rsidR="002C717E" w:rsidRPr="002C1E65">
              <w:rPr>
                <w:szCs w:val="20"/>
              </w:rPr>
              <w:t xml:space="preserve"> N/A</w:t>
            </w:r>
          </w:p>
          <w:p w14:paraId="528763AE" w14:textId="29A8917E" w:rsidR="00237018" w:rsidRPr="002C1E65" w:rsidRDefault="00237018" w:rsidP="00845BF3">
            <w:pPr>
              <w:pStyle w:val="TableBullet"/>
              <w:spacing w:before="60" w:after="60"/>
              <w:rPr>
                <w:szCs w:val="20"/>
              </w:rPr>
            </w:pPr>
            <w:r w:rsidRPr="002C1E65">
              <w:rPr>
                <w:szCs w:val="20"/>
              </w:rPr>
              <w:t xml:space="preserve">Interdependencies: </w:t>
            </w:r>
            <w:r w:rsidR="002C717E" w:rsidRPr="002C1E65">
              <w:rPr>
                <w:szCs w:val="20"/>
              </w:rPr>
              <w:t>Short term</w:t>
            </w:r>
          </w:p>
          <w:p w14:paraId="70CFBBDD" w14:textId="43519DB6" w:rsidR="00237018" w:rsidRPr="002C1E65" w:rsidRDefault="00237018" w:rsidP="00845BF3">
            <w:pPr>
              <w:pStyle w:val="TableBullet"/>
              <w:spacing w:before="60" w:after="60"/>
              <w:rPr>
                <w:szCs w:val="20"/>
              </w:rPr>
            </w:pPr>
            <w:r w:rsidRPr="002C1E65">
              <w:rPr>
                <w:szCs w:val="20"/>
              </w:rPr>
              <w:t>Customer and product delivery:</w:t>
            </w:r>
            <w:r w:rsidR="002C717E" w:rsidRPr="002C1E65">
              <w:rPr>
                <w:szCs w:val="20"/>
              </w:rPr>
              <w:t xml:space="preserve"> Short term</w:t>
            </w:r>
          </w:p>
        </w:tc>
      </w:tr>
      <w:tr w:rsidR="00FB2BBF" w:rsidRPr="002C1E65" w14:paraId="1C786A94" w14:textId="77777777" w:rsidTr="009C58F5">
        <w:tc>
          <w:tcPr>
            <w:tcW w:w="2870" w:type="pct"/>
          </w:tcPr>
          <w:p w14:paraId="091B49F2" w14:textId="535FC770" w:rsidR="00FB2BBF" w:rsidRPr="002C1E65" w:rsidRDefault="00237018" w:rsidP="00845BF3">
            <w:pPr>
              <w:pStyle w:val="TableBullet"/>
              <w:spacing w:before="60" w:after="60"/>
              <w:rPr>
                <w:szCs w:val="20"/>
              </w:rPr>
            </w:pPr>
            <w:r w:rsidRPr="002C1E65">
              <w:rPr>
                <w:szCs w:val="20"/>
              </w:rPr>
              <w:t>Developed infrastructure investment programs and operating enhancements to improve water security under dry conditions.</w:t>
            </w:r>
          </w:p>
        </w:tc>
        <w:tc>
          <w:tcPr>
            <w:tcW w:w="2130" w:type="pct"/>
          </w:tcPr>
          <w:p w14:paraId="16168B2D" w14:textId="43AF17BB" w:rsidR="002C717E" w:rsidRPr="002C1E65" w:rsidRDefault="002C717E" w:rsidP="00845BF3">
            <w:pPr>
              <w:pStyle w:val="TableBullet"/>
              <w:spacing w:before="60" w:after="60"/>
              <w:rPr>
                <w:szCs w:val="20"/>
              </w:rPr>
            </w:pPr>
            <w:r w:rsidRPr="002C1E65">
              <w:rPr>
                <w:szCs w:val="20"/>
              </w:rPr>
              <w:t>Time frame: Medium term</w:t>
            </w:r>
          </w:p>
          <w:p w14:paraId="79E5EA4D" w14:textId="77777777" w:rsidR="002C717E" w:rsidRPr="002C1E65" w:rsidRDefault="002C717E" w:rsidP="00845BF3">
            <w:pPr>
              <w:pStyle w:val="TableBullet"/>
              <w:spacing w:before="60" w:after="60"/>
              <w:rPr>
                <w:szCs w:val="20"/>
              </w:rPr>
            </w:pPr>
            <w:r w:rsidRPr="002C1E65">
              <w:rPr>
                <w:szCs w:val="20"/>
              </w:rPr>
              <w:t>Source waters and demand: Short term</w:t>
            </w:r>
          </w:p>
          <w:p w14:paraId="045A8B94" w14:textId="531DA416" w:rsidR="002C717E" w:rsidRPr="002C1E65" w:rsidRDefault="002C717E" w:rsidP="00845BF3">
            <w:pPr>
              <w:pStyle w:val="TableBullet"/>
              <w:spacing w:before="60" w:after="60"/>
              <w:rPr>
                <w:szCs w:val="20"/>
              </w:rPr>
            </w:pPr>
            <w:r w:rsidRPr="002C1E65">
              <w:rPr>
                <w:szCs w:val="20"/>
              </w:rPr>
              <w:t xml:space="preserve">Built assets: </w:t>
            </w:r>
            <w:r w:rsidR="008B2E8C" w:rsidRPr="002C1E65">
              <w:rPr>
                <w:szCs w:val="20"/>
              </w:rPr>
              <w:t>Short term</w:t>
            </w:r>
          </w:p>
          <w:p w14:paraId="20A96D22" w14:textId="77777777" w:rsidR="002C717E" w:rsidRPr="002C1E65" w:rsidRDefault="002C717E" w:rsidP="00845BF3">
            <w:pPr>
              <w:pStyle w:val="TableBullet"/>
              <w:spacing w:before="60" w:after="60"/>
              <w:rPr>
                <w:szCs w:val="20"/>
              </w:rPr>
            </w:pPr>
            <w:r w:rsidRPr="002C1E65">
              <w:rPr>
                <w:szCs w:val="20"/>
              </w:rPr>
              <w:t>Natural environment: N/A</w:t>
            </w:r>
          </w:p>
          <w:p w14:paraId="1ECC65F4" w14:textId="77777777" w:rsidR="002C717E" w:rsidRPr="002C1E65" w:rsidRDefault="002C717E" w:rsidP="00845BF3">
            <w:pPr>
              <w:pStyle w:val="TableBullet"/>
              <w:spacing w:before="60" w:after="60"/>
              <w:rPr>
                <w:szCs w:val="20"/>
              </w:rPr>
            </w:pPr>
            <w:r w:rsidRPr="002C1E65">
              <w:rPr>
                <w:szCs w:val="20"/>
              </w:rPr>
              <w:t>People and workplace: N/A</w:t>
            </w:r>
          </w:p>
          <w:p w14:paraId="227008C0" w14:textId="77777777" w:rsidR="002C717E" w:rsidRPr="002C1E65" w:rsidRDefault="002C717E" w:rsidP="00845BF3">
            <w:pPr>
              <w:pStyle w:val="TableBullet"/>
              <w:spacing w:before="60" w:after="60"/>
              <w:rPr>
                <w:szCs w:val="20"/>
              </w:rPr>
            </w:pPr>
            <w:r w:rsidRPr="002C1E65">
              <w:rPr>
                <w:szCs w:val="20"/>
              </w:rPr>
              <w:t>Interdependencies: Short term</w:t>
            </w:r>
          </w:p>
          <w:p w14:paraId="4A1021A0" w14:textId="3F0C6FB0" w:rsidR="00FB2BBF" w:rsidRPr="002C1E65" w:rsidRDefault="002C717E" w:rsidP="00845BF3">
            <w:pPr>
              <w:pStyle w:val="TableBullet"/>
              <w:spacing w:before="60" w:after="60"/>
              <w:rPr>
                <w:szCs w:val="20"/>
              </w:rPr>
            </w:pPr>
            <w:r w:rsidRPr="002C1E65">
              <w:rPr>
                <w:szCs w:val="20"/>
              </w:rPr>
              <w:t>Customer and product delivery: Short term</w:t>
            </w:r>
          </w:p>
        </w:tc>
      </w:tr>
      <w:tr w:rsidR="00237018" w:rsidRPr="002C1E65" w14:paraId="2B918107" w14:textId="77777777" w:rsidTr="009C58F5">
        <w:tc>
          <w:tcPr>
            <w:tcW w:w="2870" w:type="pct"/>
          </w:tcPr>
          <w:p w14:paraId="103D4E8C" w14:textId="1E4B36C5" w:rsidR="00237018" w:rsidRPr="002C1E65" w:rsidRDefault="00237018" w:rsidP="00845BF3">
            <w:pPr>
              <w:pStyle w:val="TableBullet"/>
              <w:spacing w:before="60" w:after="60"/>
              <w:rPr>
                <w:szCs w:val="20"/>
              </w:rPr>
            </w:pPr>
            <w:r w:rsidRPr="002C1E65">
              <w:rPr>
                <w:szCs w:val="20"/>
              </w:rPr>
              <w:t>Planning for future climate-adaptive additional water sources including recommissioning, optimising long-term desalinated water volumes, harvesting stormwater and more use of reclaimed water.</w:t>
            </w:r>
          </w:p>
        </w:tc>
        <w:tc>
          <w:tcPr>
            <w:tcW w:w="2130" w:type="pct"/>
          </w:tcPr>
          <w:p w14:paraId="773F472A" w14:textId="67A1C9FD" w:rsidR="008B2E8C" w:rsidRPr="002C1E65" w:rsidRDefault="008B2E8C" w:rsidP="00845BF3">
            <w:pPr>
              <w:pStyle w:val="TableBullet"/>
              <w:spacing w:before="60" w:after="60"/>
              <w:rPr>
                <w:szCs w:val="20"/>
              </w:rPr>
            </w:pPr>
            <w:r w:rsidRPr="002C1E65">
              <w:rPr>
                <w:szCs w:val="20"/>
              </w:rPr>
              <w:t xml:space="preserve">Time frame: </w:t>
            </w:r>
            <w:r w:rsidR="00845BF3" w:rsidRPr="002C1E65">
              <w:rPr>
                <w:szCs w:val="20"/>
              </w:rPr>
              <w:t>Ongoing</w:t>
            </w:r>
          </w:p>
          <w:p w14:paraId="519A0B12" w14:textId="77777777" w:rsidR="008B2E8C" w:rsidRPr="002C1E65" w:rsidRDefault="008B2E8C" w:rsidP="00845BF3">
            <w:pPr>
              <w:pStyle w:val="TableBullet"/>
              <w:spacing w:before="60" w:after="60"/>
              <w:rPr>
                <w:szCs w:val="20"/>
              </w:rPr>
            </w:pPr>
            <w:r w:rsidRPr="002C1E65">
              <w:rPr>
                <w:szCs w:val="20"/>
              </w:rPr>
              <w:t>Source waters and demand: Short term</w:t>
            </w:r>
          </w:p>
          <w:p w14:paraId="1DA79246" w14:textId="3637CA2E" w:rsidR="008B2E8C" w:rsidRPr="002C1E65" w:rsidRDefault="008B2E8C" w:rsidP="00845BF3">
            <w:pPr>
              <w:pStyle w:val="TableBullet"/>
              <w:spacing w:before="60" w:after="60"/>
              <w:rPr>
                <w:szCs w:val="20"/>
              </w:rPr>
            </w:pPr>
            <w:r w:rsidRPr="002C1E65">
              <w:rPr>
                <w:szCs w:val="20"/>
              </w:rPr>
              <w:t xml:space="preserve">Built assets: </w:t>
            </w:r>
            <w:r w:rsidR="00845BF3" w:rsidRPr="002C1E65">
              <w:rPr>
                <w:szCs w:val="20"/>
              </w:rPr>
              <w:t>N/A</w:t>
            </w:r>
          </w:p>
          <w:p w14:paraId="40A34E03" w14:textId="77777777" w:rsidR="008B2E8C" w:rsidRPr="002C1E65" w:rsidRDefault="008B2E8C" w:rsidP="00845BF3">
            <w:pPr>
              <w:pStyle w:val="TableBullet"/>
              <w:spacing w:before="60" w:after="60"/>
              <w:rPr>
                <w:szCs w:val="20"/>
              </w:rPr>
            </w:pPr>
            <w:r w:rsidRPr="002C1E65">
              <w:rPr>
                <w:szCs w:val="20"/>
              </w:rPr>
              <w:t>Natural environment: N/A</w:t>
            </w:r>
          </w:p>
          <w:p w14:paraId="53F4A6F9" w14:textId="77777777" w:rsidR="008B2E8C" w:rsidRPr="002C1E65" w:rsidRDefault="008B2E8C" w:rsidP="00845BF3">
            <w:pPr>
              <w:pStyle w:val="TableBullet"/>
              <w:spacing w:before="60" w:after="60"/>
              <w:rPr>
                <w:szCs w:val="20"/>
              </w:rPr>
            </w:pPr>
            <w:r w:rsidRPr="002C1E65">
              <w:rPr>
                <w:szCs w:val="20"/>
              </w:rPr>
              <w:t>People and workplace: N/A</w:t>
            </w:r>
          </w:p>
          <w:p w14:paraId="6BB68F26" w14:textId="77777777" w:rsidR="008B2E8C" w:rsidRPr="002C1E65" w:rsidRDefault="008B2E8C" w:rsidP="00845BF3">
            <w:pPr>
              <w:pStyle w:val="TableBullet"/>
              <w:spacing w:before="60" w:after="60"/>
              <w:rPr>
                <w:szCs w:val="20"/>
              </w:rPr>
            </w:pPr>
            <w:r w:rsidRPr="002C1E65">
              <w:rPr>
                <w:szCs w:val="20"/>
              </w:rPr>
              <w:t>Interdependencies: Short term</w:t>
            </w:r>
          </w:p>
          <w:p w14:paraId="1AFB08E9" w14:textId="559E85D6" w:rsidR="00237018" w:rsidRPr="002C1E65" w:rsidRDefault="008B2E8C" w:rsidP="00845BF3">
            <w:pPr>
              <w:pStyle w:val="TableBullet"/>
              <w:spacing w:before="60" w:after="60"/>
              <w:rPr>
                <w:szCs w:val="20"/>
              </w:rPr>
            </w:pPr>
            <w:r w:rsidRPr="002C1E65">
              <w:rPr>
                <w:szCs w:val="20"/>
              </w:rPr>
              <w:t>Customer and product delivery: Short term</w:t>
            </w:r>
          </w:p>
        </w:tc>
      </w:tr>
      <w:tr w:rsidR="002C717E" w:rsidRPr="002C1E65" w14:paraId="7D3BBF5B" w14:textId="77777777" w:rsidTr="00CF70F9">
        <w:trPr>
          <w:cantSplit/>
        </w:trPr>
        <w:tc>
          <w:tcPr>
            <w:tcW w:w="2870" w:type="pct"/>
          </w:tcPr>
          <w:p w14:paraId="01A2E5D4" w14:textId="3E4BF7B2" w:rsidR="002C717E" w:rsidRPr="002C1E65" w:rsidRDefault="002C717E" w:rsidP="00845BF3">
            <w:pPr>
              <w:pStyle w:val="TableBullet"/>
              <w:spacing w:before="60" w:after="60"/>
              <w:rPr>
                <w:szCs w:val="20"/>
              </w:rPr>
            </w:pPr>
            <w:r w:rsidRPr="002C1E65">
              <w:rPr>
                <w:szCs w:val="20"/>
              </w:rPr>
              <w:t xml:space="preserve">Improvements to fire-fighting capability and safety in partnership with EMV and </w:t>
            </w:r>
            <w:r w:rsidR="0030196D">
              <w:rPr>
                <w:szCs w:val="20"/>
              </w:rPr>
              <w:t>Department of Environment, Land, Water and Planning</w:t>
            </w:r>
            <w:r w:rsidRPr="002C1E65">
              <w:rPr>
                <w:szCs w:val="20"/>
              </w:rPr>
              <w:t>.</w:t>
            </w:r>
          </w:p>
        </w:tc>
        <w:tc>
          <w:tcPr>
            <w:tcW w:w="2130" w:type="pct"/>
          </w:tcPr>
          <w:p w14:paraId="3D814546" w14:textId="6610168A" w:rsidR="008B2E8C" w:rsidRPr="002C1E65" w:rsidRDefault="008B2E8C" w:rsidP="00845BF3">
            <w:pPr>
              <w:pStyle w:val="TableBullet"/>
              <w:spacing w:before="60" w:after="60"/>
              <w:rPr>
                <w:szCs w:val="20"/>
              </w:rPr>
            </w:pPr>
            <w:r w:rsidRPr="002C1E65">
              <w:rPr>
                <w:szCs w:val="20"/>
              </w:rPr>
              <w:t xml:space="preserve">Time frame: </w:t>
            </w:r>
            <w:r w:rsidR="00845BF3" w:rsidRPr="002C1E65">
              <w:rPr>
                <w:szCs w:val="20"/>
              </w:rPr>
              <w:t>Ongoing</w:t>
            </w:r>
          </w:p>
          <w:p w14:paraId="234B62CD" w14:textId="77777777" w:rsidR="008B2E8C" w:rsidRPr="002C1E65" w:rsidRDefault="008B2E8C" w:rsidP="00845BF3">
            <w:pPr>
              <w:pStyle w:val="TableBullet"/>
              <w:spacing w:before="60" w:after="60"/>
              <w:rPr>
                <w:szCs w:val="20"/>
              </w:rPr>
            </w:pPr>
            <w:r w:rsidRPr="002C1E65">
              <w:rPr>
                <w:szCs w:val="20"/>
              </w:rPr>
              <w:t>Source waters and demand: Short term</w:t>
            </w:r>
          </w:p>
          <w:p w14:paraId="1E1A1A2E" w14:textId="77777777" w:rsidR="008B2E8C" w:rsidRPr="002C1E65" w:rsidRDefault="008B2E8C" w:rsidP="00845BF3">
            <w:pPr>
              <w:pStyle w:val="TableBullet"/>
              <w:spacing w:before="60" w:after="60"/>
              <w:rPr>
                <w:szCs w:val="20"/>
              </w:rPr>
            </w:pPr>
            <w:r w:rsidRPr="002C1E65">
              <w:rPr>
                <w:szCs w:val="20"/>
              </w:rPr>
              <w:t>Built assets: Short term</w:t>
            </w:r>
          </w:p>
          <w:p w14:paraId="6A6B2A07" w14:textId="458450C7" w:rsidR="008B2E8C" w:rsidRPr="002C1E65" w:rsidRDefault="008B2E8C" w:rsidP="00845BF3">
            <w:pPr>
              <w:pStyle w:val="TableBullet"/>
              <w:spacing w:before="60" w:after="60"/>
              <w:rPr>
                <w:szCs w:val="20"/>
              </w:rPr>
            </w:pPr>
            <w:r w:rsidRPr="002C1E65">
              <w:rPr>
                <w:szCs w:val="20"/>
              </w:rPr>
              <w:t xml:space="preserve">Natural environment: </w:t>
            </w:r>
            <w:r w:rsidR="00845BF3" w:rsidRPr="002C1E65">
              <w:rPr>
                <w:szCs w:val="20"/>
              </w:rPr>
              <w:t>N/A</w:t>
            </w:r>
          </w:p>
          <w:p w14:paraId="2C384E26" w14:textId="0A0AEFA5" w:rsidR="008B2E8C" w:rsidRPr="002C1E65" w:rsidRDefault="008B2E8C" w:rsidP="00845BF3">
            <w:pPr>
              <w:pStyle w:val="TableBullet"/>
              <w:spacing w:before="60" w:after="60"/>
              <w:rPr>
                <w:szCs w:val="20"/>
              </w:rPr>
            </w:pPr>
            <w:r w:rsidRPr="002C1E65">
              <w:rPr>
                <w:szCs w:val="20"/>
              </w:rPr>
              <w:t xml:space="preserve">People and workplace: </w:t>
            </w:r>
            <w:r w:rsidR="00845BF3" w:rsidRPr="002C1E65">
              <w:rPr>
                <w:szCs w:val="20"/>
              </w:rPr>
              <w:t>Short term</w:t>
            </w:r>
          </w:p>
          <w:p w14:paraId="071AC819" w14:textId="77777777" w:rsidR="008B2E8C" w:rsidRPr="002C1E65" w:rsidRDefault="008B2E8C" w:rsidP="00845BF3">
            <w:pPr>
              <w:pStyle w:val="TableBullet"/>
              <w:spacing w:before="60" w:after="60"/>
              <w:rPr>
                <w:szCs w:val="20"/>
              </w:rPr>
            </w:pPr>
            <w:r w:rsidRPr="002C1E65">
              <w:rPr>
                <w:szCs w:val="20"/>
              </w:rPr>
              <w:t>Interdependencies: Short term</w:t>
            </w:r>
          </w:p>
          <w:p w14:paraId="6157B807" w14:textId="297B14B7" w:rsidR="002C717E" w:rsidRPr="002C1E65" w:rsidRDefault="008B2E8C" w:rsidP="00845BF3">
            <w:pPr>
              <w:pStyle w:val="TableBullet"/>
              <w:spacing w:before="60" w:after="60"/>
              <w:rPr>
                <w:szCs w:val="20"/>
              </w:rPr>
            </w:pPr>
            <w:r w:rsidRPr="002C1E65">
              <w:rPr>
                <w:szCs w:val="20"/>
              </w:rPr>
              <w:t>Customer and product delivery: Short term</w:t>
            </w:r>
          </w:p>
        </w:tc>
      </w:tr>
      <w:tr w:rsidR="002C717E" w:rsidRPr="002C1E65" w14:paraId="1F61225A" w14:textId="77777777" w:rsidTr="009C58F5">
        <w:tc>
          <w:tcPr>
            <w:tcW w:w="2870" w:type="pct"/>
          </w:tcPr>
          <w:p w14:paraId="540734FD" w14:textId="6FB4F6E8" w:rsidR="002C717E" w:rsidRPr="002C1E65" w:rsidRDefault="00A66E5C" w:rsidP="00845BF3">
            <w:pPr>
              <w:pStyle w:val="TableBullet"/>
              <w:spacing w:before="60" w:after="60"/>
              <w:rPr>
                <w:szCs w:val="20"/>
              </w:rPr>
            </w:pPr>
            <w:r w:rsidRPr="002C1E65">
              <w:rPr>
                <w:szCs w:val="20"/>
              </w:rPr>
              <w:t xml:space="preserve">Modelled potential increases to water transfer requirements under heatwave conditions for a range of time horizons, and started </w:t>
            </w:r>
            <w:r w:rsidRPr="002C1E65">
              <w:rPr>
                <w:szCs w:val="20"/>
              </w:rPr>
              <w:lastRenderedPageBreak/>
              <w:t>developing new methods to understand future climate impacts on water demand and transfer needs.</w:t>
            </w:r>
          </w:p>
        </w:tc>
        <w:tc>
          <w:tcPr>
            <w:tcW w:w="2130" w:type="pct"/>
          </w:tcPr>
          <w:p w14:paraId="71D67BB5" w14:textId="48252BFB" w:rsidR="008B2E8C" w:rsidRPr="002C1E65" w:rsidRDefault="008B2E8C" w:rsidP="00845BF3">
            <w:pPr>
              <w:pStyle w:val="TableBullet"/>
              <w:spacing w:before="60" w:after="60"/>
              <w:rPr>
                <w:szCs w:val="20"/>
              </w:rPr>
            </w:pPr>
            <w:r w:rsidRPr="002C1E65">
              <w:rPr>
                <w:szCs w:val="20"/>
              </w:rPr>
              <w:lastRenderedPageBreak/>
              <w:t xml:space="preserve">Time frame: </w:t>
            </w:r>
            <w:r w:rsidR="00845BF3" w:rsidRPr="002C1E65">
              <w:rPr>
                <w:szCs w:val="20"/>
              </w:rPr>
              <w:t>Ongoing</w:t>
            </w:r>
          </w:p>
          <w:p w14:paraId="4C54B6AE" w14:textId="06DB1D1E" w:rsidR="008B2E8C" w:rsidRPr="002C1E65" w:rsidRDefault="008B2E8C" w:rsidP="00845BF3">
            <w:pPr>
              <w:pStyle w:val="TableBullet"/>
              <w:spacing w:before="60" w:after="60"/>
              <w:rPr>
                <w:szCs w:val="20"/>
              </w:rPr>
            </w:pPr>
            <w:r w:rsidRPr="002C1E65">
              <w:rPr>
                <w:szCs w:val="20"/>
              </w:rPr>
              <w:t xml:space="preserve">Source waters and demand: </w:t>
            </w:r>
            <w:r w:rsidR="00845BF3" w:rsidRPr="002C1E65">
              <w:rPr>
                <w:szCs w:val="20"/>
              </w:rPr>
              <w:t>N/A</w:t>
            </w:r>
          </w:p>
          <w:p w14:paraId="68F108A6" w14:textId="77777777" w:rsidR="008B2E8C" w:rsidRPr="002C1E65" w:rsidRDefault="008B2E8C" w:rsidP="00845BF3">
            <w:pPr>
              <w:pStyle w:val="TableBullet"/>
              <w:spacing w:before="60" w:after="60"/>
              <w:rPr>
                <w:szCs w:val="20"/>
              </w:rPr>
            </w:pPr>
            <w:r w:rsidRPr="002C1E65">
              <w:rPr>
                <w:szCs w:val="20"/>
              </w:rPr>
              <w:lastRenderedPageBreak/>
              <w:t>Built assets: Short term</w:t>
            </w:r>
          </w:p>
          <w:p w14:paraId="01E5C789" w14:textId="77777777" w:rsidR="008B2E8C" w:rsidRPr="002C1E65" w:rsidRDefault="008B2E8C" w:rsidP="00845BF3">
            <w:pPr>
              <w:pStyle w:val="TableBullet"/>
              <w:spacing w:before="60" w:after="60"/>
              <w:rPr>
                <w:szCs w:val="20"/>
              </w:rPr>
            </w:pPr>
            <w:r w:rsidRPr="002C1E65">
              <w:rPr>
                <w:szCs w:val="20"/>
              </w:rPr>
              <w:t>Natural environment: N/A</w:t>
            </w:r>
          </w:p>
          <w:p w14:paraId="67249694" w14:textId="77777777" w:rsidR="008B2E8C" w:rsidRPr="002C1E65" w:rsidRDefault="008B2E8C" w:rsidP="00845BF3">
            <w:pPr>
              <w:pStyle w:val="TableBullet"/>
              <w:spacing w:before="60" w:after="60"/>
              <w:rPr>
                <w:szCs w:val="20"/>
              </w:rPr>
            </w:pPr>
            <w:r w:rsidRPr="002C1E65">
              <w:rPr>
                <w:szCs w:val="20"/>
              </w:rPr>
              <w:t>People and workplace: N/A</w:t>
            </w:r>
          </w:p>
          <w:p w14:paraId="01B1945F" w14:textId="77777777" w:rsidR="008B2E8C" w:rsidRPr="002C1E65" w:rsidRDefault="008B2E8C" w:rsidP="00845BF3">
            <w:pPr>
              <w:pStyle w:val="TableBullet"/>
              <w:spacing w:before="60" w:after="60"/>
              <w:rPr>
                <w:szCs w:val="20"/>
              </w:rPr>
            </w:pPr>
            <w:r w:rsidRPr="002C1E65">
              <w:rPr>
                <w:szCs w:val="20"/>
              </w:rPr>
              <w:t>Interdependencies: Short term</w:t>
            </w:r>
          </w:p>
          <w:p w14:paraId="3388BA55" w14:textId="1495BA82" w:rsidR="002C717E" w:rsidRPr="002C1E65" w:rsidRDefault="008B2E8C" w:rsidP="00845BF3">
            <w:pPr>
              <w:pStyle w:val="TableBullet"/>
              <w:spacing w:before="60" w:after="60"/>
              <w:rPr>
                <w:szCs w:val="20"/>
              </w:rPr>
            </w:pPr>
            <w:r w:rsidRPr="002C1E65">
              <w:rPr>
                <w:szCs w:val="20"/>
              </w:rPr>
              <w:t>Customer and product delivery: Short term</w:t>
            </w:r>
          </w:p>
        </w:tc>
      </w:tr>
      <w:tr w:rsidR="002C717E" w:rsidRPr="002C1E65" w14:paraId="1F519074" w14:textId="77777777" w:rsidTr="009C58F5">
        <w:tc>
          <w:tcPr>
            <w:tcW w:w="2870" w:type="pct"/>
          </w:tcPr>
          <w:p w14:paraId="723425F5" w14:textId="4CD225FD" w:rsidR="002C717E" w:rsidRPr="002C1E65" w:rsidRDefault="002C717E" w:rsidP="00845BF3">
            <w:pPr>
              <w:pStyle w:val="TableBullet"/>
              <w:spacing w:before="60" w:after="60"/>
              <w:rPr>
                <w:szCs w:val="20"/>
              </w:rPr>
            </w:pPr>
            <w:r w:rsidRPr="002C1E65">
              <w:rPr>
                <w:szCs w:val="20"/>
              </w:rPr>
              <w:lastRenderedPageBreak/>
              <w:t>Modelled potential water demand for urban forests and parks under future climates for inclusion in future water strategies and regional vegetation planning.</w:t>
            </w:r>
          </w:p>
        </w:tc>
        <w:tc>
          <w:tcPr>
            <w:tcW w:w="2130" w:type="pct"/>
          </w:tcPr>
          <w:p w14:paraId="4F20D755" w14:textId="77777777" w:rsidR="008B2E8C" w:rsidRPr="002C1E65" w:rsidRDefault="008B2E8C" w:rsidP="00845BF3">
            <w:pPr>
              <w:pStyle w:val="TableBullet"/>
              <w:spacing w:before="60" w:after="60"/>
              <w:rPr>
                <w:szCs w:val="20"/>
              </w:rPr>
            </w:pPr>
            <w:r w:rsidRPr="002C1E65">
              <w:rPr>
                <w:szCs w:val="20"/>
              </w:rPr>
              <w:t>Time frame: Medium term</w:t>
            </w:r>
          </w:p>
          <w:p w14:paraId="39F1BB02" w14:textId="77777777" w:rsidR="008B2E8C" w:rsidRPr="002C1E65" w:rsidRDefault="008B2E8C" w:rsidP="00845BF3">
            <w:pPr>
              <w:pStyle w:val="TableBullet"/>
              <w:spacing w:before="60" w:after="60"/>
              <w:rPr>
                <w:szCs w:val="20"/>
              </w:rPr>
            </w:pPr>
            <w:r w:rsidRPr="002C1E65">
              <w:rPr>
                <w:szCs w:val="20"/>
              </w:rPr>
              <w:t>Source waters and demand: Short term</w:t>
            </w:r>
          </w:p>
          <w:p w14:paraId="09A0217C" w14:textId="08499B8C" w:rsidR="008B2E8C" w:rsidRPr="002C1E65" w:rsidRDefault="008B2E8C" w:rsidP="00845BF3">
            <w:pPr>
              <w:pStyle w:val="TableBullet"/>
              <w:spacing w:before="60" w:after="60"/>
              <w:rPr>
                <w:szCs w:val="20"/>
              </w:rPr>
            </w:pPr>
            <w:r w:rsidRPr="002C1E65">
              <w:rPr>
                <w:szCs w:val="20"/>
              </w:rPr>
              <w:t xml:space="preserve">Built assets: </w:t>
            </w:r>
            <w:r w:rsidR="00845BF3" w:rsidRPr="002C1E65">
              <w:rPr>
                <w:szCs w:val="20"/>
              </w:rPr>
              <w:t>N/A</w:t>
            </w:r>
          </w:p>
          <w:p w14:paraId="5F3138C9" w14:textId="20B691EA" w:rsidR="008B2E8C" w:rsidRPr="002C1E65" w:rsidRDefault="008B2E8C" w:rsidP="00845BF3">
            <w:pPr>
              <w:pStyle w:val="TableBullet"/>
              <w:spacing w:before="60" w:after="60"/>
              <w:rPr>
                <w:szCs w:val="20"/>
              </w:rPr>
            </w:pPr>
            <w:r w:rsidRPr="002C1E65">
              <w:rPr>
                <w:szCs w:val="20"/>
              </w:rPr>
              <w:t xml:space="preserve">Natural environment: </w:t>
            </w:r>
            <w:r w:rsidR="00845BF3" w:rsidRPr="002C1E65">
              <w:rPr>
                <w:szCs w:val="20"/>
              </w:rPr>
              <w:t>Short term</w:t>
            </w:r>
          </w:p>
          <w:p w14:paraId="7E5C4D55" w14:textId="77777777" w:rsidR="008B2E8C" w:rsidRPr="002C1E65" w:rsidRDefault="008B2E8C" w:rsidP="00845BF3">
            <w:pPr>
              <w:pStyle w:val="TableBullet"/>
              <w:spacing w:before="60" w:after="60"/>
              <w:rPr>
                <w:szCs w:val="20"/>
              </w:rPr>
            </w:pPr>
            <w:r w:rsidRPr="002C1E65">
              <w:rPr>
                <w:szCs w:val="20"/>
              </w:rPr>
              <w:t>People and workplace: N/A</w:t>
            </w:r>
          </w:p>
          <w:p w14:paraId="360FBFAC" w14:textId="77777777" w:rsidR="008B2E8C" w:rsidRPr="002C1E65" w:rsidRDefault="008B2E8C" w:rsidP="00845BF3">
            <w:pPr>
              <w:pStyle w:val="TableBullet"/>
              <w:spacing w:before="60" w:after="60"/>
              <w:rPr>
                <w:szCs w:val="20"/>
              </w:rPr>
            </w:pPr>
            <w:r w:rsidRPr="002C1E65">
              <w:rPr>
                <w:szCs w:val="20"/>
              </w:rPr>
              <w:t>Interdependencies: Short term</w:t>
            </w:r>
          </w:p>
          <w:p w14:paraId="55A1128D" w14:textId="153904D3" w:rsidR="002C717E" w:rsidRPr="002C1E65" w:rsidRDefault="008B2E8C" w:rsidP="00845BF3">
            <w:pPr>
              <w:pStyle w:val="TableBullet"/>
              <w:spacing w:before="60" w:after="60"/>
              <w:rPr>
                <w:szCs w:val="20"/>
              </w:rPr>
            </w:pPr>
            <w:r w:rsidRPr="002C1E65">
              <w:rPr>
                <w:szCs w:val="20"/>
              </w:rPr>
              <w:t>Customer and product delivery: Short term</w:t>
            </w:r>
          </w:p>
        </w:tc>
      </w:tr>
      <w:tr w:rsidR="002C717E" w:rsidRPr="002C1E65" w14:paraId="37239E99" w14:textId="77777777" w:rsidTr="009C58F5">
        <w:tc>
          <w:tcPr>
            <w:tcW w:w="2870" w:type="pct"/>
          </w:tcPr>
          <w:p w14:paraId="0438F3BD" w14:textId="2468E590" w:rsidR="002C717E" w:rsidRPr="002C1E65" w:rsidRDefault="002C717E" w:rsidP="00845BF3">
            <w:pPr>
              <w:pStyle w:val="TableBullet"/>
              <w:spacing w:before="60" w:after="60"/>
              <w:rPr>
                <w:szCs w:val="20"/>
              </w:rPr>
            </w:pPr>
            <w:r w:rsidRPr="002C1E65">
              <w:rPr>
                <w:szCs w:val="20"/>
              </w:rPr>
              <w:t>Research and modelling to better understand climate risks to catchments, hydrology, water quality and supply, and water supply assets, and help develop options to maintain water security and quality through climate variability and extreme events.</w:t>
            </w:r>
          </w:p>
        </w:tc>
        <w:tc>
          <w:tcPr>
            <w:tcW w:w="2130" w:type="pct"/>
          </w:tcPr>
          <w:p w14:paraId="477AD63D" w14:textId="14814548" w:rsidR="008B2E8C" w:rsidRPr="002C1E65" w:rsidRDefault="008B2E8C" w:rsidP="00845BF3">
            <w:pPr>
              <w:pStyle w:val="TableBullet"/>
              <w:spacing w:before="60" w:after="60"/>
              <w:rPr>
                <w:szCs w:val="20"/>
              </w:rPr>
            </w:pPr>
            <w:r w:rsidRPr="002C1E65">
              <w:rPr>
                <w:szCs w:val="20"/>
              </w:rPr>
              <w:t xml:space="preserve">Time frame: </w:t>
            </w:r>
            <w:r w:rsidR="00845BF3" w:rsidRPr="002C1E65">
              <w:rPr>
                <w:szCs w:val="20"/>
              </w:rPr>
              <w:t>Ongoing</w:t>
            </w:r>
          </w:p>
          <w:p w14:paraId="4E79B5DB" w14:textId="77777777" w:rsidR="008B2E8C" w:rsidRPr="002C1E65" w:rsidRDefault="008B2E8C" w:rsidP="00845BF3">
            <w:pPr>
              <w:pStyle w:val="TableBullet"/>
              <w:spacing w:before="60" w:after="60"/>
              <w:rPr>
                <w:szCs w:val="20"/>
              </w:rPr>
            </w:pPr>
            <w:r w:rsidRPr="002C1E65">
              <w:rPr>
                <w:szCs w:val="20"/>
              </w:rPr>
              <w:t>Source waters and demand: Short term</w:t>
            </w:r>
          </w:p>
          <w:p w14:paraId="2E426847" w14:textId="447AB23D" w:rsidR="008B2E8C" w:rsidRPr="002C1E65" w:rsidRDefault="008B2E8C" w:rsidP="00845BF3">
            <w:pPr>
              <w:pStyle w:val="TableBullet"/>
              <w:spacing w:before="60" w:after="60"/>
              <w:rPr>
                <w:szCs w:val="20"/>
              </w:rPr>
            </w:pPr>
            <w:r w:rsidRPr="002C1E65">
              <w:rPr>
                <w:szCs w:val="20"/>
              </w:rPr>
              <w:t xml:space="preserve">Built assets: </w:t>
            </w:r>
            <w:r w:rsidR="00845BF3" w:rsidRPr="002C1E65">
              <w:rPr>
                <w:szCs w:val="20"/>
              </w:rPr>
              <w:t>N/A</w:t>
            </w:r>
          </w:p>
          <w:p w14:paraId="44A73DD7" w14:textId="3CD97554" w:rsidR="008B2E8C" w:rsidRPr="002C1E65" w:rsidRDefault="008B2E8C" w:rsidP="00845BF3">
            <w:pPr>
              <w:pStyle w:val="TableBullet"/>
              <w:spacing w:before="60" w:after="60"/>
              <w:rPr>
                <w:szCs w:val="20"/>
              </w:rPr>
            </w:pPr>
            <w:r w:rsidRPr="002C1E65">
              <w:rPr>
                <w:szCs w:val="20"/>
              </w:rPr>
              <w:t xml:space="preserve">Natural environment: </w:t>
            </w:r>
            <w:r w:rsidR="00845BF3" w:rsidRPr="002C1E65">
              <w:rPr>
                <w:szCs w:val="20"/>
              </w:rPr>
              <w:t>Short term</w:t>
            </w:r>
          </w:p>
          <w:p w14:paraId="5EFC36F9" w14:textId="268CD306" w:rsidR="008B2E8C" w:rsidRPr="002C1E65" w:rsidRDefault="008B2E8C" w:rsidP="00845BF3">
            <w:pPr>
              <w:pStyle w:val="TableBullet"/>
              <w:spacing w:before="60" w:after="60"/>
              <w:rPr>
                <w:szCs w:val="20"/>
              </w:rPr>
            </w:pPr>
            <w:r w:rsidRPr="002C1E65">
              <w:rPr>
                <w:szCs w:val="20"/>
              </w:rPr>
              <w:t xml:space="preserve">People and workplace: </w:t>
            </w:r>
            <w:r w:rsidR="00845BF3" w:rsidRPr="002C1E65">
              <w:rPr>
                <w:szCs w:val="20"/>
              </w:rPr>
              <w:t>Short term</w:t>
            </w:r>
          </w:p>
          <w:p w14:paraId="0CD5CE72" w14:textId="77777777" w:rsidR="008B2E8C" w:rsidRPr="002C1E65" w:rsidRDefault="008B2E8C" w:rsidP="00845BF3">
            <w:pPr>
              <w:pStyle w:val="TableBullet"/>
              <w:spacing w:before="60" w:after="60"/>
              <w:rPr>
                <w:szCs w:val="20"/>
              </w:rPr>
            </w:pPr>
            <w:r w:rsidRPr="002C1E65">
              <w:rPr>
                <w:szCs w:val="20"/>
              </w:rPr>
              <w:t>Interdependencies: Short term</w:t>
            </w:r>
          </w:p>
          <w:p w14:paraId="17EB40DA" w14:textId="015D92AE" w:rsidR="002C717E" w:rsidRPr="002C1E65" w:rsidRDefault="008B2E8C" w:rsidP="00845BF3">
            <w:pPr>
              <w:pStyle w:val="TableBullet"/>
              <w:spacing w:before="60" w:after="60"/>
              <w:rPr>
                <w:szCs w:val="20"/>
              </w:rPr>
            </w:pPr>
            <w:r w:rsidRPr="002C1E65">
              <w:rPr>
                <w:szCs w:val="20"/>
              </w:rPr>
              <w:t>Customer and product delivery: Short term</w:t>
            </w:r>
          </w:p>
        </w:tc>
      </w:tr>
      <w:tr w:rsidR="002C717E" w:rsidRPr="002C1E65" w14:paraId="4E5DE755" w14:textId="77777777" w:rsidTr="009C58F5">
        <w:tc>
          <w:tcPr>
            <w:tcW w:w="2870" w:type="pct"/>
          </w:tcPr>
          <w:p w14:paraId="124D64C3" w14:textId="03F3EFF9" w:rsidR="002C717E" w:rsidRPr="002C1E65" w:rsidRDefault="002C717E" w:rsidP="00845BF3">
            <w:pPr>
              <w:pStyle w:val="TableBullet"/>
              <w:spacing w:before="60" w:after="60"/>
              <w:rPr>
                <w:szCs w:val="20"/>
              </w:rPr>
            </w:pPr>
            <w:r w:rsidRPr="002C1E65">
              <w:rPr>
                <w:szCs w:val="20"/>
              </w:rPr>
              <w:t>Engaged with government to support new guidelines for urban water strategies, drought preparedness plans, and water supply adaptation planning that responds to climate change.</w:t>
            </w:r>
          </w:p>
        </w:tc>
        <w:tc>
          <w:tcPr>
            <w:tcW w:w="2130" w:type="pct"/>
          </w:tcPr>
          <w:p w14:paraId="7DD0D794" w14:textId="02BDFC72" w:rsidR="008B2E8C" w:rsidRPr="002C1E65" w:rsidRDefault="008B2E8C" w:rsidP="00845BF3">
            <w:pPr>
              <w:pStyle w:val="TableBullet"/>
              <w:spacing w:before="60" w:after="60"/>
              <w:rPr>
                <w:szCs w:val="20"/>
              </w:rPr>
            </w:pPr>
            <w:r w:rsidRPr="002C1E65">
              <w:rPr>
                <w:szCs w:val="20"/>
              </w:rPr>
              <w:t xml:space="preserve">Time frame: </w:t>
            </w:r>
            <w:r w:rsidR="00845BF3" w:rsidRPr="002C1E65">
              <w:rPr>
                <w:szCs w:val="20"/>
              </w:rPr>
              <w:t>Ongoing</w:t>
            </w:r>
          </w:p>
          <w:p w14:paraId="4FEB35B6" w14:textId="77777777" w:rsidR="008B2E8C" w:rsidRPr="002C1E65" w:rsidRDefault="008B2E8C" w:rsidP="00845BF3">
            <w:pPr>
              <w:pStyle w:val="TableBullet"/>
              <w:spacing w:before="60" w:after="60"/>
              <w:rPr>
                <w:szCs w:val="20"/>
              </w:rPr>
            </w:pPr>
            <w:r w:rsidRPr="002C1E65">
              <w:rPr>
                <w:szCs w:val="20"/>
              </w:rPr>
              <w:t>Source waters and demand: Short term</w:t>
            </w:r>
          </w:p>
          <w:p w14:paraId="0D78708B" w14:textId="7FC18960" w:rsidR="008B2E8C" w:rsidRPr="002C1E65" w:rsidRDefault="008B2E8C" w:rsidP="00845BF3">
            <w:pPr>
              <w:pStyle w:val="TableBullet"/>
              <w:spacing w:before="60" w:after="60"/>
              <w:rPr>
                <w:szCs w:val="20"/>
              </w:rPr>
            </w:pPr>
            <w:r w:rsidRPr="002C1E65">
              <w:rPr>
                <w:szCs w:val="20"/>
              </w:rPr>
              <w:t xml:space="preserve">Built assets: </w:t>
            </w:r>
            <w:r w:rsidR="00845BF3" w:rsidRPr="002C1E65">
              <w:rPr>
                <w:szCs w:val="20"/>
              </w:rPr>
              <w:t>N/A</w:t>
            </w:r>
          </w:p>
          <w:p w14:paraId="60824DC6" w14:textId="77777777" w:rsidR="008B2E8C" w:rsidRPr="002C1E65" w:rsidRDefault="008B2E8C" w:rsidP="00845BF3">
            <w:pPr>
              <w:pStyle w:val="TableBullet"/>
              <w:spacing w:before="60" w:after="60"/>
              <w:rPr>
                <w:szCs w:val="20"/>
              </w:rPr>
            </w:pPr>
            <w:r w:rsidRPr="002C1E65">
              <w:rPr>
                <w:szCs w:val="20"/>
              </w:rPr>
              <w:t>Natural environment: N/A</w:t>
            </w:r>
          </w:p>
          <w:p w14:paraId="01EE9780" w14:textId="77777777" w:rsidR="008B2E8C" w:rsidRPr="002C1E65" w:rsidRDefault="008B2E8C" w:rsidP="00845BF3">
            <w:pPr>
              <w:pStyle w:val="TableBullet"/>
              <w:spacing w:before="60" w:after="60"/>
              <w:rPr>
                <w:szCs w:val="20"/>
              </w:rPr>
            </w:pPr>
            <w:r w:rsidRPr="002C1E65">
              <w:rPr>
                <w:szCs w:val="20"/>
              </w:rPr>
              <w:t>People and workplace: N/A</w:t>
            </w:r>
          </w:p>
          <w:p w14:paraId="3936B290" w14:textId="77777777" w:rsidR="008B2E8C" w:rsidRPr="002C1E65" w:rsidRDefault="008B2E8C" w:rsidP="00845BF3">
            <w:pPr>
              <w:pStyle w:val="TableBullet"/>
              <w:spacing w:before="60" w:after="60"/>
              <w:rPr>
                <w:szCs w:val="20"/>
              </w:rPr>
            </w:pPr>
            <w:r w:rsidRPr="002C1E65">
              <w:rPr>
                <w:szCs w:val="20"/>
              </w:rPr>
              <w:t>Interdependencies: Short term</w:t>
            </w:r>
          </w:p>
          <w:p w14:paraId="3E1F35C0" w14:textId="026D067A" w:rsidR="002C717E" w:rsidRPr="002C1E65" w:rsidRDefault="008B2E8C" w:rsidP="00845BF3">
            <w:pPr>
              <w:pStyle w:val="TableBullet"/>
              <w:spacing w:before="60" w:after="60"/>
              <w:rPr>
                <w:szCs w:val="20"/>
              </w:rPr>
            </w:pPr>
            <w:r w:rsidRPr="002C1E65">
              <w:rPr>
                <w:szCs w:val="20"/>
              </w:rPr>
              <w:t>Customer and product delivery: Short term</w:t>
            </w:r>
          </w:p>
        </w:tc>
      </w:tr>
      <w:tr w:rsidR="002C717E" w:rsidRPr="002C1E65" w14:paraId="4CCF0A1E" w14:textId="77777777" w:rsidTr="009C58F5">
        <w:tc>
          <w:tcPr>
            <w:tcW w:w="2870" w:type="pct"/>
          </w:tcPr>
          <w:p w14:paraId="0EC1C8CD" w14:textId="107B2AC8" w:rsidR="002C717E" w:rsidRPr="002C1E65" w:rsidRDefault="002C717E" w:rsidP="009C58F5">
            <w:pPr>
              <w:pStyle w:val="TableBullet"/>
              <w:keepLines/>
              <w:spacing w:before="60" w:after="60"/>
              <w:rPr>
                <w:szCs w:val="20"/>
              </w:rPr>
            </w:pPr>
            <w:r w:rsidRPr="002C1E65">
              <w:rPr>
                <w:szCs w:val="20"/>
              </w:rPr>
              <w:t>Water literacy and education programs in partnership with metropolitan water businesses to build engagement with water resource conservation.</w:t>
            </w:r>
          </w:p>
        </w:tc>
        <w:tc>
          <w:tcPr>
            <w:tcW w:w="2130" w:type="pct"/>
          </w:tcPr>
          <w:p w14:paraId="2B9E175E" w14:textId="1CBFE97E" w:rsidR="008B2E8C" w:rsidRPr="002C1E65" w:rsidRDefault="008B2E8C" w:rsidP="009C58F5">
            <w:pPr>
              <w:pStyle w:val="TableBullet"/>
              <w:keepLines/>
              <w:spacing w:before="60" w:after="60"/>
              <w:rPr>
                <w:szCs w:val="20"/>
              </w:rPr>
            </w:pPr>
            <w:r w:rsidRPr="002C1E65">
              <w:rPr>
                <w:szCs w:val="20"/>
              </w:rPr>
              <w:t xml:space="preserve">Time frame: </w:t>
            </w:r>
            <w:r w:rsidR="00845BF3" w:rsidRPr="002C1E65">
              <w:rPr>
                <w:szCs w:val="20"/>
              </w:rPr>
              <w:t>Ongoing</w:t>
            </w:r>
          </w:p>
          <w:p w14:paraId="6AF32898" w14:textId="77777777" w:rsidR="008B2E8C" w:rsidRPr="002C1E65" w:rsidRDefault="008B2E8C" w:rsidP="009C58F5">
            <w:pPr>
              <w:pStyle w:val="TableBullet"/>
              <w:keepLines/>
              <w:spacing w:before="60" w:after="60"/>
              <w:rPr>
                <w:szCs w:val="20"/>
              </w:rPr>
            </w:pPr>
            <w:r w:rsidRPr="002C1E65">
              <w:rPr>
                <w:szCs w:val="20"/>
              </w:rPr>
              <w:t>Source waters and demand: Short term</w:t>
            </w:r>
          </w:p>
          <w:p w14:paraId="0D694FF3" w14:textId="4B5F16B0" w:rsidR="008B2E8C" w:rsidRPr="002C1E65" w:rsidRDefault="008B2E8C" w:rsidP="009C58F5">
            <w:pPr>
              <w:pStyle w:val="TableBullet"/>
              <w:keepLines/>
              <w:spacing w:before="60" w:after="60"/>
              <w:rPr>
                <w:szCs w:val="20"/>
              </w:rPr>
            </w:pPr>
            <w:r w:rsidRPr="002C1E65">
              <w:rPr>
                <w:szCs w:val="20"/>
              </w:rPr>
              <w:t xml:space="preserve">Built assets: </w:t>
            </w:r>
            <w:r w:rsidR="00845BF3" w:rsidRPr="002C1E65">
              <w:rPr>
                <w:szCs w:val="20"/>
              </w:rPr>
              <w:t>N/A</w:t>
            </w:r>
          </w:p>
          <w:p w14:paraId="1C2CD327" w14:textId="77777777" w:rsidR="008B2E8C" w:rsidRPr="002C1E65" w:rsidRDefault="008B2E8C" w:rsidP="009C58F5">
            <w:pPr>
              <w:pStyle w:val="TableBullet"/>
              <w:keepLines/>
              <w:spacing w:before="60" w:after="60"/>
              <w:rPr>
                <w:szCs w:val="20"/>
              </w:rPr>
            </w:pPr>
            <w:r w:rsidRPr="002C1E65">
              <w:rPr>
                <w:szCs w:val="20"/>
              </w:rPr>
              <w:t>Natural environment: N/A</w:t>
            </w:r>
          </w:p>
          <w:p w14:paraId="7EAD49A5" w14:textId="77777777" w:rsidR="008B2E8C" w:rsidRPr="002C1E65" w:rsidRDefault="008B2E8C" w:rsidP="009C58F5">
            <w:pPr>
              <w:pStyle w:val="TableBullet"/>
              <w:keepLines/>
              <w:spacing w:before="60" w:after="60"/>
              <w:rPr>
                <w:szCs w:val="20"/>
              </w:rPr>
            </w:pPr>
            <w:r w:rsidRPr="002C1E65">
              <w:rPr>
                <w:szCs w:val="20"/>
              </w:rPr>
              <w:t>People and workplace: N/A</w:t>
            </w:r>
          </w:p>
          <w:p w14:paraId="58EF2DE9" w14:textId="77777777" w:rsidR="008B2E8C" w:rsidRPr="002C1E65" w:rsidRDefault="008B2E8C" w:rsidP="009C58F5">
            <w:pPr>
              <w:pStyle w:val="TableBullet"/>
              <w:keepLines/>
              <w:spacing w:before="60" w:after="60"/>
              <w:rPr>
                <w:szCs w:val="20"/>
              </w:rPr>
            </w:pPr>
            <w:r w:rsidRPr="002C1E65">
              <w:rPr>
                <w:szCs w:val="20"/>
              </w:rPr>
              <w:t>Interdependencies: Short term</w:t>
            </w:r>
          </w:p>
          <w:p w14:paraId="3B412256" w14:textId="6AC11DEE" w:rsidR="002C717E" w:rsidRPr="002C1E65" w:rsidRDefault="008B2E8C" w:rsidP="009C58F5">
            <w:pPr>
              <w:pStyle w:val="TableBullet"/>
              <w:keepLines/>
              <w:spacing w:before="60" w:after="60"/>
              <w:rPr>
                <w:szCs w:val="20"/>
              </w:rPr>
            </w:pPr>
            <w:r w:rsidRPr="002C1E65">
              <w:rPr>
                <w:szCs w:val="20"/>
              </w:rPr>
              <w:t>Customer and product delivery: Short term</w:t>
            </w:r>
          </w:p>
        </w:tc>
      </w:tr>
    </w:tbl>
    <w:p w14:paraId="5CD25805" w14:textId="2A8D7312" w:rsidR="00A66E5C" w:rsidRPr="002C717E" w:rsidRDefault="00A66E5C" w:rsidP="009C58F5">
      <w:pPr>
        <w:pStyle w:val="BodyText"/>
        <w:keepNext/>
        <w:keepLines/>
        <w:rPr>
          <w:rStyle w:val="Bold"/>
        </w:rPr>
      </w:pPr>
      <w:r w:rsidRPr="002C717E">
        <w:rPr>
          <w:rStyle w:val="Bold"/>
        </w:rPr>
        <w:t xml:space="preserve">Service: </w:t>
      </w:r>
      <w:r>
        <w:rPr>
          <w:rStyle w:val="Bold"/>
        </w:rPr>
        <w:t>Sewerage</w:t>
      </w:r>
    </w:p>
    <w:tbl>
      <w:tblPr>
        <w:tblStyle w:val="TableGrid"/>
        <w:tblW w:w="5000" w:type="pct"/>
        <w:tblLook w:val="04A0" w:firstRow="1" w:lastRow="0" w:firstColumn="1" w:lastColumn="0" w:noHBand="0" w:noVBand="1"/>
      </w:tblPr>
      <w:tblGrid>
        <w:gridCol w:w="5528"/>
        <w:gridCol w:w="4103"/>
      </w:tblGrid>
      <w:tr w:rsidR="00A66E5C" w:rsidRPr="002C1E65" w14:paraId="72277D67"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2870" w:type="pct"/>
            <w:vAlign w:val="bottom"/>
          </w:tcPr>
          <w:p w14:paraId="0C8794A8" w14:textId="77777777" w:rsidR="00A66E5C" w:rsidRPr="002C1E65" w:rsidRDefault="00A66E5C" w:rsidP="009C58F5">
            <w:pPr>
              <w:pStyle w:val="TableBodyText"/>
              <w:keepNext/>
              <w:keepLines/>
              <w:rPr>
                <w:szCs w:val="20"/>
                <w:lang w:eastAsia="en-US"/>
              </w:rPr>
            </w:pPr>
            <w:bookmarkStart w:id="416" w:name="ColumnTitle_13"/>
            <w:r w:rsidRPr="002C1E65">
              <w:rPr>
                <w:szCs w:val="20"/>
                <w:lang w:eastAsia="en-US"/>
              </w:rPr>
              <w:t>Item</w:t>
            </w:r>
          </w:p>
        </w:tc>
        <w:tc>
          <w:tcPr>
            <w:tcW w:w="2130" w:type="pct"/>
            <w:vAlign w:val="bottom"/>
          </w:tcPr>
          <w:p w14:paraId="485EA688" w14:textId="77777777" w:rsidR="00A66E5C" w:rsidRPr="002C1E65" w:rsidRDefault="00A66E5C" w:rsidP="009C58F5">
            <w:pPr>
              <w:pStyle w:val="TableBodyText"/>
              <w:keepNext/>
              <w:keepLines/>
              <w:rPr>
                <w:szCs w:val="20"/>
                <w:lang w:eastAsia="en-US"/>
              </w:rPr>
            </w:pPr>
            <w:r w:rsidRPr="002C1E65">
              <w:rPr>
                <w:szCs w:val="20"/>
                <w:lang w:eastAsia="en-US"/>
              </w:rPr>
              <w:t>Functional business areas</w:t>
            </w:r>
          </w:p>
        </w:tc>
      </w:tr>
      <w:bookmarkEnd w:id="416"/>
      <w:tr w:rsidR="00A66E5C" w:rsidRPr="002C1E65" w14:paraId="278FDC16" w14:textId="77777777" w:rsidTr="009C58F5">
        <w:tc>
          <w:tcPr>
            <w:tcW w:w="2870" w:type="pct"/>
          </w:tcPr>
          <w:p w14:paraId="7002DBFD" w14:textId="231282F7" w:rsidR="00A66E5C" w:rsidRPr="002C1E65" w:rsidRDefault="00A66E5C" w:rsidP="009C58F5">
            <w:pPr>
              <w:pStyle w:val="TableBullet"/>
              <w:keepNext/>
              <w:keepLines/>
              <w:spacing w:before="60" w:after="60"/>
              <w:rPr>
                <w:szCs w:val="20"/>
              </w:rPr>
            </w:pPr>
            <w:r w:rsidRPr="002C1E65">
              <w:rPr>
                <w:szCs w:val="20"/>
              </w:rPr>
              <w:t>Updated modelling of transfer network impacts of increasing wastewater and stormwater flows from urban growth and climate change. Improved historical rainfall information, increased temperatures, future rainfall intensity, evaporation and sea level rise included.</w:t>
            </w:r>
          </w:p>
        </w:tc>
        <w:tc>
          <w:tcPr>
            <w:tcW w:w="2130" w:type="pct"/>
          </w:tcPr>
          <w:p w14:paraId="2A899AC9" w14:textId="64DB248B" w:rsidR="00845BF3" w:rsidRPr="002C1E65" w:rsidRDefault="00845BF3" w:rsidP="009C58F5">
            <w:pPr>
              <w:pStyle w:val="TableBullet"/>
              <w:keepNext/>
              <w:keepLines/>
              <w:spacing w:before="60" w:after="60"/>
              <w:rPr>
                <w:szCs w:val="20"/>
              </w:rPr>
            </w:pPr>
            <w:r w:rsidRPr="002C1E65">
              <w:rPr>
                <w:szCs w:val="20"/>
              </w:rPr>
              <w:t>Time frame: Medium term</w:t>
            </w:r>
          </w:p>
          <w:p w14:paraId="7C03CADC" w14:textId="264B8039" w:rsidR="00845BF3" w:rsidRPr="002C1E65" w:rsidRDefault="00845BF3" w:rsidP="009C58F5">
            <w:pPr>
              <w:pStyle w:val="TableBullet"/>
              <w:keepNext/>
              <w:keepLines/>
              <w:spacing w:before="60" w:after="60"/>
              <w:rPr>
                <w:szCs w:val="20"/>
              </w:rPr>
            </w:pPr>
            <w:r w:rsidRPr="002C1E65">
              <w:rPr>
                <w:szCs w:val="20"/>
              </w:rPr>
              <w:t>Source waters and demand: N/A</w:t>
            </w:r>
          </w:p>
          <w:p w14:paraId="388A62D1" w14:textId="666332BA" w:rsidR="00845BF3" w:rsidRPr="002C1E65" w:rsidRDefault="00845BF3" w:rsidP="009C58F5">
            <w:pPr>
              <w:pStyle w:val="TableBullet"/>
              <w:keepNext/>
              <w:keepLines/>
              <w:spacing w:before="60" w:after="60"/>
              <w:rPr>
                <w:szCs w:val="20"/>
              </w:rPr>
            </w:pPr>
            <w:r w:rsidRPr="002C1E65">
              <w:rPr>
                <w:szCs w:val="20"/>
              </w:rPr>
              <w:t>Built assets: Short term</w:t>
            </w:r>
          </w:p>
          <w:p w14:paraId="2FFDC05F" w14:textId="34B59A79" w:rsidR="00845BF3" w:rsidRPr="002C1E65" w:rsidRDefault="00845BF3" w:rsidP="009C58F5">
            <w:pPr>
              <w:pStyle w:val="TableBullet"/>
              <w:keepNext/>
              <w:keepLines/>
              <w:spacing w:before="60" w:after="60"/>
              <w:rPr>
                <w:szCs w:val="20"/>
              </w:rPr>
            </w:pPr>
            <w:r w:rsidRPr="002C1E65">
              <w:rPr>
                <w:szCs w:val="20"/>
              </w:rPr>
              <w:t>Natural environment: Short term</w:t>
            </w:r>
          </w:p>
          <w:p w14:paraId="34C9CB30" w14:textId="77777777" w:rsidR="00845BF3" w:rsidRPr="002C1E65" w:rsidRDefault="00845BF3" w:rsidP="009C58F5">
            <w:pPr>
              <w:pStyle w:val="TableBullet"/>
              <w:keepNext/>
              <w:keepLines/>
              <w:spacing w:before="60" w:after="60"/>
              <w:rPr>
                <w:szCs w:val="20"/>
              </w:rPr>
            </w:pPr>
            <w:r w:rsidRPr="002C1E65">
              <w:rPr>
                <w:szCs w:val="20"/>
              </w:rPr>
              <w:t>People and workplace: N/A</w:t>
            </w:r>
          </w:p>
          <w:p w14:paraId="3C84BFA3" w14:textId="77777777" w:rsidR="00845BF3" w:rsidRPr="002C1E65" w:rsidRDefault="00845BF3" w:rsidP="009C58F5">
            <w:pPr>
              <w:pStyle w:val="TableBullet"/>
              <w:keepNext/>
              <w:keepLines/>
              <w:spacing w:before="60" w:after="60"/>
              <w:rPr>
                <w:szCs w:val="20"/>
              </w:rPr>
            </w:pPr>
            <w:r w:rsidRPr="002C1E65">
              <w:rPr>
                <w:szCs w:val="20"/>
              </w:rPr>
              <w:t>Interdependencies: Short term</w:t>
            </w:r>
          </w:p>
          <w:p w14:paraId="32454C60" w14:textId="4BB8A9D4" w:rsidR="00A66E5C" w:rsidRPr="002C1E65" w:rsidRDefault="00845BF3" w:rsidP="009C58F5">
            <w:pPr>
              <w:pStyle w:val="TableBullet"/>
              <w:keepNext/>
              <w:keepLines/>
              <w:spacing w:before="60" w:after="60"/>
              <w:rPr>
                <w:szCs w:val="20"/>
              </w:rPr>
            </w:pPr>
            <w:r w:rsidRPr="002C1E65">
              <w:rPr>
                <w:szCs w:val="20"/>
              </w:rPr>
              <w:t>Customer and product delivery: Short term</w:t>
            </w:r>
          </w:p>
        </w:tc>
      </w:tr>
      <w:tr w:rsidR="00A66E5C" w:rsidRPr="002C1E65" w14:paraId="4DCA9F4B" w14:textId="77777777" w:rsidTr="009C58F5">
        <w:tc>
          <w:tcPr>
            <w:tcW w:w="2870" w:type="pct"/>
          </w:tcPr>
          <w:p w14:paraId="54FB1055" w14:textId="1CF593D5" w:rsidR="00A66E5C" w:rsidRPr="002C1E65" w:rsidRDefault="00A66E5C" w:rsidP="00845BF3">
            <w:pPr>
              <w:pStyle w:val="TableBullet"/>
              <w:spacing w:before="60" w:after="60"/>
              <w:rPr>
                <w:szCs w:val="20"/>
              </w:rPr>
            </w:pPr>
            <w:r w:rsidRPr="002C1E65">
              <w:rPr>
                <w:szCs w:val="20"/>
              </w:rPr>
              <w:t xml:space="preserve">Supported </w:t>
            </w:r>
            <w:r w:rsidR="0030196D">
              <w:rPr>
                <w:szCs w:val="20"/>
              </w:rPr>
              <w:t>Department of Environment, Land, Water and Planning</w:t>
            </w:r>
            <w:r w:rsidRPr="002C1E65">
              <w:rPr>
                <w:szCs w:val="20"/>
              </w:rPr>
              <w:t>’s development of a Coastal Hazard Assessment for Port Philip Bay, and scoping future use of information for internal asset planning processes.</w:t>
            </w:r>
          </w:p>
        </w:tc>
        <w:tc>
          <w:tcPr>
            <w:tcW w:w="2130" w:type="pct"/>
          </w:tcPr>
          <w:p w14:paraId="3EAE6CA3" w14:textId="7427E04F" w:rsidR="00A66E5C" w:rsidRPr="002C1E65" w:rsidRDefault="00A66E5C" w:rsidP="00845BF3">
            <w:pPr>
              <w:pStyle w:val="TableBullet"/>
              <w:spacing w:before="60" w:after="60"/>
              <w:rPr>
                <w:szCs w:val="20"/>
              </w:rPr>
            </w:pPr>
            <w:r w:rsidRPr="002C1E65">
              <w:rPr>
                <w:szCs w:val="20"/>
              </w:rPr>
              <w:t xml:space="preserve">Time frame: </w:t>
            </w:r>
            <w:r w:rsidR="00845BF3" w:rsidRPr="002C1E65">
              <w:rPr>
                <w:szCs w:val="20"/>
              </w:rPr>
              <w:t>Medium term</w:t>
            </w:r>
          </w:p>
          <w:p w14:paraId="448A884D" w14:textId="6394C79C" w:rsidR="00A66E5C" w:rsidRPr="002C1E65" w:rsidRDefault="00A66E5C" w:rsidP="00845BF3">
            <w:pPr>
              <w:pStyle w:val="TableBullet"/>
              <w:spacing w:before="60" w:after="60"/>
              <w:rPr>
                <w:szCs w:val="20"/>
              </w:rPr>
            </w:pPr>
            <w:r w:rsidRPr="002C1E65">
              <w:rPr>
                <w:szCs w:val="20"/>
              </w:rPr>
              <w:t xml:space="preserve">Source waters and demand: </w:t>
            </w:r>
            <w:r w:rsidR="00845BF3" w:rsidRPr="002C1E65">
              <w:rPr>
                <w:szCs w:val="20"/>
              </w:rPr>
              <w:t>N/A</w:t>
            </w:r>
          </w:p>
          <w:p w14:paraId="119BB8B5" w14:textId="100D03E4" w:rsidR="00A66E5C" w:rsidRPr="002C1E65" w:rsidRDefault="00A66E5C" w:rsidP="00845BF3">
            <w:pPr>
              <w:pStyle w:val="TableBullet"/>
              <w:spacing w:before="60" w:after="60"/>
              <w:rPr>
                <w:szCs w:val="20"/>
              </w:rPr>
            </w:pPr>
            <w:r w:rsidRPr="002C1E65">
              <w:rPr>
                <w:szCs w:val="20"/>
              </w:rPr>
              <w:t xml:space="preserve">Built assets: </w:t>
            </w:r>
            <w:r w:rsidR="00845BF3" w:rsidRPr="002C1E65">
              <w:rPr>
                <w:szCs w:val="20"/>
              </w:rPr>
              <w:t>Short term</w:t>
            </w:r>
          </w:p>
          <w:p w14:paraId="1E09BD37" w14:textId="15291A1A" w:rsidR="00A66E5C" w:rsidRPr="002C1E65" w:rsidRDefault="00A66E5C" w:rsidP="00845BF3">
            <w:pPr>
              <w:pStyle w:val="TableBullet"/>
              <w:spacing w:before="60" w:after="60"/>
              <w:rPr>
                <w:szCs w:val="20"/>
              </w:rPr>
            </w:pPr>
            <w:r w:rsidRPr="002C1E65">
              <w:rPr>
                <w:szCs w:val="20"/>
              </w:rPr>
              <w:lastRenderedPageBreak/>
              <w:t xml:space="preserve">Natural environment: </w:t>
            </w:r>
            <w:r w:rsidR="00845BF3" w:rsidRPr="002C1E65">
              <w:rPr>
                <w:szCs w:val="20"/>
              </w:rPr>
              <w:t>Short term</w:t>
            </w:r>
          </w:p>
          <w:p w14:paraId="76ACA910" w14:textId="77777777" w:rsidR="00A66E5C" w:rsidRPr="002C1E65" w:rsidRDefault="00A66E5C" w:rsidP="00845BF3">
            <w:pPr>
              <w:pStyle w:val="TableBullet"/>
              <w:spacing w:before="60" w:after="60"/>
              <w:rPr>
                <w:szCs w:val="20"/>
              </w:rPr>
            </w:pPr>
            <w:r w:rsidRPr="002C1E65">
              <w:rPr>
                <w:szCs w:val="20"/>
              </w:rPr>
              <w:t>People and workplace: N/A</w:t>
            </w:r>
          </w:p>
          <w:p w14:paraId="58DED2F5" w14:textId="77777777" w:rsidR="00A66E5C" w:rsidRPr="002C1E65" w:rsidRDefault="00A66E5C" w:rsidP="00845BF3">
            <w:pPr>
              <w:pStyle w:val="TableBullet"/>
              <w:spacing w:before="60" w:after="60"/>
              <w:rPr>
                <w:szCs w:val="20"/>
              </w:rPr>
            </w:pPr>
            <w:r w:rsidRPr="002C1E65">
              <w:rPr>
                <w:szCs w:val="20"/>
              </w:rPr>
              <w:t>Interdependencies: Short term</w:t>
            </w:r>
          </w:p>
          <w:p w14:paraId="774FDC7D" w14:textId="77777777" w:rsidR="00A66E5C" w:rsidRPr="002C1E65" w:rsidRDefault="00A66E5C" w:rsidP="00845BF3">
            <w:pPr>
              <w:pStyle w:val="TableBullet"/>
              <w:spacing w:before="60" w:after="60"/>
              <w:rPr>
                <w:szCs w:val="20"/>
              </w:rPr>
            </w:pPr>
            <w:r w:rsidRPr="002C1E65">
              <w:rPr>
                <w:szCs w:val="20"/>
              </w:rPr>
              <w:t>Customer and product delivery: Short term</w:t>
            </w:r>
          </w:p>
        </w:tc>
      </w:tr>
      <w:tr w:rsidR="00A66E5C" w:rsidRPr="002C1E65" w14:paraId="4265634F" w14:textId="77777777" w:rsidTr="009C58F5">
        <w:tc>
          <w:tcPr>
            <w:tcW w:w="2870" w:type="pct"/>
          </w:tcPr>
          <w:p w14:paraId="714DF20F" w14:textId="21CF6F48" w:rsidR="00A66E5C" w:rsidRPr="002C1E65" w:rsidRDefault="00A66E5C" w:rsidP="00845BF3">
            <w:pPr>
              <w:pStyle w:val="TableBullet"/>
              <w:spacing w:before="60" w:after="60"/>
              <w:rPr>
                <w:szCs w:val="20"/>
              </w:rPr>
            </w:pPr>
            <w:r w:rsidRPr="002C1E65">
              <w:rPr>
                <w:szCs w:val="20"/>
              </w:rPr>
              <w:lastRenderedPageBreak/>
              <w:t>Renewable energy and emissions reduction programs to support a climate-adapted Victorian economy.</w:t>
            </w:r>
          </w:p>
        </w:tc>
        <w:tc>
          <w:tcPr>
            <w:tcW w:w="2130" w:type="pct"/>
          </w:tcPr>
          <w:p w14:paraId="06580D26" w14:textId="77777777" w:rsidR="00845BF3" w:rsidRPr="002C1E65" w:rsidRDefault="00845BF3" w:rsidP="00845BF3">
            <w:pPr>
              <w:pStyle w:val="TableBullet"/>
              <w:spacing w:before="60" w:after="60"/>
              <w:rPr>
                <w:szCs w:val="20"/>
              </w:rPr>
            </w:pPr>
            <w:r w:rsidRPr="002C1E65">
              <w:rPr>
                <w:szCs w:val="20"/>
              </w:rPr>
              <w:t>Time frame: Ongoing</w:t>
            </w:r>
          </w:p>
          <w:p w14:paraId="7AFD2A31" w14:textId="54FACC01" w:rsidR="00845BF3" w:rsidRPr="002C1E65" w:rsidRDefault="00845BF3" w:rsidP="00845BF3">
            <w:pPr>
              <w:pStyle w:val="TableBullet"/>
              <w:spacing w:before="60" w:after="60"/>
              <w:rPr>
                <w:szCs w:val="20"/>
              </w:rPr>
            </w:pPr>
            <w:r w:rsidRPr="002C1E65">
              <w:rPr>
                <w:szCs w:val="20"/>
              </w:rPr>
              <w:t>Source waters and demand: N/A</w:t>
            </w:r>
          </w:p>
          <w:p w14:paraId="5D488D44" w14:textId="4A832F1B" w:rsidR="00845BF3" w:rsidRPr="002C1E65" w:rsidRDefault="00845BF3" w:rsidP="00845BF3">
            <w:pPr>
              <w:pStyle w:val="TableBullet"/>
              <w:spacing w:before="60" w:after="60"/>
              <w:rPr>
                <w:szCs w:val="20"/>
              </w:rPr>
            </w:pPr>
            <w:r w:rsidRPr="002C1E65">
              <w:rPr>
                <w:szCs w:val="20"/>
              </w:rPr>
              <w:t>Built assets: Short term</w:t>
            </w:r>
          </w:p>
          <w:p w14:paraId="43604018" w14:textId="6F53E3FF" w:rsidR="00845BF3" w:rsidRPr="002C1E65" w:rsidRDefault="00845BF3" w:rsidP="00845BF3">
            <w:pPr>
              <w:pStyle w:val="TableBullet"/>
              <w:spacing w:before="60" w:after="60"/>
              <w:rPr>
                <w:szCs w:val="20"/>
              </w:rPr>
            </w:pPr>
            <w:r w:rsidRPr="002C1E65">
              <w:rPr>
                <w:szCs w:val="20"/>
              </w:rPr>
              <w:t>Natural environment: Short term</w:t>
            </w:r>
          </w:p>
          <w:p w14:paraId="5E87C31E" w14:textId="77777777" w:rsidR="00845BF3" w:rsidRPr="002C1E65" w:rsidRDefault="00845BF3" w:rsidP="00845BF3">
            <w:pPr>
              <w:pStyle w:val="TableBullet"/>
              <w:spacing w:before="60" w:after="60"/>
              <w:rPr>
                <w:szCs w:val="20"/>
              </w:rPr>
            </w:pPr>
            <w:r w:rsidRPr="002C1E65">
              <w:rPr>
                <w:szCs w:val="20"/>
              </w:rPr>
              <w:t>People and workplace: N/A</w:t>
            </w:r>
          </w:p>
          <w:p w14:paraId="19552D0B" w14:textId="77777777" w:rsidR="00845BF3" w:rsidRPr="002C1E65" w:rsidRDefault="00845BF3" w:rsidP="00845BF3">
            <w:pPr>
              <w:pStyle w:val="TableBullet"/>
              <w:spacing w:before="60" w:after="60"/>
              <w:rPr>
                <w:szCs w:val="20"/>
              </w:rPr>
            </w:pPr>
            <w:r w:rsidRPr="002C1E65">
              <w:rPr>
                <w:szCs w:val="20"/>
              </w:rPr>
              <w:t>Interdependencies: Short term</w:t>
            </w:r>
          </w:p>
          <w:p w14:paraId="564C2647" w14:textId="73ADBBFC" w:rsidR="00A66E5C" w:rsidRPr="002C1E65" w:rsidRDefault="00845BF3" w:rsidP="00845BF3">
            <w:pPr>
              <w:pStyle w:val="TableBullet"/>
              <w:spacing w:before="60" w:after="60"/>
              <w:rPr>
                <w:szCs w:val="20"/>
              </w:rPr>
            </w:pPr>
            <w:r w:rsidRPr="002C1E65">
              <w:rPr>
                <w:szCs w:val="20"/>
              </w:rPr>
              <w:t>Customer and product delivery: Short term</w:t>
            </w:r>
          </w:p>
        </w:tc>
      </w:tr>
      <w:tr w:rsidR="00A66E5C" w:rsidRPr="002C1E65" w14:paraId="45F745D7" w14:textId="77777777" w:rsidTr="009C58F5">
        <w:tc>
          <w:tcPr>
            <w:tcW w:w="2870" w:type="pct"/>
          </w:tcPr>
          <w:p w14:paraId="469FAEA8" w14:textId="5D5E96F1" w:rsidR="00A66E5C" w:rsidRPr="002C1E65" w:rsidRDefault="00A66E5C" w:rsidP="00845BF3">
            <w:pPr>
              <w:pStyle w:val="TableBullet"/>
              <w:spacing w:before="60" w:after="60"/>
              <w:rPr>
                <w:szCs w:val="20"/>
              </w:rPr>
            </w:pPr>
            <w:r w:rsidRPr="002C1E65">
              <w:rPr>
                <w:szCs w:val="20"/>
              </w:rPr>
              <w:t>Program of research on topics related to water reclamation and re-use.</w:t>
            </w:r>
          </w:p>
        </w:tc>
        <w:tc>
          <w:tcPr>
            <w:tcW w:w="2130" w:type="pct"/>
          </w:tcPr>
          <w:p w14:paraId="6B11AD34" w14:textId="77777777" w:rsidR="00845BF3" w:rsidRPr="002C1E65" w:rsidRDefault="00845BF3" w:rsidP="00845BF3">
            <w:pPr>
              <w:pStyle w:val="TableBullet"/>
              <w:spacing w:before="60" w:after="60"/>
              <w:rPr>
                <w:szCs w:val="20"/>
              </w:rPr>
            </w:pPr>
            <w:r w:rsidRPr="002C1E65">
              <w:rPr>
                <w:szCs w:val="20"/>
              </w:rPr>
              <w:t>Time frame: Ongoing</w:t>
            </w:r>
          </w:p>
          <w:p w14:paraId="202E8B12" w14:textId="77777777" w:rsidR="00845BF3" w:rsidRPr="002C1E65" w:rsidRDefault="00845BF3" w:rsidP="00845BF3">
            <w:pPr>
              <w:pStyle w:val="TableBullet"/>
              <w:spacing w:before="60" w:after="60"/>
              <w:rPr>
                <w:szCs w:val="20"/>
              </w:rPr>
            </w:pPr>
            <w:r w:rsidRPr="002C1E65">
              <w:rPr>
                <w:szCs w:val="20"/>
              </w:rPr>
              <w:t>Source waters and demand: Short term</w:t>
            </w:r>
          </w:p>
          <w:p w14:paraId="3499E9A9" w14:textId="77777777" w:rsidR="00845BF3" w:rsidRPr="002C1E65" w:rsidRDefault="00845BF3" w:rsidP="00845BF3">
            <w:pPr>
              <w:pStyle w:val="TableBullet"/>
              <w:spacing w:before="60" w:after="60"/>
              <w:rPr>
                <w:szCs w:val="20"/>
              </w:rPr>
            </w:pPr>
            <w:r w:rsidRPr="002C1E65">
              <w:rPr>
                <w:szCs w:val="20"/>
              </w:rPr>
              <w:t>Built assets: N/A</w:t>
            </w:r>
          </w:p>
          <w:p w14:paraId="0FA5D41C" w14:textId="4C4814D1" w:rsidR="00845BF3" w:rsidRPr="002C1E65" w:rsidRDefault="00845BF3" w:rsidP="00845BF3">
            <w:pPr>
              <w:pStyle w:val="TableBullet"/>
              <w:spacing w:before="60" w:after="60"/>
              <w:rPr>
                <w:szCs w:val="20"/>
              </w:rPr>
            </w:pPr>
            <w:r w:rsidRPr="002C1E65">
              <w:rPr>
                <w:szCs w:val="20"/>
              </w:rPr>
              <w:t xml:space="preserve">Natural environment: </w:t>
            </w:r>
            <w:r w:rsidR="00814122" w:rsidRPr="002C1E65">
              <w:rPr>
                <w:szCs w:val="20"/>
              </w:rPr>
              <w:t>Short term</w:t>
            </w:r>
          </w:p>
          <w:p w14:paraId="67C6F63C" w14:textId="77777777" w:rsidR="00845BF3" w:rsidRPr="002C1E65" w:rsidRDefault="00845BF3" w:rsidP="00845BF3">
            <w:pPr>
              <w:pStyle w:val="TableBullet"/>
              <w:spacing w:before="60" w:after="60"/>
              <w:rPr>
                <w:szCs w:val="20"/>
              </w:rPr>
            </w:pPr>
            <w:r w:rsidRPr="002C1E65">
              <w:rPr>
                <w:szCs w:val="20"/>
              </w:rPr>
              <w:t>People and workplace: N/A</w:t>
            </w:r>
          </w:p>
          <w:p w14:paraId="56E14140" w14:textId="77777777" w:rsidR="00845BF3" w:rsidRPr="002C1E65" w:rsidRDefault="00845BF3" w:rsidP="00845BF3">
            <w:pPr>
              <w:pStyle w:val="TableBullet"/>
              <w:spacing w:before="60" w:after="60"/>
              <w:rPr>
                <w:szCs w:val="20"/>
              </w:rPr>
            </w:pPr>
            <w:r w:rsidRPr="002C1E65">
              <w:rPr>
                <w:szCs w:val="20"/>
              </w:rPr>
              <w:t>Interdependencies: Short term</w:t>
            </w:r>
          </w:p>
          <w:p w14:paraId="76FC3E84" w14:textId="1A910BD8" w:rsidR="00A66E5C" w:rsidRPr="002C1E65" w:rsidRDefault="00845BF3" w:rsidP="00845BF3">
            <w:pPr>
              <w:pStyle w:val="TableBullet"/>
              <w:spacing w:before="60" w:after="60"/>
              <w:rPr>
                <w:szCs w:val="20"/>
              </w:rPr>
            </w:pPr>
            <w:r w:rsidRPr="002C1E65">
              <w:rPr>
                <w:szCs w:val="20"/>
              </w:rPr>
              <w:t>Customer and product delivery: Short term</w:t>
            </w:r>
          </w:p>
        </w:tc>
      </w:tr>
    </w:tbl>
    <w:p w14:paraId="475D475C" w14:textId="0594C664" w:rsidR="00A66E5C" w:rsidRPr="002C717E" w:rsidRDefault="00A66E5C" w:rsidP="002C1E65">
      <w:pPr>
        <w:pStyle w:val="BodyText"/>
        <w:keepNext/>
        <w:rPr>
          <w:rStyle w:val="Bold"/>
        </w:rPr>
      </w:pPr>
      <w:r w:rsidRPr="002C717E">
        <w:rPr>
          <w:rStyle w:val="Bold"/>
        </w:rPr>
        <w:t xml:space="preserve">Service: </w:t>
      </w:r>
      <w:r>
        <w:rPr>
          <w:rStyle w:val="Bold"/>
        </w:rPr>
        <w:t>Flood and Drainage</w:t>
      </w:r>
    </w:p>
    <w:tbl>
      <w:tblPr>
        <w:tblStyle w:val="TableGrid"/>
        <w:tblW w:w="5000" w:type="pct"/>
        <w:tblCellMar>
          <w:top w:w="28" w:type="dxa"/>
          <w:bottom w:w="28" w:type="dxa"/>
        </w:tblCellMar>
        <w:tblLook w:val="04A0" w:firstRow="1" w:lastRow="0" w:firstColumn="1" w:lastColumn="0" w:noHBand="0" w:noVBand="1"/>
      </w:tblPr>
      <w:tblGrid>
        <w:gridCol w:w="5528"/>
        <w:gridCol w:w="4103"/>
      </w:tblGrid>
      <w:tr w:rsidR="00A66E5C" w:rsidRPr="002C1E65" w14:paraId="1DB5E344" w14:textId="77777777" w:rsidTr="00CF70F9">
        <w:trPr>
          <w:cnfStyle w:val="100000000000" w:firstRow="1" w:lastRow="0" w:firstColumn="0" w:lastColumn="0" w:oddVBand="0" w:evenVBand="0" w:oddHBand="0" w:evenHBand="0" w:firstRowFirstColumn="0" w:firstRowLastColumn="0" w:lastRowFirstColumn="0" w:lastRowLastColumn="0"/>
          <w:tblHeader/>
        </w:trPr>
        <w:tc>
          <w:tcPr>
            <w:tcW w:w="2870" w:type="pct"/>
            <w:vAlign w:val="bottom"/>
          </w:tcPr>
          <w:p w14:paraId="60877334" w14:textId="77777777" w:rsidR="00A66E5C" w:rsidRPr="002C1E65" w:rsidRDefault="00A66E5C" w:rsidP="001451F8">
            <w:pPr>
              <w:pStyle w:val="TableBodyText"/>
              <w:rPr>
                <w:szCs w:val="20"/>
                <w:lang w:eastAsia="en-US"/>
              </w:rPr>
            </w:pPr>
            <w:bookmarkStart w:id="417" w:name="ColumnTitle_14"/>
            <w:r w:rsidRPr="002C1E65">
              <w:rPr>
                <w:szCs w:val="20"/>
                <w:lang w:eastAsia="en-US"/>
              </w:rPr>
              <w:t>Item</w:t>
            </w:r>
          </w:p>
        </w:tc>
        <w:tc>
          <w:tcPr>
            <w:tcW w:w="2130" w:type="pct"/>
            <w:vAlign w:val="bottom"/>
          </w:tcPr>
          <w:p w14:paraId="475B897A" w14:textId="77777777" w:rsidR="00A66E5C" w:rsidRPr="002C1E65" w:rsidRDefault="00A66E5C" w:rsidP="001451F8">
            <w:pPr>
              <w:pStyle w:val="TableBodyText"/>
              <w:rPr>
                <w:szCs w:val="20"/>
                <w:lang w:eastAsia="en-US"/>
              </w:rPr>
            </w:pPr>
            <w:r w:rsidRPr="002C1E65">
              <w:rPr>
                <w:szCs w:val="20"/>
                <w:lang w:eastAsia="en-US"/>
              </w:rPr>
              <w:t>Functional business areas</w:t>
            </w:r>
          </w:p>
        </w:tc>
      </w:tr>
      <w:bookmarkEnd w:id="417"/>
      <w:tr w:rsidR="00A66E5C" w:rsidRPr="002C1E65" w14:paraId="4E9D7CDB" w14:textId="77777777" w:rsidTr="00CF70F9">
        <w:tc>
          <w:tcPr>
            <w:tcW w:w="2870" w:type="pct"/>
          </w:tcPr>
          <w:p w14:paraId="65DC684A" w14:textId="72138FEC" w:rsidR="00A66E5C" w:rsidRPr="002C1E65" w:rsidRDefault="00A66E5C" w:rsidP="00A66E5C">
            <w:pPr>
              <w:pStyle w:val="TableBullet"/>
              <w:rPr>
                <w:szCs w:val="20"/>
              </w:rPr>
            </w:pPr>
            <w:r w:rsidRPr="002C1E65">
              <w:rPr>
                <w:szCs w:val="20"/>
              </w:rPr>
              <w:t>Mapping potential future climate-related flood risks in priority catchments in partnership with local councils.</w:t>
            </w:r>
          </w:p>
        </w:tc>
        <w:tc>
          <w:tcPr>
            <w:tcW w:w="2130" w:type="pct"/>
          </w:tcPr>
          <w:p w14:paraId="641CEA55" w14:textId="77777777" w:rsidR="00814122" w:rsidRPr="002C1E65" w:rsidRDefault="00814122" w:rsidP="00814122">
            <w:pPr>
              <w:pStyle w:val="TableBullet"/>
              <w:spacing w:before="60" w:after="60"/>
              <w:rPr>
                <w:szCs w:val="20"/>
              </w:rPr>
            </w:pPr>
            <w:r w:rsidRPr="002C1E65">
              <w:rPr>
                <w:szCs w:val="20"/>
              </w:rPr>
              <w:t>Time frame: Ongoing</w:t>
            </w:r>
          </w:p>
          <w:p w14:paraId="4456B51E" w14:textId="20AAA903" w:rsidR="00814122" w:rsidRPr="002C1E65" w:rsidRDefault="00814122" w:rsidP="00814122">
            <w:pPr>
              <w:pStyle w:val="TableBullet"/>
              <w:spacing w:before="60" w:after="60"/>
              <w:rPr>
                <w:szCs w:val="20"/>
              </w:rPr>
            </w:pPr>
            <w:r w:rsidRPr="002C1E65">
              <w:rPr>
                <w:szCs w:val="20"/>
              </w:rPr>
              <w:t>Source waters and demand: N/A</w:t>
            </w:r>
          </w:p>
          <w:p w14:paraId="4D6F0B80" w14:textId="6F217D21" w:rsidR="00814122" w:rsidRPr="002C1E65" w:rsidRDefault="00814122" w:rsidP="00814122">
            <w:pPr>
              <w:pStyle w:val="TableBullet"/>
              <w:spacing w:before="60" w:after="60"/>
              <w:rPr>
                <w:szCs w:val="20"/>
              </w:rPr>
            </w:pPr>
            <w:r w:rsidRPr="002C1E65">
              <w:rPr>
                <w:szCs w:val="20"/>
              </w:rPr>
              <w:t>Built assets: Short term</w:t>
            </w:r>
          </w:p>
          <w:p w14:paraId="381911E8" w14:textId="6A8ADBF7" w:rsidR="00814122" w:rsidRPr="002C1E65" w:rsidRDefault="00814122" w:rsidP="00814122">
            <w:pPr>
              <w:pStyle w:val="TableBullet"/>
              <w:spacing w:before="60" w:after="60"/>
              <w:rPr>
                <w:szCs w:val="20"/>
              </w:rPr>
            </w:pPr>
            <w:r w:rsidRPr="002C1E65">
              <w:rPr>
                <w:szCs w:val="20"/>
              </w:rPr>
              <w:t>Natural environment: N/A</w:t>
            </w:r>
          </w:p>
          <w:p w14:paraId="34D0B40B" w14:textId="77777777" w:rsidR="00814122" w:rsidRPr="002C1E65" w:rsidRDefault="00814122" w:rsidP="00814122">
            <w:pPr>
              <w:pStyle w:val="TableBullet"/>
              <w:spacing w:before="60" w:after="60"/>
              <w:rPr>
                <w:szCs w:val="20"/>
              </w:rPr>
            </w:pPr>
            <w:r w:rsidRPr="002C1E65">
              <w:rPr>
                <w:szCs w:val="20"/>
              </w:rPr>
              <w:t>People and workplace: N/A</w:t>
            </w:r>
          </w:p>
          <w:p w14:paraId="4597DDC4" w14:textId="77777777" w:rsidR="00814122" w:rsidRPr="002C1E65" w:rsidRDefault="00814122" w:rsidP="00814122">
            <w:pPr>
              <w:pStyle w:val="TableBullet"/>
              <w:spacing w:before="60" w:after="60"/>
              <w:rPr>
                <w:szCs w:val="20"/>
              </w:rPr>
            </w:pPr>
            <w:r w:rsidRPr="002C1E65">
              <w:rPr>
                <w:szCs w:val="20"/>
              </w:rPr>
              <w:t>Interdependencies: Short term</w:t>
            </w:r>
          </w:p>
          <w:p w14:paraId="5399CEC0" w14:textId="6E2384E3" w:rsidR="00A66E5C" w:rsidRPr="002C1E65" w:rsidRDefault="00814122" w:rsidP="00814122">
            <w:pPr>
              <w:pStyle w:val="TableBullet"/>
              <w:spacing w:before="60" w:after="60"/>
              <w:rPr>
                <w:szCs w:val="20"/>
              </w:rPr>
            </w:pPr>
            <w:r w:rsidRPr="002C1E65">
              <w:rPr>
                <w:szCs w:val="20"/>
              </w:rPr>
              <w:t>Customer and product delivery: Short term</w:t>
            </w:r>
          </w:p>
        </w:tc>
      </w:tr>
      <w:tr w:rsidR="00A66E5C" w:rsidRPr="002C1E65" w14:paraId="5F64B54D" w14:textId="77777777" w:rsidTr="00CF70F9">
        <w:tc>
          <w:tcPr>
            <w:tcW w:w="2870" w:type="pct"/>
          </w:tcPr>
          <w:p w14:paraId="0ACBC6FC" w14:textId="6F3B1071" w:rsidR="00A66E5C" w:rsidRPr="002C1E65" w:rsidRDefault="00A66E5C" w:rsidP="009C58F5">
            <w:pPr>
              <w:pStyle w:val="TableBullet"/>
              <w:keepNext/>
              <w:keepLines/>
              <w:rPr>
                <w:szCs w:val="20"/>
              </w:rPr>
            </w:pPr>
            <w:r w:rsidRPr="002C1E65">
              <w:rPr>
                <w:szCs w:val="20"/>
              </w:rPr>
              <w:t>Supported councils to consider including climate change flood risks in their local planning scheme.</w:t>
            </w:r>
          </w:p>
        </w:tc>
        <w:tc>
          <w:tcPr>
            <w:tcW w:w="2130" w:type="pct"/>
          </w:tcPr>
          <w:p w14:paraId="469D7AD4" w14:textId="5B68BD04" w:rsidR="00A66E5C" w:rsidRPr="002C1E65" w:rsidRDefault="00A66E5C" w:rsidP="009C58F5">
            <w:pPr>
              <w:pStyle w:val="TableBullet"/>
              <w:keepNext/>
              <w:keepLines/>
              <w:spacing w:before="60" w:after="60"/>
              <w:rPr>
                <w:szCs w:val="20"/>
              </w:rPr>
            </w:pPr>
            <w:r w:rsidRPr="002C1E65">
              <w:rPr>
                <w:szCs w:val="20"/>
              </w:rPr>
              <w:t xml:space="preserve">Time frame: </w:t>
            </w:r>
            <w:r w:rsidR="00814122" w:rsidRPr="002C1E65">
              <w:rPr>
                <w:szCs w:val="20"/>
              </w:rPr>
              <w:t>Ongoing</w:t>
            </w:r>
          </w:p>
          <w:p w14:paraId="227DE338" w14:textId="6C8044F9" w:rsidR="00A66E5C" w:rsidRPr="002C1E65" w:rsidRDefault="00A66E5C" w:rsidP="009C58F5">
            <w:pPr>
              <w:pStyle w:val="TableBullet"/>
              <w:keepNext/>
              <w:keepLines/>
              <w:spacing w:before="60" w:after="60"/>
              <w:rPr>
                <w:szCs w:val="20"/>
              </w:rPr>
            </w:pPr>
            <w:r w:rsidRPr="002C1E65">
              <w:rPr>
                <w:szCs w:val="20"/>
              </w:rPr>
              <w:t xml:space="preserve">Source waters and demand: </w:t>
            </w:r>
            <w:r w:rsidR="00814122" w:rsidRPr="002C1E65">
              <w:rPr>
                <w:szCs w:val="20"/>
              </w:rPr>
              <w:t>N/A</w:t>
            </w:r>
          </w:p>
          <w:p w14:paraId="5282AAC4" w14:textId="1F7CC41A" w:rsidR="00A66E5C" w:rsidRPr="002C1E65" w:rsidRDefault="00A66E5C" w:rsidP="009C58F5">
            <w:pPr>
              <w:pStyle w:val="TableBullet"/>
              <w:keepNext/>
              <w:keepLines/>
              <w:spacing w:before="60" w:after="60"/>
              <w:rPr>
                <w:szCs w:val="20"/>
              </w:rPr>
            </w:pPr>
            <w:r w:rsidRPr="002C1E65">
              <w:rPr>
                <w:szCs w:val="20"/>
              </w:rPr>
              <w:t xml:space="preserve">Built assets: </w:t>
            </w:r>
            <w:r w:rsidR="00814122" w:rsidRPr="002C1E65">
              <w:rPr>
                <w:szCs w:val="20"/>
              </w:rPr>
              <w:t>Short term</w:t>
            </w:r>
          </w:p>
          <w:p w14:paraId="79DE0FB8" w14:textId="507C5AEF" w:rsidR="00A66E5C" w:rsidRPr="002C1E65" w:rsidRDefault="00A66E5C" w:rsidP="009C58F5">
            <w:pPr>
              <w:pStyle w:val="TableBullet"/>
              <w:keepNext/>
              <w:keepLines/>
              <w:spacing w:before="60" w:after="60"/>
              <w:rPr>
                <w:szCs w:val="20"/>
              </w:rPr>
            </w:pPr>
            <w:r w:rsidRPr="002C1E65">
              <w:rPr>
                <w:szCs w:val="20"/>
              </w:rPr>
              <w:t xml:space="preserve">Natural environment: </w:t>
            </w:r>
            <w:r w:rsidR="00814122" w:rsidRPr="002C1E65">
              <w:rPr>
                <w:szCs w:val="20"/>
              </w:rPr>
              <w:t>Short term</w:t>
            </w:r>
          </w:p>
          <w:p w14:paraId="570E02F9" w14:textId="5CD28C68" w:rsidR="00A66E5C" w:rsidRPr="002C1E65" w:rsidRDefault="00A66E5C" w:rsidP="009C58F5">
            <w:pPr>
              <w:pStyle w:val="TableBullet"/>
              <w:keepNext/>
              <w:keepLines/>
              <w:spacing w:before="60" w:after="60"/>
              <w:rPr>
                <w:szCs w:val="20"/>
              </w:rPr>
            </w:pPr>
            <w:r w:rsidRPr="002C1E65">
              <w:rPr>
                <w:szCs w:val="20"/>
              </w:rPr>
              <w:t xml:space="preserve">People and workplace: </w:t>
            </w:r>
            <w:r w:rsidR="00814122" w:rsidRPr="002C1E65">
              <w:rPr>
                <w:szCs w:val="20"/>
              </w:rPr>
              <w:t>Short term</w:t>
            </w:r>
          </w:p>
          <w:p w14:paraId="4F94F17C" w14:textId="77777777" w:rsidR="00A66E5C" w:rsidRPr="002C1E65" w:rsidRDefault="00A66E5C" w:rsidP="009C58F5">
            <w:pPr>
              <w:pStyle w:val="TableBullet"/>
              <w:keepNext/>
              <w:keepLines/>
              <w:spacing w:before="60" w:after="60"/>
              <w:rPr>
                <w:szCs w:val="20"/>
              </w:rPr>
            </w:pPr>
            <w:r w:rsidRPr="002C1E65">
              <w:rPr>
                <w:szCs w:val="20"/>
              </w:rPr>
              <w:t>Interdependencies: Short term</w:t>
            </w:r>
          </w:p>
          <w:p w14:paraId="2000F286" w14:textId="77777777" w:rsidR="00A66E5C" w:rsidRPr="002C1E65" w:rsidRDefault="00A66E5C" w:rsidP="009C58F5">
            <w:pPr>
              <w:pStyle w:val="TableBullet"/>
              <w:keepNext/>
              <w:keepLines/>
              <w:spacing w:before="60" w:after="60"/>
              <w:rPr>
                <w:szCs w:val="20"/>
              </w:rPr>
            </w:pPr>
            <w:r w:rsidRPr="002C1E65">
              <w:rPr>
                <w:szCs w:val="20"/>
              </w:rPr>
              <w:t>Customer and product delivery: Short term</w:t>
            </w:r>
          </w:p>
        </w:tc>
      </w:tr>
      <w:tr w:rsidR="00A66E5C" w:rsidRPr="002C1E65" w14:paraId="1FD11EE6" w14:textId="77777777" w:rsidTr="00CF70F9">
        <w:tc>
          <w:tcPr>
            <w:tcW w:w="2870" w:type="pct"/>
          </w:tcPr>
          <w:p w14:paraId="358C34C6" w14:textId="5430D192" w:rsidR="00A66E5C" w:rsidRPr="002C1E65" w:rsidRDefault="00A66E5C" w:rsidP="00A66E5C">
            <w:pPr>
              <w:pStyle w:val="TableBullet"/>
              <w:rPr>
                <w:szCs w:val="20"/>
              </w:rPr>
            </w:pPr>
            <w:r w:rsidRPr="002C1E65">
              <w:rPr>
                <w:szCs w:val="20"/>
              </w:rPr>
              <w:t xml:space="preserve">Supported </w:t>
            </w:r>
            <w:r w:rsidR="0030196D">
              <w:rPr>
                <w:szCs w:val="20"/>
              </w:rPr>
              <w:t>Department of Environment, Land, Water and Planning</w:t>
            </w:r>
            <w:r w:rsidRPr="002C1E65">
              <w:rPr>
                <w:szCs w:val="20"/>
              </w:rPr>
              <w:t>’s development of a Coastal Hazard Assessment for Port Philip Bay, and conducted scoping for future use of information in urban development and coastal advisory processes.</w:t>
            </w:r>
          </w:p>
        </w:tc>
        <w:tc>
          <w:tcPr>
            <w:tcW w:w="2130" w:type="pct"/>
          </w:tcPr>
          <w:p w14:paraId="63ADECC0" w14:textId="204E33F4" w:rsidR="00814122" w:rsidRPr="002C1E65" w:rsidRDefault="00814122" w:rsidP="00814122">
            <w:pPr>
              <w:pStyle w:val="TableBullet"/>
              <w:spacing w:before="60" w:after="60"/>
              <w:rPr>
                <w:szCs w:val="20"/>
              </w:rPr>
            </w:pPr>
            <w:r w:rsidRPr="002C1E65">
              <w:rPr>
                <w:szCs w:val="20"/>
              </w:rPr>
              <w:t>Time frame: Medium term</w:t>
            </w:r>
          </w:p>
          <w:p w14:paraId="22607E5C" w14:textId="577676B7" w:rsidR="00814122" w:rsidRPr="002C1E65" w:rsidRDefault="00814122" w:rsidP="00814122">
            <w:pPr>
              <w:pStyle w:val="TableBullet"/>
              <w:spacing w:before="60" w:after="60"/>
              <w:rPr>
                <w:szCs w:val="20"/>
              </w:rPr>
            </w:pPr>
            <w:r w:rsidRPr="002C1E65">
              <w:rPr>
                <w:szCs w:val="20"/>
              </w:rPr>
              <w:t>Source waters and demand: N/A</w:t>
            </w:r>
          </w:p>
          <w:p w14:paraId="6ADC4585" w14:textId="59AA074E" w:rsidR="00814122" w:rsidRPr="002C1E65" w:rsidRDefault="00814122" w:rsidP="00814122">
            <w:pPr>
              <w:pStyle w:val="TableBullet"/>
              <w:spacing w:before="60" w:after="60"/>
              <w:rPr>
                <w:szCs w:val="20"/>
              </w:rPr>
            </w:pPr>
            <w:r w:rsidRPr="002C1E65">
              <w:rPr>
                <w:szCs w:val="20"/>
              </w:rPr>
              <w:t>Built assets: Short term</w:t>
            </w:r>
          </w:p>
          <w:p w14:paraId="1F63DEB4" w14:textId="77777777" w:rsidR="00814122" w:rsidRPr="002C1E65" w:rsidRDefault="00814122" w:rsidP="00814122">
            <w:pPr>
              <w:pStyle w:val="TableBullet"/>
              <w:spacing w:before="60" w:after="60"/>
              <w:rPr>
                <w:szCs w:val="20"/>
              </w:rPr>
            </w:pPr>
            <w:r w:rsidRPr="002C1E65">
              <w:rPr>
                <w:szCs w:val="20"/>
              </w:rPr>
              <w:t>Natural environment: Short term</w:t>
            </w:r>
          </w:p>
          <w:p w14:paraId="55635BB5" w14:textId="77777777" w:rsidR="00814122" w:rsidRPr="002C1E65" w:rsidRDefault="00814122" w:rsidP="00814122">
            <w:pPr>
              <w:pStyle w:val="TableBullet"/>
              <w:spacing w:before="60" w:after="60"/>
              <w:rPr>
                <w:szCs w:val="20"/>
              </w:rPr>
            </w:pPr>
            <w:r w:rsidRPr="002C1E65">
              <w:rPr>
                <w:szCs w:val="20"/>
              </w:rPr>
              <w:t>People and workplace: N/A</w:t>
            </w:r>
          </w:p>
          <w:p w14:paraId="5FC2110F" w14:textId="77777777" w:rsidR="00814122" w:rsidRPr="002C1E65" w:rsidRDefault="00814122" w:rsidP="00814122">
            <w:pPr>
              <w:pStyle w:val="TableBullet"/>
              <w:spacing w:before="60" w:after="60"/>
              <w:rPr>
                <w:szCs w:val="20"/>
              </w:rPr>
            </w:pPr>
            <w:r w:rsidRPr="002C1E65">
              <w:rPr>
                <w:szCs w:val="20"/>
              </w:rPr>
              <w:t>Interdependencies: Short term</w:t>
            </w:r>
          </w:p>
          <w:p w14:paraId="5ED155B0" w14:textId="33155247" w:rsidR="00A66E5C" w:rsidRPr="002C1E65" w:rsidRDefault="00814122" w:rsidP="00814122">
            <w:pPr>
              <w:pStyle w:val="TableBullet"/>
              <w:spacing w:before="60" w:after="60"/>
              <w:rPr>
                <w:szCs w:val="20"/>
              </w:rPr>
            </w:pPr>
            <w:r w:rsidRPr="002C1E65">
              <w:rPr>
                <w:szCs w:val="20"/>
              </w:rPr>
              <w:t>Customer and product delivery: Short term</w:t>
            </w:r>
          </w:p>
        </w:tc>
      </w:tr>
      <w:tr w:rsidR="00A66E5C" w:rsidRPr="002C1E65" w14:paraId="6D9874A3" w14:textId="77777777" w:rsidTr="00CF70F9">
        <w:tc>
          <w:tcPr>
            <w:tcW w:w="2870" w:type="pct"/>
          </w:tcPr>
          <w:p w14:paraId="349B2EDA" w14:textId="40118052" w:rsidR="00A66E5C" w:rsidRPr="002C1E65" w:rsidRDefault="00A66E5C" w:rsidP="00A66E5C">
            <w:pPr>
              <w:pStyle w:val="TableBullet"/>
              <w:rPr>
                <w:szCs w:val="20"/>
              </w:rPr>
            </w:pPr>
            <w:r w:rsidRPr="002C1E65">
              <w:rPr>
                <w:szCs w:val="20"/>
              </w:rPr>
              <w:t xml:space="preserve">Actions to build resilience to climate change impacts included in the draft </w:t>
            </w:r>
            <w:r w:rsidRPr="002C1E65">
              <w:rPr>
                <w:rStyle w:val="ItalicText"/>
                <w:szCs w:val="20"/>
              </w:rPr>
              <w:t>Flood Management Strategy Port Phillip and Westernport 2021-31</w:t>
            </w:r>
            <w:r w:rsidRPr="002C1E65">
              <w:rPr>
                <w:szCs w:val="20"/>
              </w:rPr>
              <w:t>, and associated action plan.</w:t>
            </w:r>
          </w:p>
        </w:tc>
        <w:tc>
          <w:tcPr>
            <w:tcW w:w="2130" w:type="pct"/>
          </w:tcPr>
          <w:p w14:paraId="540241DD" w14:textId="4FD49A0D" w:rsidR="00814122" w:rsidRPr="002C1E65" w:rsidRDefault="00814122" w:rsidP="00814122">
            <w:pPr>
              <w:pStyle w:val="TableBullet"/>
              <w:spacing w:before="60" w:after="60"/>
              <w:rPr>
                <w:szCs w:val="20"/>
              </w:rPr>
            </w:pPr>
            <w:r w:rsidRPr="002C1E65">
              <w:rPr>
                <w:szCs w:val="20"/>
              </w:rPr>
              <w:t>Time frame: Medium term</w:t>
            </w:r>
          </w:p>
          <w:p w14:paraId="75A58D7B" w14:textId="2BC0EAF0" w:rsidR="00814122" w:rsidRPr="002C1E65" w:rsidRDefault="00814122" w:rsidP="00814122">
            <w:pPr>
              <w:pStyle w:val="TableBullet"/>
              <w:spacing w:before="60" w:after="60"/>
              <w:rPr>
                <w:szCs w:val="20"/>
              </w:rPr>
            </w:pPr>
            <w:r w:rsidRPr="002C1E65">
              <w:rPr>
                <w:szCs w:val="20"/>
              </w:rPr>
              <w:t>Source waters and demand: N/A</w:t>
            </w:r>
          </w:p>
          <w:p w14:paraId="6B318B7C" w14:textId="4B588E27" w:rsidR="00814122" w:rsidRPr="002C1E65" w:rsidRDefault="00814122" w:rsidP="00814122">
            <w:pPr>
              <w:pStyle w:val="TableBullet"/>
              <w:spacing w:before="60" w:after="60"/>
              <w:rPr>
                <w:szCs w:val="20"/>
              </w:rPr>
            </w:pPr>
            <w:r w:rsidRPr="002C1E65">
              <w:rPr>
                <w:szCs w:val="20"/>
              </w:rPr>
              <w:t>Built assets: Short term</w:t>
            </w:r>
          </w:p>
          <w:p w14:paraId="66C11226" w14:textId="13F83455" w:rsidR="00814122" w:rsidRPr="002C1E65" w:rsidRDefault="00814122" w:rsidP="00814122">
            <w:pPr>
              <w:pStyle w:val="TableBullet"/>
              <w:spacing w:before="60" w:after="60"/>
              <w:rPr>
                <w:szCs w:val="20"/>
              </w:rPr>
            </w:pPr>
            <w:r w:rsidRPr="002C1E65">
              <w:rPr>
                <w:szCs w:val="20"/>
              </w:rPr>
              <w:t>Natural environment: N/A</w:t>
            </w:r>
          </w:p>
          <w:p w14:paraId="17E2309F" w14:textId="77777777" w:rsidR="00814122" w:rsidRPr="002C1E65" w:rsidRDefault="00814122" w:rsidP="00814122">
            <w:pPr>
              <w:pStyle w:val="TableBullet"/>
              <w:spacing w:before="60" w:after="60"/>
              <w:rPr>
                <w:szCs w:val="20"/>
              </w:rPr>
            </w:pPr>
            <w:r w:rsidRPr="002C1E65">
              <w:rPr>
                <w:szCs w:val="20"/>
              </w:rPr>
              <w:t>People and workplace: N/A</w:t>
            </w:r>
          </w:p>
          <w:p w14:paraId="5B6FFE0E" w14:textId="77777777" w:rsidR="00814122" w:rsidRPr="002C1E65" w:rsidRDefault="00814122" w:rsidP="00814122">
            <w:pPr>
              <w:pStyle w:val="TableBullet"/>
              <w:spacing w:before="60" w:after="60"/>
              <w:rPr>
                <w:szCs w:val="20"/>
              </w:rPr>
            </w:pPr>
            <w:r w:rsidRPr="002C1E65">
              <w:rPr>
                <w:szCs w:val="20"/>
              </w:rPr>
              <w:lastRenderedPageBreak/>
              <w:t>Interdependencies: Short term</w:t>
            </w:r>
          </w:p>
          <w:p w14:paraId="40613E1B" w14:textId="72724510" w:rsidR="00A66E5C" w:rsidRPr="002C1E65" w:rsidRDefault="00814122" w:rsidP="00814122">
            <w:pPr>
              <w:pStyle w:val="TableBullet"/>
              <w:spacing w:before="60" w:after="60"/>
              <w:rPr>
                <w:szCs w:val="20"/>
              </w:rPr>
            </w:pPr>
            <w:r w:rsidRPr="002C1E65">
              <w:rPr>
                <w:szCs w:val="20"/>
              </w:rPr>
              <w:t>Customer and product delivery: Short term</w:t>
            </w:r>
          </w:p>
        </w:tc>
      </w:tr>
      <w:tr w:rsidR="00A66E5C" w:rsidRPr="002C1E65" w14:paraId="4840D7ED" w14:textId="77777777" w:rsidTr="00CF70F9">
        <w:tc>
          <w:tcPr>
            <w:tcW w:w="2870" w:type="pct"/>
          </w:tcPr>
          <w:p w14:paraId="0913F0E1" w14:textId="5B2B9155" w:rsidR="00A66E5C" w:rsidRPr="002C1E65" w:rsidRDefault="00A66E5C" w:rsidP="00A66E5C">
            <w:pPr>
              <w:pStyle w:val="TableBullet"/>
              <w:rPr>
                <w:szCs w:val="20"/>
              </w:rPr>
            </w:pPr>
            <w:r w:rsidRPr="002C1E65">
              <w:rPr>
                <w:szCs w:val="20"/>
              </w:rPr>
              <w:lastRenderedPageBreak/>
              <w:t>Updated future flood Annual Average Damages estimates with regard to climate projections.</w:t>
            </w:r>
          </w:p>
        </w:tc>
        <w:tc>
          <w:tcPr>
            <w:tcW w:w="2130" w:type="pct"/>
          </w:tcPr>
          <w:p w14:paraId="24D058D2" w14:textId="0CAC807E" w:rsidR="00814122" w:rsidRPr="002C1E65" w:rsidRDefault="00814122" w:rsidP="00814122">
            <w:pPr>
              <w:pStyle w:val="TableBullet"/>
              <w:spacing w:before="60" w:after="60"/>
              <w:rPr>
                <w:szCs w:val="20"/>
              </w:rPr>
            </w:pPr>
            <w:r w:rsidRPr="002C1E65">
              <w:rPr>
                <w:szCs w:val="20"/>
              </w:rPr>
              <w:t>Time frame: Medium term</w:t>
            </w:r>
          </w:p>
          <w:p w14:paraId="67EC3A3E" w14:textId="0AB8331B" w:rsidR="00814122" w:rsidRPr="002C1E65" w:rsidRDefault="00814122" w:rsidP="00814122">
            <w:pPr>
              <w:pStyle w:val="TableBullet"/>
              <w:spacing w:before="60" w:after="60"/>
              <w:rPr>
                <w:szCs w:val="20"/>
              </w:rPr>
            </w:pPr>
            <w:r w:rsidRPr="002C1E65">
              <w:rPr>
                <w:szCs w:val="20"/>
              </w:rPr>
              <w:t>Source waters and demand: N/A</w:t>
            </w:r>
          </w:p>
          <w:p w14:paraId="6C834113" w14:textId="5EA5603A" w:rsidR="00814122" w:rsidRPr="002C1E65" w:rsidRDefault="00814122" w:rsidP="00814122">
            <w:pPr>
              <w:pStyle w:val="TableBullet"/>
              <w:spacing w:before="60" w:after="60"/>
              <w:rPr>
                <w:szCs w:val="20"/>
              </w:rPr>
            </w:pPr>
            <w:r w:rsidRPr="002C1E65">
              <w:rPr>
                <w:szCs w:val="20"/>
              </w:rPr>
              <w:t>Built assets: Short term</w:t>
            </w:r>
          </w:p>
          <w:p w14:paraId="02646CF8" w14:textId="7D1AE7FE" w:rsidR="00814122" w:rsidRPr="002C1E65" w:rsidRDefault="00814122" w:rsidP="00814122">
            <w:pPr>
              <w:pStyle w:val="TableBullet"/>
              <w:spacing w:before="60" w:after="60"/>
              <w:rPr>
                <w:szCs w:val="20"/>
              </w:rPr>
            </w:pPr>
            <w:r w:rsidRPr="002C1E65">
              <w:rPr>
                <w:szCs w:val="20"/>
              </w:rPr>
              <w:t>Natural environment: N/A</w:t>
            </w:r>
          </w:p>
          <w:p w14:paraId="61B50B55" w14:textId="77777777" w:rsidR="00814122" w:rsidRPr="002C1E65" w:rsidRDefault="00814122" w:rsidP="00814122">
            <w:pPr>
              <w:pStyle w:val="TableBullet"/>
              <w:spacing w:before="60" w:after="60"/>
              <w:rPr>
                <w:szCs w:val="20"/>
              </w:rPr>
            </w:pPr>
            <w:r w:rsidRPr="002C1E65">
              <w:rPr>
                <w:szCs w:val="20"/>
              </w:rPr>
              <w:t>People and workplace: N/A</w:t>
            </w:r>
          </w:p>
          <w:p w14:paraId="7980A048" w14:textId="77777777" w:rsidR="00814122" w:rsidRPr="002C1E65" w:rsidRDefault="00814122" w:rsidP="00814122">
            <w:pPr>
              <w:pStyle w:val="TableBullet"/>
              <w:spacing w:before="60" w:after="60"/>
              <w:rPr>
                <w:szCs w:val="20"/>
              </w:rPr>
            </w:pPr>
            <w:r w:rsidRPr="002C1E65">
              <w:rPr>
                <w:szCs w:val="20"/>
              </w:rPr>
              <w:t>Interdependencies: Short term</w:t>
            </w:r>
          </w:p>
          <w:p w14:paraId="5D0C9F1C" w14:textId="5691EA48" w:rsidR="00A66E5C" w:rsidRPr="002C1E65" w:rsidRDefault="00814122" w:rsidP="00814122">
            <w:pPr>
              <w:pStyle w:val="TableBullet"/>
              <w:spacing w:before="60" w:after="60"/>
              <w:rPr>
                <w:szCs w:val="20"/>
              </w:rPr>
            </w:pPr>
            <w:r w:rsidRPr="002C1E65">
              <w:rPr>
                <w:szCs w:val="20"/>
              </w:rPr>
              <w:t>Customer and product delivery: Short term</w:t>
            </w:r>
          </w:p>
        </w:tc>
      </w:tr>
      <w:tr w:rsidR="00A66E5C" w:rsidRPr="002C1E65" w14:paraId="0E591F44" w14:textId="77777777" w:rsidTr="00CF70F9">
        <w:tc>
          <w:tcPr>
            <w:tcW w:w="2870" w:type="pct"/>
          </w:tcPr>
          <w:p w14:paraId="7BEAB068" w14:textId="21DB4D3D" w:rsidR="00A66E5C" w:rsidRPr="002C1E65" w:rsidRDefault="00A66E5C" w:rsidP="002C1E65">
            <w:pPr>
              <w:pStyle w:val="TableBullet"/>
              <w:keepNext/>
              <w:keepLines/>
              <w:rPr>
                <w:szCs w:val="20"/>
              </w:rPr>
            </w:pPr>
            <w:r w:rsidRPr="002C1E65">
              <w:rPr>
                <w:szCs w:val="20"/>
              </w:rPr>
              <w:t>Provided future coastal inundation information for urban development purposes.</w:t>
            </w:r>
          </w:p>
        </w:tc>
        <w:tc>
          <w:tcPr>
            <w:tcW w:w="2130" w:type="pct"/>
          </w:tcPr>
          <w:p w14:paraId="36D5BD60" w14:textId="33196618" w:rsidR="00814122" w:rsidRPr="002C1E65" w:rsidRDefault="00814122" w:rsidP="002C1E65">
            <w:pPr>
              <w:pStyle w:val="TableBullet"/>
              <w:keepNext/>
              <w:keepLines/>
              <w:spacing w:before="60" w:after="60"/>
              <w:rPr>
                <w:szCs w:val="20"/>
              </w:rPr>
            </w:pPr>
            <w:r w:rsidRPr="002C1E65">
              <w:rPr>
                <w:szCs w:val="20"/>
              </w:rPr>
              <w:t>Time frame: Ongoing</w:t>
            </w:r>
          </w:p>
          <w:p w14:paraId="40CED0F6" w14:textId="2AF84B39" w:rsidR="00814122" w:rsidRPr="002C1E65" w:rsidRDefault="00814122" w:rsidP="002C1E65">
            <w:pPr>
              <w:pStyle w:val="TableBullet"/>
              <w:keepNext/>
              <w:keepLines/>
              <w:spacing w:before="60" w:after="60"/>
              <w:rPr>
                <w:szCs w:val="20"/>
              </w:rPr>
            </w:pPr>
            <w:r w:rsidRPr="002C1E65">
              <w:rPr>
                <w:szCs w:val="20"/>
              </w:rPr>
              <w:t>Source waters and demand: N/A</w:t>
            </w:r>
          </w:p>
          <w:p w14:paraId="593332F9" w14:textId="1E70BBB9" w:rsidR="00814122" w:rsidRPr="002C1E65" w:rsidRDefault="00814122" w:rsidP="002C1E65">
            <w:pPr>
              <w:pStyle w:val="TableBullet"/>
              <w:keepNext/>
              <w:keepLines/>
              <w:spacing w:before="60" w:after="60"/>
              <w:rPr>
                <w:szCs w:val="20"/>
              </w:rPr>
            </w:pPr>
            <w:r w:rsidRPr="002C1E65">
              <w:rPr>
                <w:szCs w:val="20"/>
              </w:rPr>
              <w:t>Built assets: Short term</w:t>
            </w:r>
          </w:p>
          <w:p w14:paraId="1C3770D9" w14:textId="67CEDED7" w:rsidR="00814122" w:rsidRPr="002C1E65" w:rsidRDefault="00814122" w:rsidP="002C1E65">
            <w:pPr>
              <w:pStyle w:val="TableBullet"/>
              <w:keepNext/>
              <w:keepLines/>
              <w:spacing w:before="60" w:after="60"/>
              <w:rPr>
                <w:szCs w:val="20"/>
              </w:rPr>
            </w:pPr>
            <w:r w:rsidRPr="002C1E65">
              <w:rPr>
                <w:szCs w:val="20"/>
              </w:rPr>
              <w:t>Natural environment: N/A</w:t>
            </w:r>
          </w:p>
          <w:p w14:paraId="15F0E803" w14:textId="77777777" w:rsidR="00814122" w:rsidRPr="002C1E65" w:rsidRDefault="00814122" w:rsidP="002C1E65">
            <w:pPr>
              <w:pStyle w:val="TableBullet"/>
              <w:keepNext/>
              <w:keepLines/>
              <w:spacing w:before="60" w:after="60"/>
              <w:rPr>
                <w:szCs w:val="20"/>
              </w:rPr>
            </w:pPr>
            <w:r w:rsidRPr="002C1E65">
              <w:rPr>
                <w:szCs w:val="20"/>
              </w:rPr>
              <w:t>People and workplace: N/A</w:t>
            </w:r>
          </w:p>
          <w:p w14:paraId="560170E3" w14:textId="77777777" w:rsidR="00814122" w:rsidRPr="002C1E65" w:rsidRDefault="00814122" w:rsidP="002C1E65">
            <w:pPr>
              <w:pStyle w:val="TableBullet"/>
              <w:keepNext/>
              <w:keepLines/>
              <w:spacing w:before="60" w:after="60"/>
              <w:rPr>
                <w:szCs w:val="20"/>
              </w:rPr>
            </w:pPr>
            <w:r w:rsidRPr="002C1E65">
              <w:rPr>
                <w:szCs w:val="20"/>
              </w:rPr>
              <w:t>Interdependencies: Short term</w:t>
            </w:r>
          </w:p>
          <w:p w14:paraId="757E6E44" w14:textId="10549E57" w:rsidR="00A66E5C" w:rsidRPr="002C1E65" w:rsidRDefault="00814122" w:rsidP="002C1E65">
            <w:pPr>
              <w:pStyle w:val="TableBullet"/>
              <w:keepNext/>
              <w:keepLines/>
              <w:spacing w:before="60" w:after="60"/>
              <w:rPr>
                <w:szCs w:val="20"/>
              </w:rPr>
            </w:pPr>
            <w:r w:rsidRPr="002C1E65">
              <w:rPr>
                <w:szCs w:val="20"/>
              </w:rPr>
              <w:t>Customer and product delivery: Short term</w:t>
            </w:r>
          </w:p>
        </w:tc>
      </w:tr>
    </w:tbl>
    <w:p w14:paraId="0890865C" w14:textId="6061F3DA" w:rsidR="001F3CFA" w:rsidRPr="002C717E" w:rsidRDefault="001F3CFA" w:rsidP="00CF70F9">
      <w:pPr>
        <w:pStyle w:val="BodyText"/>
        <w:spacing w:before="120" w:after="120"/>
        <w:rPr>
          <w:rStyle w:val="Bold"/>
        </w:rPr>
      </w:pPr>
      <w:r w:rsidRPr="002C717E">
        <w:rPr>
          <w:rStyle w:val="Bold"/>
        </w:rPr>
        <w:t xml:space="preserve">Service: </w:t>
      </w:r>
      <w:r>
        <w:rPr>
          <w:rStyle w:val="Bold"/>
        </w:rPr>
        <w:t>Waterways</w:t>
      </w:r>
    </w:p>
    <w:tbl>
      <w:tblPr>
        <w:tblStyle w:val="TableGrid"/>
        <w:tblW w:w="5000" w:type="pct"/>
        <w:tblCellMar>
          <w:top w:w="28" w:type="dxa"/>
          <w:bottom w:w="28" w:type="dxa"/>
        </w:tblCellMar>
        <w:tblLook w:val="04A0" w:firstRow="1" w:lastRow="0" w:firstColumn="1" w:lastColumn="0" w:noHBand="0" w:noVBand="1"/>
      </w:tblPr>
      <w:tblGrid>
        <w:gridCol w:w="5528"/>
        <w:gridCol w:w="4103"/>
      </w:tblGrid>
      <w:tr w:rsidR="001F3CFA" w:rsidRPr="002C1E65" w14:paraId="0BC98CE5" w14:textId="77777777" w:rsidTr="00CF70F9">
        <w:trPr>
          <w:cnfStyle w:val="100000000000" w:firstRow="1" w:lastRow="0" w:firstColumn="0" w:lastColumn="0" w:oddVBand="0" w:evenVBand="0" w:oddHBand="0" w:evenHBand="0" w:firstRowFirstColumn="0" w:firstRowLastColumn="0" w:lastRowFirstColumn="0" w:lastRowLastColumn="0"/>
          <w:tblHeader/>
        </w:trPr>
        <w:tc>
          <w:tcPr>
            <w:tcW w:w="2870" w:type="pct"/>
            <w:vAlign w:val="bottom"/>
          </w:tcPr>
          <w:p w14:paraId="2B7F3D1B" w14:textId="77777777" w:rsidR="001F3CFA" w:rsidRPr="002C1E65" w:rsidRDefault="001F3CFA" w:rsidP="001451F8">
            <w:pPr>
              <w:pStyle w:val="TableBodyText"/>
              <w:rPr>
                <w:szCs w:val="20"/>
                <w:lang w:eastAsia="en-US"/>
              </w:rPr>
            </w:pPr>
            <w:bookmarkStart w:id="418" w:name="ColumnTitle_15"/>
            <w:r w:rsidRPr="002C1E65">
              <w:rPr>
                <w:szCs w:val="20"/>
                <w:lang w:eastAsia="en-US"/>
              </w:rPr>
              <w:t>Item</w:t>
            </w:r>
          </w:p>
        </w:tc>
        <w:tc>
          <w:tcPr>
            <w:tcW w:w="2130" w:type="pct"/>
            <w:vAlign w:val="bottom"/>
          </w:tcPr>
          <w:p w14:paraId="4B580BCD" w14:textId="77777777" w:rsidR="001F3CFA" w:rsidRPr="002C1E65" w:rsidRDefault="001F3CFA" w:rsidP="001451F8">
            <w:pPr>
              <w:pStyle w:val="TableBodyText"/>
              <w:rPr>
                <w:szCs w:val="20"/>
                <w:lang w:eastAsia="en-US"/>
              </w:rPr>
            </w:pPr>
            <w:r w:rsidRPr="002C1E65">
              <w:rPr>
                <w:szCs w:val="20"/>
                <w:lang w:eastAsia="en-US"/>
              </w:rPr>
              <w:t>Functional business areas</w:t>
            </w:r>
          </w:p>
        </w:tc>
      </w:tr>
      <w:bookmarkEnd w:id="418"/>
      <w:tr w:rsidR="001F3CFA" w:rsidRPr="002C1E65" w14:paraId="4CFD1633" w14:textId="77777777" w:rsidTr="00CF70F9">
        <w:tc>
          <w:tcPr>
            <w:tcW w:w="2870" w:type="pct"/>
          </w:tcPr>
          <w:p w14:paraId="4E2EE35D" w14:textId="7B4A8BB2" w:rsidR="001F3CFA" w:rsidRPr="002C1E65" w:rsidRDefault="001F3CFA" w:rsidP="00814122">
            <w:pPr>
              <w:pStyle w:val="TableBullet"/>
              <w:spacing w:before="60" w:after="60"/>
              <w:rPr>
                <w:szCs w:val="20"/>
              </w:rPr>
            </w:pPr>
            <w:r w:rsidRPr="002C1E65">
              <w:rPr>
                <w:szCs w:val="20"/>
              </w:rPr>
              <w:t>Explored opportunities to retain more water in urban landscapes to reduce stormwater impacts on waterways while supporting greener, cooler neighbourhoods and climate adaptation.</w:t>
            </w:r>
          </w:p>
        </w:tc>
        <w:tc>
          <w:tcPr>
            <w:tcW w:w="2130" w:type="pct"/>
          </w:tcPr>
          <w:p w14:paraId="4061DAFD" w14:textId="77777777" w:rsidR="00814122" w:rsidRPr="002C1E65" w:rsidRDefault="00814122" w:rsidP="00814122">
            <w:pPr>
              <w:pStyle w:val="TableBullet"/>
              <w:spacing w:before="60" w:after="60"/>
              <w:rPr>
                <w:szCs w:val="20"/>
              </w:rPr>
            </w:pPr>
            <w:r w:rsidRPr="002C1E65">
              <w:rPr>
                <w:szCs w:val="20"/>
              </w:rPr>
              <w:t>Time frame: Ongoing</w:t>
            </w:r>
          </w:p>
          <w:p w14:paraId="051AE1AC" w14:textId="3D985527" w:rsidR="00814122" w:rsidRPr="002C1E65" w:rsidRDefault="00814122" w:rsidP="00814122">
            <w:pPr>
              <w:pStyle w:val="TableBullet"/>
              <w:spacing w:before="60" w:after="60"/>
              <w:rPr>
                <w:szCs w:val="20"/>
              </w:rPr>
            </w:pPr>
            <w:r w:rsidRPr="002C1E65">
              <w:rPr>
                <w:szCs w:val="20"/>
              </w:rPr>
              <w:t>Source waters and demand: Short term</w:t>
            </w:r>
          </w:p>
          <w:p w14:paraId="73503B14" w14:textId="44364993" w:rsidR="00814122" w:rsidRPr="002C1E65" w:rsidRDefault="00814122" w:rsidP="00814122">
            <w:pPr>
              <w:pStyle w:val="TableBullet"/>
              <w:spacing w:before="60" w:after="60"/>
              <w:rPr>
                <w:szCs w:val="20"/>
              </w:rPr>
            </w:pPr>
            <w:r w:rsidRPr="002C1E65">
              <w:rPr>
                <w:szCs w:val="20"/>
              </w:rPr>
              <w:t>Built assets: N/A</w:t>
            </w:r>
          </w:p>
          <w:p w14:paraId="67F765ED" w14:textId="2673A13B" w:rsidR="00814122" w:rsidRPr="002C1E65" w:rsidRDefault="00814122" w:rsidP="00814122">
            <w:pPr>
              <w:pStyle w:val="TableBullet"/>
              <w:spacing w:before="60" w:after="60"/>
              <w:rPr>
                <w:szCs w:val="20"/>
              </w:rPr>
            </w:pPr>
            <w:r w:rsidRPr="002C1E65">
              <w:rPr>
                <w:szCs w:val="20"/>
              </w:rPr>
              <w:t>Natural environment: Short term</w:t>
            </w:r>
          </w:p>
          <w:p w14:paraId="190E1216" w14:textId="77777777" w:rsidR="00814122" w:rsidRPr="002C1E65" w:rsidRDefault="00814122" w:rsidP="00814122">
            <w:pPr>
              <w:pStyle w:val="TableBullet"/>
              <w:spacing w:before="60" w:after="60"/>
              <w:rPr>
                <w:szCs w:val="20"/>
              </w:rPr>
            </w:pPr>
            <w:r w:rsidRPr="002C1E65">
              <w:rPr>
                <w:szCs w:val="20"/>
              </w:rPr>
              <w:t>People and workplace: N/A</w:t>
            </w:r>
          </w:p>
          <w:p w14:paraId="4BD8996D" w14:textId="77777777" w:rsidR="00814122" w:rsidRPr="002C1E65" w:rsidRDefault="00814122" w:rsidP="00814122">
            <w:pPr>
              <w:pStyle w:val="TableBullet"/>
              <w:spacing w:before="60" w:after="60"/>
              <w:rPr>
                <w:szCs w:val="20"/>
              </w:rPr>
            </w:pPr>
            <w:r w:rsidRPr="002C1E65">
              <w:rPr>
                <w:szCs w:val="20"/>
              </w:rPr>
              <w:t>Interdependencies: Short term</w:t>
            </w:r>
          </w:p>
          <w:p w14:paraId="77D54D22" w14:textId="4F82D6B8" w:rsidR="001F3CFA" w:rsidRPr="002C1E65" w:rsidRDefault="00814122" w:rsidP="00814122">
            <w:pPr>
              <w:pStyle w:val="TableBullet"/>
              <w:spacing w:before="60" w:after="60"/>
              <w:rPr>
                <w:szCs w:val="20"/>
              </w:rPr>
            </w:pPr>
            <w:r w:rsidRPr="002C1E65">
              <w:rPr>
                <w:szCs w:val="20"/>
              </w:rPr>
              <w:t>Customer and product delivery: Short term</w:t>
            </w:r>
          </w:p>
        </w:tc>
      </w:tr>
      <w:tr w:rsidR="001F3CFA" w:rsidRPr="002C1E65" w14:paraId="594EA26F" w14:textId="77777777" w:rsidTr="00CF70F9">
        <w:tc>
          <w:tcPr>
            <w:tcW w:w="2870" w:type="pct"/>
          </w:tcPr>
          <w:p w14:paraId="24497E51" w14:textId="03148D95" w:rsidR="001F3CFA" w:rsidRPr="002C1E65" w:rsidRDefault="001F3CFA" w:rsidP="00814122">
            <w:pPr>
              <w:pStyle w:val="TableBullet"/>
              <w:spacing w:before="60" w:after="60"/>
              <w:rPr>
                <w:szCs w:val="20"/>
              </w:rPr>
            </w:pPr>
            <w:r w:rsidRPr="002C1E65">
              <w:rPr>
                <w:szCs w:val="20"/>
              </w:rPr>
              <w:t>Research into climate threats to rivers, wetlands, estuaries and bays, and opportunities to build resilience into our natural and constructed assets. Includes hydrologic and ecological modelling, climate resilient vegetation and soft engineering for coastal protection research.</w:t>
            </w:r>
          </w:p>
        </w:tc>
        <w:tc>
          <w:tcPr>
            <w:tcW w:w="2130" w:type="pct"/>
          </w:tcPr>
          <w:p w14:paraId="327FB075" w14:textId="003CEB5D" w:rsidR="001F3CFA" w:rsidRPr="002C1E65" w:rsidRDefault="001F3CFA" w:rsidP="00814122">
            <w:pPr>
              <w:pStyle w:val="TableBullet"/>
              <w:spacing w:before="60" w:after="60"/>
              <w:rPr>
                <w:szCs w:val="20"/>
              </w:rPr>
            </w:pPr>
            <w:r w:rsidRPr="002C1E65">
              <w:rPr>
                <w:szCs w:val="20"/>
              </w:rPr>
              <w:t xml:space="preserve">Time frame: </w:t>
            </w:r>
            <w:r w:rsidR="00814122" w:rsidRPr="002C1E65">
              <w:rPr>
                <w:szCs w:val="20"/>
              </w:rPr>
              <w:t>Ongoing</w:t>
            </w:r>
          </w:p>
          <w:p w14:paraId="67A159D5" w14:textId="77777777" w:rsidR="001F3CFA" w:rsidRPr="002C1E65" w:rsidRDefault="001F3CFA" w:rsidP="00814122">
            <w:pPr>
              <w:pStyle w:val="TableBullet"/>
              <w:spacing w:before="60" w:after="60"/>
              <w:rPr>
                <w:szCs w:val="20"/>
              </w:rPr>
            </w:pPr>
            <w:r w:rsidRPr="002C1E65">
              <w:rPr>
                <w:szCs w:val="20"/>
              </w:rPr>
              <w:t>Source waters and demand: Short term</w:t>
            </w:r>
          </w:p>
          <w:p w14:paraId="34003EB6" w14:textId="77777777" w:rsidR="001F3CFA" w:rsidRPr="002C1E65" w:rsidRDefault="001F3CFA" w:rsidP="00814122">
            <w:pPr>
              <w:pStyle w:val="TableBullet"/>
              <w:spacing w:before="60" w:after="60"/>
              <w:rPr>
                <w:szCs w:val="20"/>
              </w:rPr>
            </w:pPr>
            <w:r w:rsidRPr="002C1E65">
              <w:rPr>
                <w:szCs w:val="20"/>
              </w:rPr>
              <w:t>Built assets: N/A</w:t>
            </w:r>
          </w:p>
          <w:p w14:paraId="0872890A" w14:textId="16F7B922" w:rsidR="001F3CFA" w:rsidRPr="002C1E65" w:rsidRDefault="001F3CFA" w:rsidP="00814122">
            <w:pPr>
              <w:pStyle w:val="TableBullet"/>
              <w:spacing w:before="60" w:after="60"/>
              <w:rPr>
                <w:szCs w:val="20"/>
              </w:rPr>
            </w:pPr>
            <w:r w:rsidRPr="002C1E65">
              <w:rPr>
                <w:szCs w:val="20"/>
              </w:rPr>
              <w:t xml:space="preserve">Natural environment: </w:t>
            </w:r>
            <w:r w:rsidR="00814122" w:rsidRPr="002C1E65">
              <w:rPr>
                <w:szCs w:val="20"/>
              </w:rPr>
              <w:t>Short term</w:t>
            </w:r>
          </w:p>
          <w:p w14:paraId="2CFFEB99" w14:textId="77777777" w:rsidR="001F3CFA" w:rsidRPr="002C1E65" w:rsidRDefault="001F3CFA" w:rsidP="00814122">
            <w:pPr>
              <w:pStyle w:val="TableBullet"/>
              <w:spacing w:before="60" w:after="60"/>
              <w:rPr>
                <w:szCs w:val="20"/>
              </w:rPr>
            </w:pPr>
            <w:r w:rsidRPr="002C1E65">
              <w:rPr>
                <w:szCs w:val="20"/>
              </w:rPr>
              <w:t>People and workplace: N/A</w:t>
            </w:r>
          </w:p>
          <w:p w14:paraId="70FE1170" w14:textId="77777777" w:rsidR="001F3CFA" w:rsidRPr="002C1E65" w:rsidRDefault="001F3CFA" w:rsidP="00814122">
            <w:pPr>
              <w:pStyle w:val="TableBullet"/>
              <w:spacing w:before="60" w:after="60"/>
              <w:rPr>
                <w:szCs w:val="20"/>
              </w:rPr>
            </w:pPr>
            <w:r w:rsidRPr="002C1E65">
              <w:rPr>
                <w:szCs w:val="20"/>
              </w:rPr>
              <w:t>Interdependencies: Short term</w:t>
            </w:r>
          </w:p>
          <w:p w14:paraId="5DEFF31E" w14:textId="77777777" w:rsidR="001F3CFA" w:rsidRPr="002C1E65" w:rsidRDefault="001F3CFA" w:rsidP="00814122">
            <w:pPr>
              <w:pStyle w:val="TableBullet"/>
              <w:spacing w:before="60" w:after="60"/>
              <w:rPr>
                <w:szCs w:val="20"/>
              </w:rPr>
            </w:pPr>
            <w:r w:rsidRPr="002C1E65">
              <w:rPr>
                <w:szCs w:val="20"/>
              </w:rPr>
              <w:t>Customer and product delivery: Short term</w:t>
            </w:r>
          </w:p>
        </w:tc>
      </w:tr>
      <w:tr w:rsidR="001F3CFA" w:rsidRPr="002C1E65" w14:paraId="7D044996" w14:textId="77777777" w:rsidTr="00CF70F9">
        <w:tc>
          <w:tcPr>
            <w:tcW w:w="2870" w:type="pct"/>
          </w:tcPr>
          <w:p w14:paraId="38BA62AD" w14:textId="0058828F" w:rsidR="001F3CFA" w:rsidRPr="002C1E65" w:rsidRDefault="001F3CFA" w:rsidP="00814122">
            <w:pPr>
              <w:pStyle w:val="TableBullet"/>
              <w:spacing w:before="60" w:after="60"/>
              <w:rPr>
                <w:szCs w:val="20"/>
              </w:rPr>
            </w:pPr>
            <w:r w:rsidRPr="002C1E65">
              <w:rPr>
                <w:szCs w:val="20"/>
              </w:rPr>
              <w:t>Urban cooling plantings to provide shade for regional parks and trails as well as improving habitat, community engagement and appreciation of waterways.</w:t>
            </w:r>
          </w:p>
        </w:tc>
        <w:tc>
          <w:tcPr>
            <w:tcW w:w="2130" w:type="pct"/>
          </w:tcPr>
          <w:p w14:paraId="69742ECD" w14:textId="6A07A8B4" w:rsidR="00814122" w:rsidRPr="002C1E65" w:rsidRDefault="00814122" w:rsidP="00814122">
            <w:pPr>
              <w:pStyle w:val="TableBullet"/>
              <w:spacing w:before="60" w:after="60"/>
              <w:rPr>
                <w:szCs w:val="20"/>
              </w:rPr>
            </w:pPr>
            <w:r w:rsidRPr="002C1E65">
              <w:rPr>
                <w:szCs w:val="20"/>
              </w:rPr>
              <w:t>Time frame: Medium term</w:t>
            </w:r>
          </w:p>
          <w:p w14:paraId="29346623" w14:textId="77777777" w:rsidR="00814122" w:rsidRPr="002C1E65" w:rsidRDefault="00814122" w:rsidP="00814122">
            <w:pPr>
              <w:pStyle w:val="TableBullet"/>
              <w:spacing w:before="60" w:after="60"/>
              <w:rPr>
                <w:szCs w:val="20"/>
              </w:rPr>
            </w:pPr>
            <w:r w:rsidRPr="002C1E65">
              <w:rPr>
                <w:szCs w:val="20"/>
              </w:rPr>
              <w:t>Source waters and demand: N/A</w:t>
            </w:r>
          </w:p>
          <w:p w14:paraId="5A3F0343" w14:textId="1C650B6D" w:rsidR="00814122" w:rsidRPr="002C1E65" w:rsidRDefault="00814122" w:rsidP="00814122">
            <w:pPr>
              <w:pStyle w:val="TableBullet"/>
              <w:spacing w:before="60" w:after="60"/>
              <w:rPr>
                <w:szCs w:val="20"/>
              </w:rPr>
            </w:pPr>
            <w:r w:rsidRPr="002C1E65">
              <w:rPr>
                <w:szCs w:val="20"/>
              </w:rPr>
              <w:t>Built assets: N/A</w:t>
            </w:r>
          </w:p>
          <w:p w14:paraId="3E6D042C" w14:textId="73E73CDD" w:rsidR="00814122" w:rsidRPr="002C1E65" w:rsidRDefault="00814122" w:rsidP="00814122">
            <w:pPr>
              <w:pStyle w:val="TableBullet"/>
              <w:spacing w:before="60" w:after="60"/>
              <w:rPr>
                <w:szCs w:val="20"/>
              </w:rPr>
            </w:pPr>
            <w:r w:rsidRPr="002C1E65">
              <w:rPr>
                <w:szCs w:val="20"/>
              </w:rPr>
              <w:t>Natural environment: Short term</w:t>
            </w:r>
          </w:p>
          <w:p w14:paraId="7745D5DC" w14:textId="77777777" w:rsidR="00814122" w:rsidRPr="002C1E65" w:rsidRDefault="00814122" w:rsidP="00814122">
            <w:pPr>
              <w:pStyle w:val="TableBullet"/>
              <w:spacing w:before="60" w:after="60"/>
              <w:rPr>
                <w:szCs w:val="20"/>
              </w:rPr>
            </w:pPr>
            <w:r w:rsidRPr="002C1E65">
              <w:rPr>
                <w:szCs w:val="20"/>
              </w:rPr>
              <w:t>People and workplace: N/A</w:t>
            </w:r>
          </w:p>
          <w:p w14:paraId="4D2A5CDF" w14:textId="77777777" w:rsidR="00814122" w:rsidRPr="002C1E65" w:rsidRDefault="00814122" w:rsidP="00814122">
            <w:pPr>
              <w:pStyle w:val="TableBullet"/>
              <w:spacing w:before="60" w:after="60"/>
              <w:rPr>
                <w:szCs w:val="20"/>
              </w:rPr>
            </w:pPr>
            <w:r w:rsidRPr="002C1E65">
              <w:rPr>
                <w:szCs w:val="20"/>
              </w:rPr>
              <w:t>Interdependencies: Short term</w:t>
            </w:r>
          </w:p>
          <w:p w14:paraId="61686555" w14:textId="6D39ABE7" w:rsidR="001F3CFA" w:rsidRPr="002C1E65" w:rsidRDefault="00814122" w:rsidP="00814122">
            <w:pPr>
              <w:pStyle w:val="TableBullet"/>
              <w:spacing w:before="60" w:after="60"/>
              <w:rPr>
                <w:szCs w:val="20"/>
              </w:rPr>
            </w:pPr>
            <w:r w:rsidRPr="002C1E65">
              <w:rPr>
                <w:szCs w:val="20"/>
              </w:rPr>
              <w:t>Customer and product delivery: Short term</w:t>
            </w:r>
          </w:p>
        </w:tc>
      </w:tr>
      <w:tr w:rsidR="001F3CFA" w:rsidRPr="002C1E65" w14:paraId="2E691723" w14:textId="77777777" w:rsidTr="00CF70F9">
        <w:tc>
          <w:tcPr>
            <w:tcW w:w="2870" w:type="pct"/>
          </w:tcPr>
          <w:p w14:paraId="28880C49" w14:textId="2B683E48" w:rsidR="001F3CFA" w:rsidRPr="002C1E65" w:rsidRDefault="001F3CFA" w:rsidP="00814122">
            <w:pPr>
              <w:pStyle w:val="TableBullet"/>
              <w:spacing w:before="60" w:after="60"/>
              <w:rPr>
                <w:szCs w:val="20"/>
              </w:rPr>
            </w:pPr>
            <w:r w:rsidRPr="002C1E65">
              <w:rPr>
                <w:szCs w:val="20"/>
              </w:rPr>
              <w:t>Monitored high-value drought refuge sites (key wetlands and waterways) and maintained response plans to enable response if conditions become critical.</w:t>
            </w:r>
          </w:p>
        </w:tc>
        <w:tc>
          <w:tcPr>
            <w:tcW w:w="2130" w:type="pct"/>
          </w:tcPr>
          <w:p w14:paraId="5884B567" w14:textId="77777777" w:rsidR="00814122" w:rsidRPr="002C1E65" w:rsidRDefault="00814122" w:rsidP="00814122">
            <w:pPr>
              <w:pStyle w:val="TableBullet"/>
              <w:spacing w:before="60" w:after="60"/>
              <w:rPr>
                <w:szCs w:val="20"/>
              </w:rPr>
            </w:pPr>
            <w:r w:rsidRPr="002C1E65">
              <w:rPr>
                <w:szCs w:val="20"/>
              </w:rPr>
              <w:t>Time frame: Ongoing</w:t>
            </w:r>
          </w:p>
          <w:p w14:paraId="76300D40" w14:textId="145034E8" w:rsidR="00814122" w:rsidRPr="002C1E65" w:rsidRDefault="00814122" w:rsidP="00814122">
            <w:pPr>
              <w:pStyle w:val="TableBullet"/>
              <w:spacing w:before="60" w:after="60"/>
              <w:rPr>
                <w:szCs w:val="20"/>
              </w:rPr>
            </w:pPr>
            <w:r w:rsidRPr="002C1E65">
              <w:rPr>
                <w:szCs w:val="20"/>
              </w:rPr>
              <w:t xml:space="preserve">Source waters and demand: </w:t>
            </w:r>
            <w:r w:rsidR="001E702A" w:rsidRPr="002C1E65">
              <w:rPr>
                <w:szCs w:val="20"/>
              </w:rPr>
              <w:t>Short term</w:t>
            </w:r>
          </w:p>
          <w:p w14:paraId="2C79527A" w14:textId="71C69602" w:rsidR="00814122" w:rsidRPr="002C1E65" w:rsidRDefault="00814122" w:rsidP="00814122">
            <w:pPr>
              <w:pStyle w:val="TableBullet"/>
              <w:spacing w:before="60" w:after="60"/>
              <w:rPr>
                <w:szCs w:val="20"/>
              </w:rPr>
            </w:pPr>
            <w:r w:rsidRPr="002C1E65">
              <w:rPr>
                <w:szCs w:val="20"/>
              </w:rPr>
              <w:t xml:space="preserve">Built assets: </w:t>
            </w:r>
            <w:r w:rsidR="001E702A" w:rsidRPr="002C1E65">
              <w:rPr>
                <w:szCs w:val="20"/>
              </w:rPr>
              <w:t>N/A</w:t>
            </w:r>
          </w:p>
          <w:p w14:paraId="455DE078" w14:textId="09205747" w:rsidR="00814122" w:rsidRPr="002C1E65" w:rsidRDefault="00814122" w:rsidP="00814122">
            <w:pPr>
              <w:pStyle w:val="TableBullet"/>
              <w:spacing w:before="60" w:after="60"/>
              <w:rPr>
                <w:szCs w:val="20"/>
              </w:rPr>
            </w:pPr>
            <w:r w:rsidRPr="002C1E65">
              <w:rPr>
                <w:szCs w:val="20"/>
              </w:rPr>
              <w:t xml:space="preserve">Natural environment: </w:t>
            </w:r>
            <w:r w:rsidR="001E702A" w:rsidRPr="002C1E65">
              <w:rPr>
                <w:szCs w:val="20"/>
              </w:rPr>
              <w:t>Short term</w:t>
            </w:r>
          </w:p>
          <w:p w14:paraId="3D7946BE" w14:textId="77777777" w:rsidR="00814122" w:rsidRPr="002C1E65" w:rsidRDefault="00814122" w:rsidP="00814122">
            <w:pPr>
              <w:pStyle w:val="TableBullet"/>
              <w:spacing w:before="60" w:after="60"/>
              <w:rPr>
                <w:szCs w:val="20"/>
              </w:rPr>
            </w:pPr>
            <w:r w:rsidRPr="002C1E65">
              <w:rPr>
                <w:szCs w:val="20"/>
              </w:rPr>
              <w:t>People and workplace: N/A</w:t>
            </w:r>
          </w:p>
          <w:p w14:paraId="709BB71F" w14:textId="231A7F0D" w:rsidR="00814122" w:rsidRPr="002C1E65" w:rsidRDefault="00814122" w:rsidP="00814122">
            <w:pPr>
              <w:pStyle w:val="TableBullet"/>
              <w:spacing w:before="60" w:after="60"/>
              <w:rPr>
                <w:szCs w:val="20"/>
              </w:rPr>
            </w:pPr>
            <w:r w:rsidRPr="002C1E65">
              <w:rPr>
                <w:szCs w:val="20"/>
              </w:rPr>
              <w:t xml:space="preserve">Interdependencies: </w:t>
            </w:r>
            <w:r w:rsidR="001E702A" w:rsidRPr="002C1E65">
              <w:rPr>
                <w:szCs w:val="20"/>
              </w:rPr>
              <w:t>N/A</w:t>
            </w:r>
          </w:p>
          <w:p w14:paraId="064C0BB0" w14:textId="7D4B50F4" w:rsidR="001F3CFA" w:rsidRPr="002C1E65" w:rsidRDefault="00814122" w:rsidP="00814122">
            <w:pPr>
              <w:pStyle w:val="TableBullet"/>
              <w:spacing w:before="60" w:after="60"/>
              <w:rPr>
                <w:szCs w:val="20"/>
              </w:rPr>
            </w:pPr>
            <w:r w:rsidRPr="002C1E65">
              <w:rPr>
                <w:szCs w:val="20"/>
              </w:rPr>
              <w:t xml:space="preserve">Customer and product delivery: </w:t>
            </w:r>
            <w:r w:rsidR="001E702A" w:rsidRPr="002C1E65">
              <w:rPr>
                <w:szCs w:val="20"/>
              </w:rPr>
              <w:t>N/A</w:t>
            </w:r>
          </w:p>
        </w:tc>
      </w:tr>
    </w:tbl>
    <w:p w14:paraId="2B264F26" w14:textId="4BF7DF52" w:rsidR="00237018" w:rsidRDefault="008312D6" w:rsidP="001451F8">
      <w:pPr>
        <w:pStyle w:val="Heading2"/>
      </w:pPr>
      <w:bookmarkStart w:id="419" w:name="_Toc89723039"/>
      <w:bookmarkStart w:id="420" w:name="_Toc89723220"/>
      <w:bookmarkStart w:id="421" w:name="_Toc89723280"/>
      <w:bookmarkStart w:id="422" w:name="_Ref89805710"/>
      <w:bookmarkStart w:id="423" w:name="_Ref89810850"/>
      <w:bookmarkStart w:id="424" w:name="_Toc89860544"/>
      <w:bookmarkStart w:id="425" w:name="_Toc89860688"/>
      <w:bookmarkStart w:id="426" w:name="_Toc90325982"/>
      <w:bookmarkStart w:id="427" w:name="OurPathtoNetZero"/>
      <w:bookmarkStart w:id="428" w:name="_Toc93659388"/>
      <w:r>
        <w:lastRenderedPageBreak/>
        <w:t>Our Path to Net Zero</w:t>
      </w:r>
      <w:bookmarkEnd w:id="419"/>
      <w:bookmarkEnd w:id="420"/>
      <w:bookmarkEnd w:id="421"/>
      <w:bookmarkEnd w:id="422"/>
      <w:bookmarkEnd w:id="423"/>
      <w:bookmarkEnd w:id="424"/>
      <w:bookmarkEnd w:id="425"/>
      <w:bookmarkEnd w:id="426"/>
      <w:bookmarkEnd w:id="428"/>
    </w:p>
    <w:bookmarkEnd w:id="427"/>
    <w:p w14:paraId="2C6BDBE7" w14:textId="6BDBF06E" w:rsidR="008312D6" w:rsidRDefault="008312D6" w:rsidP="001451F8">
      <w:pPr>
        <w:pStyle w:val="GreyBox"/>
        <w:keepNext/>
      </w:pPr>
      <w:r w:rsidRPr="00296848">
        <w:t xml:space="preserve">Aligns with goals </w:t>
      </w:r>
      <w:r>
        <w:t>3, 6, 7, 11, 12, 13 and 17</w:t>
      </w:r>
    </w:p>
    <w:p w14:paraId="3A66DE00" w14:textId="649E6E4F" w:rsidR="008312D6" w:rsidRDefault="008312D6" w:rsidP="008312D6">
      <w:pPr>
        <w:pStyle w:val="Heading3"/>
      </w:pPr>
      <w:bookmarkStart w:id="429" w:name="_Toc89723040"/>
      <w:bookmarkStart w:id="430" w:name="_Toc90325983"/>
      <w:bookmarkStart w:id="431" w:name="_Toc93659389"/>
      <w:r w:rsidRPr="00286036">
        <w:t>Our Approach</w:t>
      </w:r>
      <w:bookmarkEnd w:id="429"/>
      <w:bookmarkEnd w:id="430"/>
      <w:bookmarkEnd w:id="431"/>
    </w:p>
    <w:p w14:paraId="7F3F335D" w14:textId="549FBF41" w:rsidR="008312D6" w:rsidRDefault="008312D6" w:rsidP="008312D6">
      <w:pPr>
        <w:pStyle w:val="BodyText"/>
        <w:rPr>
          <w:lang w:eastAsia="en-US"/>
        </w:rPr>
      </w:pPr>
      <w:r>
        <w:rPr>
          <w:lang w:eastAsia="en-US"/>
        </w:rPr>
        <w:t>Melbourne Water is progressing Our Path to Net Zero in line with the long-term Victorian Government’s target of net zero greenhouse gas emissions by 2050. This includes an action for the metropolitan water corporations (including Melbourne Water) to examine accelerated progress to reach net zero emissions by 2030.</w:t>
      </w:r>
    </w:p>
    <w:p w14:paraId="3B33D9E5" w14:textId="77777777" w:rsidR="008312D6" w:rsidRDefault="008312D6" w:rsidP="008312D6">
      <w:pPr>
        <w:pStyle w:val="BodyText"/>
        <w:rPr>
          <w:lang w:eastAsia="en-US"/>
        </w:rPr>
      </w:pPr>
      <w:r>
        <w:rPr>
          <w:lang w:eastAsia="en-US"/>
        </w:rPr>
        <w:t>Our Path to Net Zero is being progressed in two stages:</w:t>
      </w:r>
    </w:p>
    <w:p w14:paraId="406ACDCB" w14:textId="61C9FE0F" w:rsidR="008312D6" w:rsidRDefault="008312D6" w:rsidP="00AD7993">
      <w:pPr>
        <w:pStyle w:val="ListNumber"/>
        <w:numPr>
          <w:ilvl w:val="0"/>
          <w:numId w:val="9"/>
        </w:numPr>
        <w:rPr>
          <w:lang w:eastAsia="en-US"/>
        </w:rPr>
      </w:pPr>
      <w:r>
        <w:rPr>
          <w:lang w:eastAsia="en-US"/>
        </w:rPr>
        <w:t>A reduction to 204,380 tonnes CO2-e by 2025 (which represents a 50 per cent reduction of our average emissions between 2011 and 2016).</w:t>
      </w:r>
    </w:p>
    <w:p w14:paraId="0F78FC2E" w14:textId="4EDB86EB" w:rsidR="008312D6" w:rsidRDefault="008312D6" w:rsidP="008312D6">
      <w:pPr>
        <w:pStyle w:val="ListNumber"/>
        <w:rPr>
          <w:lang w:eastAsia="en-US"/>
        </w:rPr>
      </w:pPr>
      <w:r>
        <w:rPr>
          <w:lang w:eastAsia="en-US"/>
        </w:rPr>
        <w:t>Examining a path to net zero by 2030.</w:t>
      </w:r>
    </w:p>
    <w:p w14:paraId="67013C24" w14:textId="77777777" w:rsidR="008312D6" w:rsidRDefault="008312D6" w:rsidP="008312D6">
      <w:pPr>
        <w:pStyle w:val="Heading3"/>
      </w:pPr>
      <w:bookmarkStart w:id="432" w:name="_Toc89723041"/>
      <w:bookmarkStart w:id="433" w:name="_Toc90325984"/>
      <w:bookmarkStart w:id="434" w:name="_Toc93659390"/>
      <w:r>
        <w:t>Measuring greenhouse gas emissions</w:t>
      </w:r>
      <w:bookmarkEnd w:id="432"/>
      <w:bookmarkEnd w:id="433"/>
      <w:bookmarkEnd w:id="434"/>
    </w:p>
    <w:p w14:paraId="6E72A6A0" w14:textId="5B6DB5BE" w:rsidR="008312D6" w:rsidRDefault="008312D6" w:rsidP="008312D6">
      <w:pPr>
        <w:pStyle w:val="BodyText"/>
        <w:rPr>
          <w:lang w:eastAsia="en-US"/>
        </w:rPr>
      </w:pPr>
      <w:r>
        <w:rPr>
          <w:lang w:eastAsia="en-US"/>
        </w:rPr>
        <w:t>There are range of uncertainties in determining greenhouse gas emissions. To improve our emissions reporting, and also to identify opportunities for reducing emissions across our treatment plants, we have been performing site-specific assessments of our emissions. In 2020-21 we:</w:t>
      </w:r>
    </w:p>
    <w:p w14:paraId="18AF6453" w14:textId="6F0B6246" w:rsidR="008312D6" w:rsidRDefault="008312D6" w:rsidP="00C778D6">
      <w:pPr>
        <w:pStyle w:val="ListBullet"/>
        <w:rPr>
          <w:lang w:eastAsia="en-US"/>
        </w:rPr>
      </w:pPr>
      <w:r>
        <w:rPr>
          <w:lang w:eastAsia="en-US"/>
        </w:rPr>
        <w:t>commenced a research project with the University of Western Australia that will inform our understanding and modelling of greenhouse gas emissions from the lagoons at our Western Treatment Plant (WTP)</w:t>
      </w:r>
    </w:p>
    <w:p w14:paraId="67BB0224" w14:textId="3248EEE2" w:rsidR="008312D6" w:rsidRDefault="008312D6" w:rsidP="00C778D6">
      <w:pPr>
        <w:pStyle w:val="ListBullet"/>
        <w:rPr>
          <w:lang w:eastAsia="en-US"/>
        </w:rPr>
      </w:pPr>
      <w:r>
        <w:rPr>
          <w:lang w:eastAsia="en-US"/>
        </w:rPr>
        <w:t>commenced a project partnering with the University of Melbourne to measure greenhouse gas emissions from the solids drying process at the Eastern Treatment Plant (ETP). The findings will be used to improve the accuracy of emissions reporting and support future business cases for emission reduction from this area</w:t>
      </w:r>
    </w:p>
    <w:p w14:paraId="606FAD28" w14:textId="0C9994DA" w:rsidR="008312D6" w:rsidRDefault="008312D6" w:rsidP="00C778D6">
      <w:pPr>
        <w:pStyle w:val="ListBullet"/>
        <w:rPr>
          <w:lang w:eastAsia="en-US"/>
        </w:rPr>
      </w:pPr>
      <w:r>
        <w:rPr>
          <w:lang w:eastAsia="en-US"/>
        </w:rPr>
        <w:t xml:space="preserve">commenced a project partnering with the University of Queensland to measure nitrous oxide (a powerful greenhouse gas) emissions from the </w:t>
      </w:r>
      <w:r w:rsidR="0030196D">
        <w:rPr>
          <w:lang w:eastAsia="en-US"/>
        </w:rPr>
        <w:t>Western Treatment Plant</w:t>
      </w:r>
      <w:r>
        <w:rPr>
          <w:lang w:eastAsia="en-US"/>
        </w:rPr>
        <w:t>'s nitrogen reduction treatment process. This work will help identify operational strategies to reduce these emissions.</w:t>
      </w:r>
    </w:p>
    <w:p w14:paraId="08D3B462" w14:textId="77777777" w:rsidR="008312D6" w:rsidRDefault="008312D6" w:rsidP="008312D6">
      <w:pPr>
        <w:pStyle w:val="Heading3"/>
      </w:pPr>
      <w:bookmarkStart w:id="435" w:name="_Toc89723042"/>
      <w:bookmarkStart w:id="436" w:name="_Toc90325985"/>
      <w:bookmarkStart w:id="437" w:name="_Toc93659391"/>
      <w:r>
        <w:t>Our emission reduction performance</w:t>
      </w:r>
      <w:bookmarkEnd w:id="435"/>
      <w:bookmarkEnd w:id="436"/>
      <w:bookmarkEnd w:id="437"/>
    </w:p>
    <w:p w14:paraId="2F108704" w14:textId="25075426" w:rsidR="008312D6" w:rsidRDefault="00AA45BE" w:rsidP="008312D6">
      <w:pPr>
        <w:pStyle w:val="BodyText"/>
        <w:rPr>
          <w:lang w:eastAsia="en-US"/>
        </w:rPr>
      </w:pPr>
      <w:r>
        <w:rPr>
          <w:lang w:eastAsia="en-US"/>
        </w:rPr>
        <w:fldChar w:fldCharType="begin"/>
      </w:r>
      <w:r>
        <w:rPr>
          <w:lang w:eastAsia="en-US"/>
        </w:rPr>
        <w:instrText xml:space="preserve"> REF _Ref89644545 \h </w:instrText>
      </w:r>
      <w:r>
        <w:rPr>
          <w:lang w:eastAsia="en-US"/>
        </w:rPr>
      </w:r>
      <w:r>
        <w:rPr>
          <w:lang w:eastAsia="en-US"/>
        </w:rPr>
        <w:fldChar w:fldCharType="separate"/>
      </w:r>
      <w:r w:rsidR="00472151">
        <w:rPr>
          <w:lang w:eastAsia="en-US"/>
        </w:rPr>
        <w:t xml:space="preserve">Figure </w:t>
      </w:r>
      <w:r w:rsidR="00472151">
        <w:rPr>
          <w:noProof/>
          <w:lang w:eastAsia="en-US"/>
        </w:rPr>
        <w:t>1</w:t>
      </w:r>
      <w:r>
        <w:rPr>
          <w:lang w:eastAsia="en-US"/>
        </w:rPr>
        <w:fldChar w:fldCharType="end"/>
      </w:r>
      <w:r w:rsidR="008312D6">
        <w:rPr>
          <w:lang w:eastAsia="en-US"/>
        </w:rPr>
        <w:t xml:space="preserve"> shows Melbourne Water’s planned path to achieving our carbon pledge. There are significant uncertainties in predicting our future performance, due to factors such as population growth, wastewater treatment plant operation (including maintenance activities), predicted timing of wastewater treatment plant upgrades, climatic conditions, water use per customer and rainfall. With this in mind, we acknowledge that, as well as delivering efficiencies in our sewerage treatment processes and increasing the production of renewable energy, Melbourne Water will be relying on carbon offsets and Renewable Energy Certificates (RECs) to achieve our target. The cost of these was included in the 2021 Price Submission.</w:t>
      </w:r>
    </w:p>
    <w:p w14:paraId="7ECF489D" w14:textId="72A0EA1A" w:rsidR="008312D6" w:rsidRDefault="008312D6" w:rsidP="008312D6">
      <w:pPr>
        <w:pStyle w:val="BodyText"/>
        <w:rPr>
          <w:lang w:eastAsia="en-US"/>
        </w:rPr>
      </w:pPr>
      <w:r>
        <w:rPr>
          <w:lang w:eastAsia="en-US"/>
        </w:rPr>
        <w:t xml:space="preserve">A break-down of our greenhouse gas emissions for 2020-21 across our services is provided in </w:t>
      </w:r>
      <w:r w:rsidR="0010793A">
        <w:rPr>
          <w:lang w:eastAsia="en-US"/>
        </w:rPr>
        <w:fldChar w:fldCharType="begin"/>
      </w:r>
      <w:r w:rsidR="0010793A">
        <w:rPr>
          <w:lang w:eastAsia="en-US"/>
        </w:rPr>
        <w:instrText xml:space="preserve"> REF _Ref89644276 \h </w:instrText>
      </w:r>
      <w:r w:rsidR="0010793A">
        <w:rPr>
          <w:lang w:eastAsia="en-US"/>
        </w:rPr>
      </w:r>
      <w:r w:rsidR="0010793A">
        <w:rPr>
          <w:lang w:eastAsia="en-US"/>
        </w:rPr>
        <w:fldChar w:fldCharType="separate"/>
      </w:r>
      <w:r w:rsidR="00472151" w:rsidRPr="008312D6">
        <w:rPr>
          <w:lang w:eastAsia="en-US"/>
        </w:rPr>
        <w:t xml:space="preserve">Table </w:t>
      </w:r>
      <w:r w:rsidR="00472151">
        <w:rPr>
          <w:noProof/>
          <w:lang w:eastAsia="en-US"/>
        </w:rPr>
        <w:t>5</w:t>
      </w:r>
      <w:r w:rsidR="0010793A">
        <w:rPr>
          <w:lang w:eastAsia="en-US"/>
        </w:rPr>
        <w:fldChar w:fldCharType="end"/>
      </w:r>
      <w:r>
        <w:rPr>
          <w:lang w:eastAsia="en-US"/>
        </w:rPr>
        <w:t xml:space="preserve"> which shows that the biggest source of emissions within Melbourne Water is associated with sewage treatment and management, producing around 85 per cent of our total emissions, in comparison to the water supply system which uses less energy and has low direct emissions. As mentioned earlier, there are many factors that must be considered in estimating our future greenhouse gas emissions and the variance of 8.3 per cent against our forecast emissions is demonstrative of the significance of the influence of these factors. We are confident that we are still on track to meet our Carbon Pledge through onsite renewable energy generation, procurement of renewable energy and market-based instruments (offsets).</w:t>
      </w:r>
    </w:p>
    <w:p w14:paraId="40D8F01E" w14:textId="2A07464A" w:rsidR="008312D6" w:rsidRDefault="008312D6" w:rsidP="008312D6">
      <w:pPr>
        <w:pStyle w:val="BodyText"/>
        <w:rPr>
          <w:lang w:eastAsia="en-US"/>
        </w:rPr>
      </w:pPr>
      <w:r>
        <w:rPr>
          <w:lang w:eastAsia="en-US"/>
        </w:rPr>
        <w:lastRenderedPageBreak/>
        <w:t>In 2020-21 we progressed our emissions reduction commitments by:</w:t>
      </w:r>
    </w:p>
    <w:p w14:paraId="343869BD" w14:textId="0DF92566" w:rsidR="008312D6" w:rsidRDefault="008312D6" w:rsidP="00C778D6">
      <w:pPr>
        <w:pStyle w:val="ListBullet"/>
        <w:rPr>
          <w:lang w:eastAsia="en-US"/>
        </w:rPr>
      </w:pPr>
      <w:r>
        <w:rPr>
          <w:lang w:eastAsia="en-US"/>
        </w:rPr>
        <w:t>working with the wider Victorian water sector to develop a framework for future sourcing of carbon offsets. Along with many other Victorian water authorities, Melbourne Water will need to use carbon offsets alongside renewable energy and other investments to reach our emissions targets. The framework will guide carbon offset investments to help meet our carbon pledge with credible and trusted offsets that meet best practice standards and the expectations and preferences of our customers and the community</w:t>
      </w:r>
    </w:p>
    <w:p w14:paraId="29F4ED23" w14:textId="055F7DA4" w:rsidR="008312D6" w:rsidRDefault="008312D6" w:rsidP="00C778D6">
      <w:pPr>
        <w:pStyle w:val="ListBullet"/>
        <w:rPr>
          <w:lang w:eastAsia="en-US"/>
        </w:rPr>
      </w:pPr>
      <w:r>
        <w:rPr>
          <w:lang w:eastAsia="en-US"/>
        </w:rPr>
        <w:t>progressing planning for a pilot carbon forest in the Port Phillip and Westernport regions in partnership with the Catchment Management Authority, Greater Western Water and Yarra Valley Water, and exploring where we could plant carbon forests on un-vegetated Melbourne Water land</w:t>
      </w:r>
    </w:p>
    <w:p w14:paraId="389A5A58" w14:textId="77777777" w:rsidR="008312D6" w:rsidRDefault="008312D6" w:rsidP="00C778D6">
      <w:pPr>
        <w:pStyle w:val="ListBullet"/>
        <w:rPr>
          <w:lang w:eastAsia="en-US"/>
        </w:rPr>
      </w:pPr>
      <w:r>
        <w:rPr>
          <w:lang w:eastAsia="en-US"/>
        </w:rPr>
        <w:t>progressing our transition to a zero emissions vehicle fleet within 10 years. This year we replaced 13 of our vehicles with electric vehicles and added 23 new charging sites across seven of our sites to service our fleet</w:t>
      </w:r>
    </w:p>
    <w:p w14:paraId="10F0FE3F" w14:textId="5180E9BE" w:rsidR="008312D6" w:rsidRDefault="008312D6" w:rsidP="00C778D6">
      <w:pPr>
        <w:pStyle w:val="ListBullet"/>
        <w:rPr>
          <w:lang w:eastAsia="en-US"/>
        </w:rPr>
      </w:pPr>
      <w:r>
        <w:rPr>
          <w:lang w:eastAsia="en-US"/>
        </w:rPr>
        <w:t xml:space="preserve">a renewable energy program (see Renewable energy, page </w:t>
      </w:r>
      <w:r w:rsidR="003C069D">
        <w:rPr>
          <w:lang w:eastAsia="en-US"/>
        </w:rPr>
        <w:fldChar w:fldCharType="begin"/>
      </w:r>
      <w:r w:rsidR="003C069D">
        <w:rPr>
          <w:lang w:eastAsia="en-US"/>
        </w:rPr>
        <w:instrText xml:space="preserve"> PAGEREF RenewableEnergy \h </w:instrText>
      </w:r>
      <w:r w:rsidR="003C069D">
        <w:rPr>
          <w:lang w:eastAsia="en-US"/>
        </w:rPr>
      </w:r>
      <w:r w:rsidR="003C069D">
        <w:rPr>
          <w:lang w:eastAsia="en-US"/>
        </w:rPr>
        <w:fldChar w:fldCharType="separate"/>
      </w:r>
      <w:r w:rsidR="00472151">
        <w:rPr>
          <w:noProof/>
          <w:lang w:eastAsia="en-US"/>
        </w:rPr>
        <w:t>61</w:t>
      </w:r>
      <w:r w:rsidR="003C069D">
        <w:rPr>
          <w:lang w:eastAsia="en-US"/>
        </w:rPr>
        <w:fldChar w:fldCharType="end"/>
      </w:r>
      <w:r>
        <w:rPr>
          <w:lang w:eastAsia="en-US"/>
        </w:rPr>
        <w:t>).</w:t>
      </w:r>
    </w:p>
    <w:p w14:paraId="58BA52B9" w14:textId="5C691529" w:rsidR="00A104F7" w:rsidRDefault="008312D6" w:rsidP="003274C1">
      <w:pPr>
        <w:pStyle w:val="Caption"/>
        <w:ind w:left="765" w:hanging="765"/>
        <w:rPr>
          <w:lang w:eastAsia="en-US"/>
        </w:rPr>
      </w:pPr>
      <w:bookmarkStart w:id="438" w:name="_Ref89644545"/>
      <w:r>
        <w:rPr>
          <w:lang w:eastAsia="en-US"/>
        </w:rPr>
        <w:t xml:space="preserve">Figure </w:t>
      </w:r>
      <w:r>
        <w:rPr>
          <w:lang w:eastAsia="en-US"/>
        </w:rPr>
        <w:fldChar w:fldCharType="begin"/>
      </w:r>
      <w:r>
        <w:rPr>
          <w:lang w:eastAsia="en-US"/>
        </w:rPr>
        <w:instrText xml:space="preserve"> SEQ Figure \* ARABIC </w:instrText>
      </w:r>
      <w:r>
        <w:rPr>
          <w:lang w:eastAsia="en-US"/>
        </w:rPr>
        <w:fldChar w:fldCharType="separate"/>
      </w:r>
      <w:r w:rsidR="00472151">
        <w:rPr>
          <w:noProof/>
          <w:lang w:eastAsia="en-US"/>
        </w:rPr>
        <w:t>1</w:t>
      </w:r>
      <w:r>
        <w:rPr>
          <w:lang w:eastAsia="en-US"/>
        </w:rPr>
        <w:fldChar w:fldCharType="end"/>
      </w:r>
      <w:bookmarkEnd w:id="438"/>
      <w:r>
        <w:rPr>
          <w:lang w:eastAsia="en-US"/>
        </w:rPr>
        <w:t>: Melbourne Water's path to achieving 50% reduction in CO2-e by 2024-2025, as required as part of the Statement of Obligations</w:t>
      </w:r>
    </w:p>
    <w:p w14:paraId="753F35C1" w14:textId="7E0FD540" w:rsidR="00286036" w:rsidRPr="009E385C" w:rsidRDefault="003252DF" w:rsidP="009E385C">
      <w:r>
        <w:rPr>
          <w:noProof/>
        </w:rPr>
        <w:drawing>
          <wp:inline distT="0" distB="0" distL="0" distR="0" wp14:anchorId="4074E9C4" wp14:editId="70070FD7">
            <wp:extent cx="5925600" cy="2350800"/>
            <wp:effectExtent l="0" t="0" r="0" b="0"/>
            <wp:docPr id="15" name="Picture 15" descr="Chart showing Melbourne Water's path to achieving 50% reduction in CO2-e by 2024/25, as required as part of the Statement of Obligations.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howing Melbourne Water's path to achieving 50% reduction in CO2-e by 2024/25, as required as part of the Statement of Obligations. Refer data table below."/>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25600" cy="2350800"/>
                    </a:xfrm>
                    <a:prstGeom prst="rect">
                      <a:avLst/>
                    </a:prstGeom>
                  </pic:spPr>
                </pic:pic>
              </a:graphicData>
            </a:graphic>
          </wp:inline>
        </w:drawing>
      </w:r>
    </w:p>
    <w:tbl>
      <w:tblPr>
        <w:tblStyle w:val="TableGrid"/>
        <w:tblW w:w="0" w:type="auto"/>
        <w:tblLook w:val="04A0" w:firstRow="1" w:lastRow="0" w:firstColumn="1" w:lastColumn="0" w:noHBand="0" w:noVBand="1"/>
      </w:tblPr>
      <w:tblGrid>
        <w:gridCol w:w="3119"/>
        <w:gridCol w:w="2835"/>
        <w:gridCol w:w="3677"/>
      </w:tblGrid>
      <w:tr w:rsidR="00766D2E" w:rsidRPr="007B182F" w14:paraId="63252B5B" w14:textId="77777777" w:rsidTr="001B0295">
        <w:trPr>
          <w:cnfStyle w:val="100000000000" w:firstRow="1" w:lastRow="0" w:firstColumn="0" w:lastColumn="0" w:oddVBand="0" w:evenVBand="0" w:oddHBand="0" w:evenHBand="0" w:firstRowFirstColumn="0" w:firstRowLastColumn="0" w:lastRowFirstColumn="0" w:lastRowLastColumn="0"/>
        </w:trPr>
        <w:tc>
          <w:tcPr>
            <w:tcW w:w="3119" w:type="dxa"/>
            <w:vAlign w:val="bottom"/>
          </w:tcPr>
          <w:p w14:paraId="0E878AF0" w14:textId="444EDB5E" w:rsidR="00766D2E" w:rsidRPr="007B182F" w:rsidRDefault="00E815E0" w:rsidP="001B0295">
            <w:pPr>
              <w:pStyle w:val="TableBodyText"/>
              <w:rPr>
                <w:lang w:eastAsia="en-US"/>
              </w:rPr>
            </w:pPr>
            <w:bookmarkStart w:id="439" w:name="ColumnTitle_16"/>
            <w:r w:rsidRPr="007B182F">
              <w:rPr>
                <w:lang w:eastAsia="en-US"/>
              </w:rPr>
              <w:t>Period</w:t>
            </w:r>
          </w:p>
        </w:tc>
        <w:tc>
          <w:tcPr>
            <w:tcW w:w="2835" w:type="dxa"/>
            <w:vAlign w:val="bottom"/>
          </w:tcPr>
          <w:p w14:paraId="16B82740" w14:textId="77777777" w:rsidR="00766D2E" w:rsidRPr="007B182F" w:rsidRDefault="00E815E0" w:rsidP="001B0295">
            <w:pPr>
              <w:pStyle w:val="TableBodyText"/>
              <w:rPr>
                <w:b w:val="0"/>
                <w:lang w:eastAsia="en-US"/>
              </w:rPr>
            </w:pPr>
            <w:r w:rsidRPr="007B182F">
              <w:rPr>
                <w:lang w:eastAsia="en-US"/>
              </w:rPr>
              <w:t>Net Greenhouse Gas Emissions (t CO2-e)</w:t>
            </w:r>
          </w:p>
          <w:p w14:paraId="00E9DB0E" w14:textId="21CCD95E" w:rsidR="00E815E0" w:rsidRPr="007B182F" w:rsidRDefault="00E815E0" w:rsidP="001B0295">
            <w:pPr>
              <w:pStyle w:val="TableBodyText"/>
              <w:rPr>
                <w:lang w:eastAsia="en-US"/>
              </w:rPr>
            </w:pPr>
            <w:r w:rsidRPr="007B182F">
              <w:rPr>
                <w:lang w:eastAsia="en-US"/>
              </w:rPr>
              <w:t>Reported</w:t>
            </w:r>
          </w:p>
        </w:tc>
        <w:tc>
          <w:tcPr>
            <w:tcW w:w="3677" w:type="dxa"/>
            <w:vAlign w:val="bottom"/>
          </w:tcPr>
          <w:p w14:paraId="5B54C0D6" w14:textId="77777777" w:rsidR="00CB6936" w:rsidRPr="007B182F" w:rsidRDefault="00CB6936" w:rsidP="001B0295">
            <w:pPr>
              <w:pStyle w:val="TableBodyText"/>
              <w:rPr>
                <w:b w:val="0"/>
                <w:lang w:eastAsia="en-US"/>
              </w:rPr>
            </w:pPr>
            <w:r w:rsidRPr="007B182F">
              <w:rPr>
                <w:lang w:eastAsia="en-US"/>
              </w:rPr>
              <w:t>Net Greenhouse Gas Emissions (t CO2-e)</w:t>
            </w:r>
          </w:p>
          <w:p w14:paraId="26854E9A" w14:textId="6A87159B" w:rsidR="00766D2E" w:rsidRPr="007B182F" w:rsidRDefault="00E815E0" w:rsidP="001B0295">
            <w:pPr>
              <w:pStyle w:val="TableBodyText"/>
              <w:rPr>
                <w:lang w:eastAsia="en-US"/>
              </w:rPr>
            </w:pPr>
            <w:r w:rsidRPr="007B182F">
              <w:rPr>
                <w:lang w:eastAsia="en-US"/>
              </w:rPr>
              <w:t>Forecast (Melbourne Water Corporate Plan 2020/21 to 2024/25)</w:t>
            </w:r>
          </w:p>
        </w:tc>
      </w:tr>
      <w:bookmarkEnd w:id="439"/>
      <w:tr w:rsidR="00766D2E" w:rsidRPr="007B182F" w14:paraId="57F324AE" w14:textId="77777777" w:rsidTr="001B0295">
        <w:tc>
          <w:tcPr>
            <w:tcW w:w="3119" w:type="dxa"/>
          </w:tcPr>
          <w:p w14:paraId="23FD3D5B" w14:textId="11FCF825" w:rsidR="00766D2E" w:rsidRPr="007B182F" w:rsidRDefault="009D0CF7" w:rsidP="00766D2E">
            <w:pPr>
              <w:pStyle w:val="TableBodyText"/>
              <w:rPr>
                <w:lang w:eastAsia="en-US"/>
              </w:rPr>
            </w:pPr>
            <w:r w:rsidRPr="007B182F">
              <w:rPr>
                <w:lang w:eastAsia="en-US"/>
              </w:rPr>
              <w:t>2011-2016 baseline</w:t>
            </w:r>
          </w:p>
        </w:tc>
        <w:tc>
          <w:tcPr>
            <w:tcW w:w="2835" w:type="dxa"/>
          </w:tcPr>
          <w:p w14:paraId="45278E72" w14:textId="42B60132" w:rsidR="00766D2E" w:rsidRPr="007B182F" w:rsidRDefault="00CB6936" w:rsidP="00766D2E">
            <w:pPr>
              <w:pStyle w:val="TableBodyText"/>
              <w:rPr>
                <w:lang w:eastAsia="en-US"/>
              </w:rPr>
            </w:pPr>
            <w:r w:rsidRPr="007B182F">
              <w:rPr>
                <w:lang w:eastAsia="en-US"/>
              </w:rPr>
              <w:t>408,760</w:t>
            </w:r>
          </w:p>
        </w:tc>
        <w:tc>
          <w:tcPr>
            <w:tcW w:w="3677" w:type="dxa"/>
          </w:tcPr>
          <w:p w14:paraId="199082B5" w14:textId="45835B11" w:rsidR="00766D2E" w:rsidRPr="007B182F" w:rsidRDefault="00CB6936" w:rsidP="00766D2E">
            <w:pPr>
              <w:pStyle w:val="TableBodyText"/>
              <w:rPr>
                <w:lang w:eastAsia="en-US"/>
              </w:rPr>
            </w:pPr>
            <w:r w:rsidRPr="007B182F">
              <w:rPr>
                <w:lang w:eastAsia="en-US"/>
              </w:rPr>
              <w:t>N/A</w:t>
            </w:r>
          </w:p>
        </w:tc>
      </w:tr>
      <w:tr w:rsidR="00766D2E" w:rsidRPr="007B182F" w14:paraId="1F9C2B5D" w14:textId="77777777" w:rsidTr="001B0295">
        <w:tc>
          <w:tcPr>
            <w:tcW w:w="3119" w:type="dxa"/>
          </w:tcPr>
          <w:p w14:paraId="25D319A1" w14:textId="588FAEAA" w:rsidR="00766D2E" w:rsidRPr="007B182F" w:rsidRDefault="009D0CF7" w:rsidP="00766D2E">
            <w:pPr>
              <w:pStyle w:val="TableBodyText"/>
              <w:rPr>
                <w:lang w:eastAsia="en-US"/>
              </w:rPr>
            </w:pPr>
            <w:r w:rsidRPr="007B182F">
              <w:rPr>
                <w:lang w:eastAsia="en-US"/>
              </w:rPr>
              <w:t>2016-17</w:t>
            </w:r>
          </w:p>
        </w:tc>
        <w:tc>
          <w:tcPr>
            <w:tcW w:w="2835" w:type="dxa"/>
          </w:tcPr>
          <w:p w14:paraId="2E8AF6FA" w14:textId="1FEAB07B" w:rsidR="00766D2E" w:rsidRPr="007B182F" w:rsidRDefault="00CB6936" w:rsidP="00766D2E">
            <w:pPr>
              <w:pStyle w:val="TableBodyText"/>
              <w:rPr>
                <w:lang w:eastAsia="en-US"/>
              </w:rPr>
            </w:pPr>
            <w:r w:rsidRPr="007B182F">
              <w:rPr>
                <w:lang w:eastAsia="en-US"/>
              </w:rPr>
              <w:t>440,138</w:t>
            </w:r>
          </w:p>
        </w:tc>
        <w:tc>
          <w:tcPr>
            <w:tcW w:w="3677" w:type="dxa"/>
          </w:tcPr>
          <w:p w14:paraId="2431A538" w14:textId="5693CC1B" w:rsidR="00766D2E" w:rsidRPr="007B182F" w:rsidRDefault="00CB6936" w:rsidP="00766D2E">
            <w:pPr>
              <w:pStyle w:val="TableBodyText"/>
              <w:rPr>
                <w:lang w:eastAsia="en-US"/>
              </w:rPr>
            </w:pPr>
            <w:r w:rsidRPr="007B182F">
              <w:rPr>
                <w:lang w:eastAsia="en-US"/>
              </w:rPr>
              <w:t>N/A</w:t>
            </w:r>
          </w:p>
        </w:tc>
      </w:tr>
      <w:tr w:rsidR="009D0CF7" w:rsidRPr="007B182F" w14:paraId="4694B973" w14:textId="77777777" w:rsidTr="001B0295">
        <w:tc>
          <w:tcPr>
            <w:tcW w:w="3119" w:type="dxa"/>
          </w:tcPr>
          <w:p w14:paraId="2293A6E9" w14:textId="63F99F23" w:rsidR="009D0CF7" w:rsidRPr="007B182F" w:rsidRDefault="009D0CF7" w:rsidP="00766D2E">
            <w:pPr>
              <w:pStyle w:val="TableBodyText"/>
              <w:rPr>
                <w:lang w:eastAsia="en-US"/>
              </w:rPr>
            </w:pPr>
            <w:r w:rsidRPr="007B182F">
              <w:rPr>
                <w:lang w:eastAsia="en-US"/>
              </w:rPr>
              <w:t>2017-18</w:t>
            </w:r>
          </w:p>
        </w:tc>
        <w:tc>
          <w:tcPr>
            <w:tcW w:w="2835" w:type="dxa"/>
          </w:tcPr>
          <w:p w14:paraId="1576ECA6" w14:textId="4E679861" w:rsidR="009D0CF7" w:rsidRPr="007B182F" w:rsidRDefault="00CB6936" w:rsidP="00766D2E">
            <w:pPr>
              <w:pStyle w:val="TableBodyText"/>
              <w:rPr>
                <w:lang w:eastAsia="en-US"/>
              </w:rPr>
            </w:pPr>
            <w:r w:rsidRPr="007B182F">
              <w:rPr>
                <w:lang w:eastAsia="en-US"/>
              </w:rPr>
              <w:t>455,641</w:t>
            </w:r>
          </w:p>
        </w:tc>
        <w:tc>
          <w:tcPr>
            <w:tcW w:w="3677" w:type="dxa"/>
          </w:tcPr>
          <w:p w14:paraId="0E615208" w14:textId="17B77E3C" w:rsidR="009D0CF7" w:rsidRPr="007B182F" w:rsidRDefault="00CB6936" w:rsidP="00766D2E">
            <w:pPr>
              <w:pStyle w:val="TableBodyText"/>
              <w:rPr>
                <w:lang w:eastAsia="en-US"/>
              </w:rPr>
            </w:pPr>
            <w:r w:rsidRPr="007B182F">
              <w:rPr>
                <w:lang w:eastAsia="en-US"/>
              </w:rPr>
              <w:t>N/A</w:t>
            </w:r>
          </w:p>
        </w:tc>
      </w:tr>
      <w:tr w:rsidR="009D0CF7" w:rsidRPr="007B182F" w14:paraId="7279BAC6" w14:textId="77777777" w:rsidTr="001B0295">
        <w:tc>
          <w:tcPr>
            <w:tcW w:w="3119" w:type="dxa"/>
          </w:tcPr>
          <w:p w14:paraId="05EA06C7" w14:textId="70225C01" w:rsidR="009D0CF7" w:rsidRPr="007B182F" w:rsidRDefault="009D0CF7" w:rsidP="00766D2E">
            <w:pPr>
              <w:pStyle w:val="TableBodyText"/>
              <w:rPr>
                <w:lang w:eastAsia="en-US"/>
              </w:rPr>
            </w:pPr>
            <w:r w:rsidRPr="007B182F">
              <w:rPr>
                <w:lang w:eastAsia="en-US"/>
              </w:rPr>
              <w:t>2018-19</w:t>
            </w:r>
          </w:p>
        </w:tc>
        <w:tc>
          <w:tcPr>
            <w:tcW w:w="2835" w:type="dxa"/>
          </w:tcPr>
          <w:p w14:paraId="7E12C200" w14:textId="72FE844F" w:rsidR="009D0CF7" w:rsidRPr="007B182F" w:rsidRDefault="00CB6936" w:rsidP="00766D2E">
            <w:pPr>
              <w:pStyle w:val="TableBodyText"/>
              <w:rPr>
                <w:lang w:eastAsia="en-US"/>
              </w:rPr>
            </w:pPr>
            <w:r w:rsidRPr="007B182F">
              <w:rPr>
                <w:lang w:eastAsia="en-US"/>
              </w:rPr>
              <w:t>431,456</w:t>
            </w:r>
          </w:p>
        </w:tc>
        <w:tc>
          <w:tcPr>
            <w:tcW w:w="3677" w:type="dxa"/>
          </w:tcPr>
          <w:p w14:paraId="30A985AB" w14:textId="3CC9063C" w:rsidR="009D0CF7" w:rsidRPr="007B182F" w:rsidRDefault="00CB6936" w:rsidP="00766D2E">
            <w:pPr>
              <w:pStyle w:val="TableBodyText"/>
              <w:rPr>
                <w:lang w:eastAsia="en-US"/>
              </w:rPr>
            </w:pPr>
            <w:r w:rsidRPr="007B182F">
              <w:rPr>
                <w:lang w:eastAsia="en-US"/>
              </w:rPr>
              <w:t>N/A</w:t>
            </w:r>
          </w:p>
        </w:tc>
      </w:tr>
      <w:tr w:rsidR="009D0CF7" w:rsidRPr="007B182F" w14:paraId="03405831" w14:textId="77777777" w:rsidTr="001B0295">
        <w:tc>
          <w:tcPr>
            <w:tcW w:w="3119" w:type="dxa"/>
          </w:tcPr>
          <w:p w14:paraId="7D28F191" w14:textId="1B2EAC52" w:rsidR="009D0CF7" w:rsidRPr="007B182F" w:rsidRDefault="009D0CF7" w:rsidP="00766D2E">
            <w:pPr>
              <w:pStyle w:val="TableBodyText"/>
              <w:rPr>
                <w:lang w:eastAsia="en-US"/>
              </w:rPr>
            </w:pPr>
            <w:r w:rsidRPr="007B182F">
              <w:rPr>
                <w:lang w:eastAsia="en-US"/>
              </w:rPr>
              <w:t>2019-20</w:t>
            </w:r>
          </w:p>
        </w:tc>
        <w:tc>
          <w:tcPr>
            <w:tcW w:w="2835" w:type="dxa"/>
          </w:tcPr>
          <w:p w14:paraId="26C83154" w14:textId="54690F80" w:rsidR="009D0CF7" w:rsidRPr="007B182F" w:rsidRDefault="00CB6936" w:rsidP="00766D2E">
            <w:pPr>
              <w:pStyle w:val="TableBodyText"/>
              <w:rPr>
                <w:lang w:eastAsia="en-US"/>
              </w:rPr>
            </w:pPr>
            <w:r w:rsidRPr="007B182F">
              <w:rPr>
                <w:lang w:eastAsia="en-US"/>
              </w:rPr>
              <w:t>513,696</w:t>
            </w:r>
          </w:p>
        </w:tc>
        <w:tc>
          <w:tcPr>
            <w:tcW w:w="3677" w:type="dxa"/>
          </w:tcPr>
          <w:p w14:paraId="69191B7C" w14:textId="1C782255" w:rsidR="009D0CF7" w:rsidRPr="007B182F" w:rsidRDefault="00CB6936" w:rsidP="00766D2E">
            <w:pPr>
              <w:pStyle w:val="TableBodyText"/>
              <w:rPr>
                <w:lang w:eastAsia="en-US"/>
              </w:rPr>
            </w:pPr>
            <w:r w:rsidRPr="007B182F">
              <w:rPr>
                <w:lang w:eastAsia="en-US"/>
              </w:rPr>
              <w:t>N/A</w:t>
            </w:r>
          </w:p>
        </w:tc>
      </w:tr>
      <w:tr w:rsidR="009D0CF7" w:rsidRPr="007B182F" w14:paraId="54D73D8A" w14:textId="77777777" w:rsidTr="001B0295">
        <w:tc>
          <w:tcPr>
            <w:tcW w:w="3119" w:type="dxa"/>
          </w:tcPr>
          <w:p w14:paraId="441DE0DC" w14:textId="425BAB3A" w:rsidR="009D0CF7" w:rsidRPr="007B182F" w:rsidRDefault="009D0CF7" w:rsidP="00766D2E">
            <w:pPr>
              <w:pStyle w:val="TableBodyText"/>
              <w:rPr>
                <w:lang w:eastAsia="en-US"/>
              </w:rPr>
            </w:pPr>
            <w:r w:rsidRPr="007B182F">
              <w:rPr>
                <w:lang w:eastAsia="en-US"/>
              </w:rPr>
              <w:t>2020-21</w:t>
            </w:r>
          </w:p>
        </w:tc>
        <w:tc>
          <w:tcPr>
            <w:tcW w:w="2835" w:type="dxa"/>
          </w:tcPr>
          <w:p w14:paraId="4948320F" w14:textId="6E2C4F2B" w:rsidR="009D0CF7" w:rsidRPr="007B182F" w:rsidRDefault="00CB6936" w:rsidP="00766D2E">
            <w:pPr>
              <w:pStyle w:val="TableBodyText"/>
              <w:rPr>
                <w:lang w:eastAsia="en-US"/>
              </w:rPr>
            </w:pPr>
            <w:r w:rsidRPr="007B182F">
              <w:rPr>
                <w:lang w:eastAsia="en-US"/>
              </w:rPr>
              <w:t>467,786</w:t>
            </w:r>
          </w:p>
        </w:tc>
        <w:tc>
          <w:tcPr>
            <w:tcW w:w="3677" w:type="dxa"/>
          </w:tcPr>
          <w:p w14:paraId="71B556FE" w14:textId="459B8990" w:rsidR="009D0CF7" w:rsidRPr="007B182F" w:rsidRDefault="00CB6936" w:rsidP="00766D2E">
            <w:pPr>
              <w:pStyle w:val="TableBodyText"/>
              <w:rPr>
                <w:lang w:eastAsia="en-US"/>
              </w:rPr>
            </w:pPr>
            <w:r w:rsidRPr="007B182F">
              <w:rPr>
                <w:lang w:eastAsia="en-US"/>
              </w:rPr>
              <w:t>430,000</w:t>
            </w:r>
          </w:p>
        </w:tc>
      </w:tr>
      <w:tr w:rsidR="009D0CF7" w:rsidRPr="007B182F" w14:paraId="3EEB5501" w14:textId="77777777" w:rsidTr="001B0295">
        <w:tc>
          <w:tcPr>
            <w:tcW w:w="3119" w:type="dxa"/>
          </w:tcPr>
          <w:p w14:paraId="75EE7CDB" w14:textId="1BDE0CC7" w:rsidR="009D0CF7" w:rsidRPr="007B182F" w:rsidRDefault="009D0CF7" w:rsidP="00766D2E">
            <w:pPr>
              <w:pStyle w:val="TableBodyText"/>
              <w:rPr>
                <w:lang w:eastAsia="en-US"/>
              </w:rPr>
            </w:pPr>
            <w:r w:rsidRPr="007B182F">
              <w:rPr>
                <w:lang w:eastAsia="en-US"/>
              </w:rPr>
              <w:t>2021-22</w:t>
            </w:r>
          </w:p>
        </w:tc>
        <w:tc>
          <w:tcPr>
            <w:tcW w:w="2835" w:type="dxa"/>
          </w:tcPr>
          <w:p w14:paraId="5938C436" w14:textId="0B961115" w:rsidR="009D0CF7" w:rsidRPr="007B182F" w:rsidRDefault="00CB6936" w:rsidP="00766D2E">
            <w:pPr>
              <w:pStyle w:val="TableBodyText"/>
              <w:rPr>
                <w:lang w:eastAsia="en-US"/>
              </w:rPr>
            </w:pPr>
            <w:r w:rsidRPr="007B182F">
              <w:rPr>
                <w:lang w:eastAsia="en-US"/>
              </w:rPr>
              <w:t>N/A</w:t>
            </w:r>
          </w:p>
        </w:tc>
        <w:tc>
          <w:tcPr>
            <w:tcW w:w="3677" w:type="dxa"/>
          </w:tcPr>
          <w:p w14:paraId="71CC1FC2" w14:textId="3A8E1B90" w:rsidR="009D0CF7" w:rsidRPr="007B182F" w:rsidRDefault="00CB6936" w:rsidP="00766D2E">
            <w:pPr>
              <w:pStyle w:val="TableBodyText"/>
              <w:rPr>
                <w:lang w:eastAsia="en-US"/>
              </w:rPr>
            </w:pPr>
            <w:r w:rsidRPr="007B182F">
              <w:rPr>
                <w:lang w:eastAsia="en-US"/>
              </w:rPr>
              <w:t>480,000</w:t>
            </w:r>
          </w:p>
        </w:tc>
      </w:tr>
      <w:tr w:rsidR="009D0CF7" w:rsidRPr="007B182F" w14:paraId="7FB7D329" w14:textId="77777777" w:rsidTr="001B0295">
        <w:tc>
          <w:tcPr>
            <w:tcW w:w="3119" w:type="dxa"/>
          </w:tcPr>
          <w:p w14:paraId="113C42BD" w14:textId="492EEA6C" w:rsidR="009D0CF7" w:rsidRPr="007B182F" w:rsidRDefault="009D0CF7" w:rsidP="00766D2E">
            <w:pPr>
              <w:pStyle w:val="TableBodyText"/>
              <w:rPr>
                <w:lang w:eastAsia="en-US"/>
              </w:rPr>
            </w:pPr>
            <w:r w:rsidRPr="007B182F">
              <w:rPr>
                <w:lang w:eastAsia="en-US"/>
              </w:rPr>
              <w:t>2022-23</w:t>
            </w:r>
          </w:p>
        </w:tc>
        <w:tc>
          <w:tcPr>
            <w:tcW w:w="2835" w:type="dxa"/>
          </w:tcPr>
          <w:p w14:paraId="4FD8F80B" w14:textId="6083A8D2" w:rsidR="009D0CF7" w:rsidRPr="007B182F" w:rsidRDefault="00CB6936" w:rsidP="00766D2E">
            <w:pPr>
              <w:pStyle w:val="TableBodyText"/>
              <w:rPr>
                <w:lang w:eastAsia="en-US"/>
              </w:rPr>
            </w:pPr>
            <w:r w:rsidRPr="007B182F">
              <w:rPr>
                <w:lang w:eastAsia="en-US"/>
              </w:rPr>
              <w:t>N/A</w:t>
            </w:r>
          </w:p>
        </w:tc>
        <w:tc>
          <w:tcPr>
            <w:tcW w:w="3677" w:type="dxa"/>
          </w:tcPr>
          <w:p w14:paraId="51B09E5A" w14:textId="1D7B8CD8" w:rsidR="009D0CF7" w:rsidRPr="007B182F" w:rsidRDefault="00CB6936" w:rsidP="00766D2E">
            <w:pPr>
              <w:pStyle w:val="TableBodyText"/>
              <w:rPr>
                <w:lang w:eastAsia="en-US"/>
              </w:rPr>
            </w:pPr>
            <w:r w:rsidRPr="007B182F">
              <w:rPr>
                <w:lang w:eastAsia="en-US"/>
              </w:rPr>
              <w:t>480,000</w:t>
            </w:r>
          </w:p>
        </w:tc>
      </w:tr>
      <w:tr w:rsidR="009D0CF7" w:rsidRPr="007B182F" w14:paraId="2E4351E0" w14:textId="77777777" w:rsidTr="001B0295">
        <w:tc>
          <w:tcPr>
            <w:tcW w:w="3119" w:type="dxa"/>
          </w:tcPr>
          <w:p w14:paraId="56E21C0A" w14:textId="4089C0C3" w:rsidR="009D0CF7" w:rsidRPr="007B182F" w:rsidRDefault="009D0CF7" w:rsidP="00766D2E">
            <w:pPr>
              <w:pStyle w:val="TableBodyText"/>
              <w:rPr>
                <w:lang w:eastAsia="en-US"/>
              </w:rPr>
            </w:pPr>
            <w:r w:rsidRPr="007B182F">
              <w:rPr>
                <w:lang w:eastAsia="en-US"/>
              </w:rPr>
              <w:t>2023-24</w:t>
            </w:r>
          </w:p>
        </w:tc>
        <w:tc>
          <w:tcPr>
            <w:tcW w:w="2835" w:type="dxa"/>
          </w:tcPr>
          <w:p w14:paraId="3B5A9CC6" w14:textId="57E5417F" w:rsidR="009D0CF7" w:rsidRPr="007B182F" w:rsidRDefault="00CB6936" w:rsidP="00766D2E">
            <w:pPr>
              <w:pStyle w:val="TableBodyText"/>
              <w:rPr>
                <w:lang w:eastAsia="en-US"/>
              </w:rPr>
            </w:pPr>
            <w:r w:rsidRPr="007B182F">
              <w:rPr>
                <w:lang w:eastAsia="en-US"/>
              </w:rPr>
              <w:t>N/A</w:t>
            </w:r>
          </w:p>
        </w:tc>
        <w:tc>
          <w:tcPr>
            <w:tcW w:w="3677" w:type="dxa"/>
          </w:tcPr>
          <w:p w14:paraId="1E3D3C69" w14:textId="784042F7" w:rsidR="009D0CF7" w:rsidRPr="007B182F" w:rsidRDefault="00CB6936" w:rsidP="00766D2E">
            <w:pPr>
              <w:pStyle w:val="TableBodyText"/>
              <w:rPr>
                <w:lang w:eastAsia="en-US"/>
              </w:rPr>
            </w:pPr>
            <w:r w:rsidRPr="007B182F">
              <w:rPr>
                <w:lang w:eastAsia="en-US"/>
              </w:rPr>
              <w:t>480,000</w:t>
            </w:r>
          </w:p>
        </w:tc>
      </w:tr>
      <w:tr w:rsidR="009D0CF7" w14:paraId="2D03F6A7" w14:textId="77777777" w:rsidTr="001B0295">
        <w:tc>
          <w:tcPr>
            <w:tcW w:w="3119" w:type="dxa"/>
          </w:tcPr>
          <w:p w14:paraId="11C5742C" w14:textId="18F11B84" w:rsidR="009D0CF7" w:rsidRPr="007B182F" w:rsidRDefault="009D0CF7" w:rsidP="00766D2E">
            <w:pPr>
              <w:pStyle w:val="TableBodyText"/>
              <w:rPr>
                <w:lang w:eastAsia="en-US"/>
              </w:rPr>
            </w:pPr>
            <w:r w:rsidRPr="007B182F">
              <w:rPr>
                <w:lang w:eastAsia="en-US"/>
              </w:rPr>
              <w:t>2024-25 target</w:t>
            </w:r>
          </w:p>
        </w:tc>
        <w:tc>
          <w:tcPr>
            <w:tcW w:w="2835" w:type="dxa"/>
          </w:tcPr>
          <w:p w14:paraId="5F0674DA" w14:textId="492406A4" w:rsidR="009D0CF7" w:rsidRPr="007B182F" w:rsidRDefault="00CB6936" w:rsidP="00766D2E">
            <w:pPr>
              <w:pStyle w:val="TableBodyText"/>
              <w:rPr>
                <w:lang w:eastAsia="en-US"/>
              </w:rPr>
            </w:pPr>
            <w:r w:rsidRPr="007B182F">
              <w:rPr>
                <w:lang w:eastAsia="en-US"/>
              </w:rPr>
              <w:t>N/A</w:t>
            </w:r>
          </w:p>
        </w:tc>
        <w:tc>
          <w:tcPr>
            <w:tcW w:w="3677" w:type="dxa"/>
          </w:tcPr>
          <w:p w14:paraId="15BDCA3B" w14:textId="448CC54D" w:rsidR="009D0CF7" w:rsidRDefault="00CB6936" w:rsidP="00766D2E">
            <w:pPr>
              <w:pStyle w:val="TableBodyText"/>
              <w:rPr>
                <w:lang w:eastAsia="en-US"/>
              </w:rPr>
            </w:pPr>
            <w:r w:rsidRPr="007B182F">
              <w:rPr>
                <w:lang w:eastAsia="en-US"/>
              </w:rPr>
              <w:t>204,380</w:t>
            </w:r>
          </w:p>
        </w:tc>
      </w:tr>
    </w:tbl>
    <w:p w14:paraId="185FC972" w14:textId="76B6BC4A" w:rsidR="008312D6" w:rsidRDefault="008312D6" w:rsidP="00286036">
      <w:pPr>
        <w:pStyle w:val="Caption"/>
        <w:rPr>
          <w:lang w:eastAsia="en-US"/>
        </w:rPr>
      </w:pPr>
      <w:bookmarkStart w:id="440" w:name="_Ref89644276"/>
      <w:bookmarkStart w:id="441" w:name="_Ref89810867"/>
      <w:r w:rsidRPr="008312D6">
        <w:rPr>
          <w:lang w:eastAsia="en-US"/>
        </w:rPr>
        <w:lastRenderedPageBreak/>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5</w:t>
      </w:r>
      <w:r>
        <w:rPr>
          <w:lang w:eastAsia="en-US"/>
        </w:rPr>
        <w:fldChar w:fldCharType="end"/>
      </w:r>
      <w:bookmarkEnd w:id="440"/>
      <w:r w:rsidRPr="008312D6">
        <w:rPr>
          <w:lang w:eastAsia="en-US"/>
        </w:rPr>
        <w:t>: 2020-21 greenhouse gas emission performance, by service</w:t>
      </w:r>
      <w:bookmarkEnd w:id="441"/>
    </w:p>
    <w:tbl>
      <w:tblPr>
        <w:tblStyle w:val="TableGrid"/>
        <w:tblW w:w="5000" w:type="pct"/>
        <w:tblLook w:val="04A0" w:firstRow="1" w:lastRow="0" w:firstColumn="1" w:lastColumn="0" w:noHBand="0" w:noVBand="1"/>
      </w:tblPr>
      <w:tblGrid>
        <w:gridCol w:w="1940"/>
        <w:gridCol w:w="1655"/>
        <w:gridCol w:w="1651"/>
        <w:gridCol w:w="1560"/>
        <w:gridCol w:w="1606"/>
        <w:gridCol w:w="1219"/>
      </w:tblGrid>
      <w:tr w:rsidR="007400D1" w:rsidRPr="002C1E65" w14:paraId="24B4CF71"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1007" w:type="pct"/>
            <w:vAlign w:val="bottom"/>
          </w:tcPr>
          <w:p w14:paraId="4BE5A793" w14:textId="5BD36FD5" w:rsidR="00AC3D17" w:rsidRPr="002C1E65" w:rsidRDefault="00AC3D17" w:rsidP="004033CA">
            <w:pPr>
              <w:pStyle w:val="TableBodyText"/>
              <w:rPr>
                <w:szCs w:val="20"/>
                <w:lang w:eastAsia="en-US"/>
              </w:rPr>
            </w:pPr>
            <w:bookmarkStart w:id="442" w:name="ColumnTitle_17"/>
            <w:r w:rsidRPr="002C1E65">
              <w:rPr>
                <w:szCs w:val="20"/>
                <w:lang w:eastAsia="en-US"/>
              </w:rPr>
              <w:t>Service delivery category</w:t>
            </w:r>
          </w:p>
        </w:tc>
        <w:tc>
          <w:tcPr>
            <w:tcW w:w="859" w:type="pct"/>
            <w:vAlign w:val="bottom"/>
          </w:tcPr>
          <w:p w14:paraId="2073F3DC" w14:textId="36199BDE" w:rsidR="00AC3D17" w:rsidRPr="002C1E65" w:rsidRDefault="00AC3D17" w:rsidP="007E1EE3">
            <w:pPr>
              <w:pStyle w:val="TableBodyText"/>
              <w:jc w:val="right"/>
              <w:rPr>
                <w:b w:val="0"/>
                <w:bCs/>
                <w:szCs w:val="20"/>
                <w:lang w:eastAsia="en-US"/>
              </w:rPr>
            </w:pPr>
            <w:r w:rsidRPr="002C1E65">
              <w:rPr>
                <w:szCs w:val="20"/>
                <w:lang w:eastAsia="en-US"/>
              </w:rPr>
              <w:t>Greenhouse</w:t>
            </w:r>
            <w:r w:rsidR="007E1EE3">
              <w:rPr>
                <w:szCs w:val="20"/>
                <w:lang w:eastAsia="en-US"/>
              </w:rPr>
              <w:t xml:space="preserve"> </w:t>
            </w:r>
            <w:r w:rsidRPr="002C1E65">
              <w:rPr>
                <w:szCs w:val="20"/>
                <w:lang w:eastAsia="en-US"/>
              </w:rPr>
              <w:t>gas emissions</w:t>
            </w:r>
            <w:r w:rsidR="007E1EE3">
              <w:rPr>
                <w:szCs w:val="20"/>
                <w:lang w:eastAsia="en-US"/>
              </w:rPr>
              <w:t xml:space="preserve"> </w:t>
            </w:r>
            <w:r w:rsidRPr="002C1E65">
              <w:rPr>
                <w:szCs w:val="20"/>
                <w:lang w:eastAsia="en-US"/>
              </w:rPr>
              <w:t>(t CO</w:t>
            </w:r>
            <w:r w:rsidRPr="002C1E65">
              <w:rPr>
                <w:szCs w:val="20"/>
                <w:vertAlign w:val="subscript"/>
                <w:lang w:eastAsia="en-US"/>
              </w:rPr>
              <w:t>2</w:t>
            </w:r>
            <w:r w:rsidRPr="002C1E65">
              <w:rPr>
                <w:szCs w:val="20"/>
                <w:lang w:eastAsia="en-US"/>
              </w:rPr>
              <w:t>-e)</w:t>
            </w:r>
          </w:p>
          <w:p w14:paraId="445A8DD1" w14:textId="332CBE28" w:rsidR="00AC3D17" w:rsidRPr="002C1E65" w:rsidRDefault="00AC3D17" w:rsidP="007E1EE3">
            <w:pPr>
              <w:pStyle w:val="TableBodyText"/>
              <w:jc w:val="right"/>
              <w:rPr>
                <w:szCs w:val="20"/>
                <w:lang w:eastAsia="en-US"/>
              </w:rPr>
            </w:pPr>
            <w:r w:rsidRPr="002C1E65">
              <w:rPr>
                <w:szCs w:val="20"/>
                <w:lang w:eastAsia="en-US"/>
              </w:rPr>
              <w:t>20-21 Projected</w:t>
            </w:r>
            <w:r w:rsidR="007E1EE3">
              <w:rPr>
                <w:szCs w:val="20"/>
                <w:lang w:eastAsia="en-US"/>
              </w:rPr>
              <w:t xml:space="preserve"> </w:t>
            </w:r>
            <w:r w:rsidRPr="002C1E65">
              <w:rPr>
                <w:szCs w:val="20"/>
                <w:lang w:eastAsia="en-US"/>
              </w:rPr>
              <w:t>emissions</w:t>
            </w:r>
          </w:p>
        </w:tc>
        <w:tc>
          <w:tcPr>
            <w:tcW w:w="857" w:type="pct"/>
            <w:vAlign w:val="bottom"/>
          </w:tcPr>
          <w:p w14:paraId="23E0A7CE" w14:textId="7E78D395" w:rsidR="00AC3D17" w:rsidRPr="002C1E65" w:rsidRDefault="00AC3D17" w:rsidP="007E1EE3">
            <w:pPr>
              <w:pStyle w:val="TableBodyText"/>
              <w:jc w:val="right"/>
              <w:rPr>
                <w:b w:val="0"/>
                <w:bCs/>
                <w:szCs w:val="20"/>
                <w:lang w:eastAsia="en-US"/>
              </w:rPr>
            </w:pPr>
            <w:r w:rsidRPr="002C1E65">
              <w:rPr>
                <w:szCs w:val="20"/>
                <w:lang w:eastAsia="en-US"/>
              </w:rPr>
              <w:t>Greenhouse</w:t>
            </w:r>
            <w:r w:rsidR="007E1EE3">
              <w:rPr>
                <w:szCs w:val="20"/>
                <w:lang w:eastAsia="en-US"/>
              </w:rPr>
              <w:t xml:space="preserve"> </w:t>
            </w:r>
            <w:r w:rsidRPr="002C1E65">
              <w:rPr>
                <w:szCs w:val="20"/>
                <w:lang w:eastAsia="en-US"/>
              </w:rPr>
              <w:t>gas emissions</w:t>
            </w:r>
            <w:r w:rsidR="007E1EE3">
              <w:rPr>
                <w:szCs w:val="20"/>
                <w:lang w:eastAsia="en-US"/>
              </w:rPr>
              <w:t xml:space="preserve"> </w:t>
            </w:r>
            <w:r w:rsidRPr="002C1E65">
              <w:rPr>
                <w:szCs w:val="20"/>
                <w:lang w:eastAsia="en-US"/>
              </w:rPr>
              <w:t>(t CO</w:t>
            </w:r>
            <w:r w:rsidRPr="002C1E65">
              <w:rPr>
                <w:szCs w:val="20"/>
                <w:vertAlign w:val="subscript"/>
                <w:lang w:eastAsia="en-US"/>
              </w:rPr>
              <w:t>2</w:t>
            </w:r>
            <w:r w:rsidRPr="002C1E65">
              <w:rPr>
                <w:szCs w:val="20"/>
                <w:lang w:eastAsia="en-US"/>
              </w:rPr>
              <w:t>-e)</w:t>
            </w:r>
          </w:p>
          <w:p w14:paraId="4F62EA12" w14:textId="77777777" w:rsidR="001E6582" w:rsidRPr="002C1E65" w:rsidRDefault="001E6582" w:rsidP="007E1EE3">
            <w:pPr>
              <w:pStyle w:val="TableBodyText"/>
              <w:jc w:val="right"/>
              <w:rPr>
                <w:b w:val="0"/>
                <w:bCs/>
                <w:szCs w:val="20"/>
                <w:lang w:eastAsia="en-US"/>
              </w:rPr>
            </w:pPr>
            <w:r w:rsidRPr="002C1E65">
              <w:rPr>
                <w:szCs w:val="20"/>
                <w:lang w:eastAsia="en-US"/>
              </w:rPr>
              <w:t>20-21 Result</w:t>
            </w:r>
          </w:p>
          <w:p w14:paraId="60FF557A" w14:textId="317F2F21" w:rsidR="001E6582" w:rsidRPr="002C1E65" w:rsidRDefault="001E6582" w:rsidP="007E1EE3">
            <w:pPr>
              <w:pStyle w:val="TableBodyText"/>
              <w:jc w:val="right"/>
              <w:rPr>
                <w:b w:val="0"/>
                <w:bCs/>
                <w:szCs w:val="20"/>
                <w:lang w:eastAsia="en-US"/>
              </w:rPr>
            </w:pPr>
            <w:r w:rsidRPr="002C1E65">
              <w:rPr>
                <w:szCs w:val="20"/>
                <w:lang w:eastAsia="en-US"/>
              </w:rPr>
              <w:t>Scope 1</w:t>
            </w:r>
            <w:r w:rsidR="007E1EE3">
              <w:rPr>
                <w:szCs w:val="20"/>
                <w:lang w:eastAsia="en-US"/>
              </w:rPr>
              <w:t xml:space="preserve"> </w:t>
            </w:r>
            <w:r w:rsidRPr="002C1E65">
              <w:rPr>
                <w:szCs w:val="20"/>
                <w:lang w:eastAsia="en-US"/>
              </w:rPr>
              <w:t>emissions</w:t>
            </w:r>
          </w:p>
        </w:tc>
        <w:tc>
          <w:tcPr>
            <w:tcW w:w="810" w:type="pct"/>
            <w:vAlign w:val="bottom"/>
          </w:tcPr>
          <w:p w14:paraId="16A78004" w14:textId="2BF68425" w:rsidR="001E6582" w:rsidRPr="002C1E65" w:rsidRDefault="001E6582" w:rsidP="007E1EE3">
            <w:pPr>
              <w:pStyle w:val="TableBodyText"/>
              <w:jc w:val="right"/>
              <w:rPr>
                <w:b w:val="0"/>
                <w:bCs/>
                <w:szCs w:val="20"/>
                <w:lang w:eastAsia="en-US"/>
              </w:rPr>
            </w:pPr>
            <w:r w:rsidRPr="002C1E65">
              <w:rPr>
                <w:szCs w:val="20"/>
                <w:lang w:eastAsia="en-US"/>
              </w:rPr>
              <w:t>Greenhouse</w:t>
            </w:r>
            <w:r w:rsidR="007E1EE3">
              <w:rPr>
                <w:szCs w:val="20"/>
                <w:lang w:eastAsia="en-US"/>
              </w:rPr>
              <w:t xml:space="preserve"> </w:t>
            </w:r>
            <w:r w:rsidRPr="002C1E65">
              <w:rPr>
                <w:szCs w:val="20"/>
                <w:lang w:eastAsia="en-US"/>
              </w:rPr>
              <w:t>gas emissions</w:t>
            </w:r>
            <w:r w:rsidR="007E1EE3">
              <w:rPr>
                <w:szCs w:val="20"/>
                <w:lang w:eastAsia="en-US"/>
              </w:rPr>
              <w:t xml:space="preserve"> </w:t>
            </w:r>
            <w:r w:rsidRPr="002C1E65">
              <w:rPr>
                <w:szCs w:val="20"/>
                <w:lang w:eastAsia="en-US"/>
              </w:rPr>
              <w:t>(t CO</w:t>
            </w:r>
            <w:r w:rsidRPr="002C1E65">
              <w:rPr>
                <w:szCs w:val="20"/>
                <w:vertAlign w:val="subscript"/>
                <w:lang w:eastAsia="en-US"/>
              </w:rPr>
              <w:t>2</w:t>
            </w:r>
            <w:r w:rsidRPr="002C1E65">
              <w:rPr>
                <w:szCs w:val="20"/>
                <w:lang w:eastAsia="en-US"/>
              </w:rPr>
              <w:t>-e)</w:t>
            </w:r>
          </w:p>
          <w:p w14:paraId="32E6CFB4" w14:textId="77777777" w:rsidR="001E6582" w:rsidRPr="002C1E65" w:rsidRDefault="001E6582" w:rsidP="007E1EE3">
            <w:pPr>
              <w:pStyle w:val="TableBodyText"/>
              <w:jc w:val="right"/>
              <w:rPr>
                <w:b w:val="0"/>
                <w:bCs/>
                <w:szCs w:val="20"/>
                <w:lang w:eastAsia="en-US"/>
              </w:rPr>
            </w:pPr>
            <w:r w:rsidRPr="002C1E65">
              <w:rPr>
                <w:szCs w:val="20"/>
                <w:lang w:eastAsia="en-US"/>
              </w:rPr>
              <w:t>20-21 Result</w:t>
            </w:r>
          </w:p>
          <w:p w14:paraId="3E7F1F42" w14:textId="521E351A" w:rsidR="00AC3D17" w:rsidRPr="002C1E65" w:rsidRDefault="001E6582" w:rsidP="007E1EE3">
            <w:pPr>
              <w:pStyle w:val="TableBodyText"/>
              <w:jc w:val="right"/>
              <w:rPr>
                <w:szCs w:val="20"/>
                <w:lang w:eastAsia="en-US"/>
              </w:rPr>
            </w:pPr>
            <w:r w:rsidRPr="002C1E65">
              <w:rPr>
                <w:szCs w:val="20"/>
                <w:lang w:eastAsia="en-US"/>
              </w:rPr>
              <w:t>Scope 2</w:t>
            </w:r>
            <w:r w:rsidR="007E1EE3">
              <w:rPr>
                <w:szCs w:val="20"/>
                <w:lang w:eastAsia="en-US"/>
              </w:rPr>
              <w:t xml:space="preserve"> </w:t>
            </w:r>
            <w:r w:rsidRPr="002C1E65">
              <w:rPr>
                <w:szCs w:val="20"/>
                <w:lang w:eastAsia="en-US"/>
              </w:rPr>
              <w:t>emissions</w:t>
            </w:r>
          </w:p>
        </w:tc>
        <w:tc>
          <w:tcPr>
            <w:tcW w:w="834" w:type="pct"/>
            <w:vAlign w:val="bottom"/>
          </w:tcPr>
          <w:p w14:paraId="2A1220E1" w14:textId="4D222E2D" w:rsidR="001E6582" w:rsidRPr="002C1E65" w:rsidRDefault="001E6582" w:rsidP="007E1EE3">
            <w:pPr>
              <w:pStyle w:val="TableBodyText"/>
              <w:jc w:val="right"/>
              <w:rPr>
                <w:b w:val="0"/>
                <w:bCs/>
                <w:szCs w:val="20"/>
                <w:lang w:eastAsia="en-US"/>
              </w:rPr>
            </w:pPr>
            <w:r w:rsidRPr="002C1E65">
              <w:rPr>
                <w:szCs w:val="20"/>
                <w:lang w:eastAsia="en-US"/>
              </w:rPr>
              <w:t>Greenhouse</w:t>
            </w:r>
            <w:r w:rsidR="007E1EE3">
              <w:rPr>
                <w:szCs w:val="20"/>
                <w:lang w:eastAsia="en-US"/>
              </w:rPr>
              <w:t xml:space="preserve"> </w:t>
            </w:r>
            <w:r w:rsidRPr="002C1E65">
              <w:rPr>
                <w:szCs w:val="20"/>
                <w:lang w:eastAsia="en-US"/>
              </w:rPr>
              <w:t>gas emissions</w:t>
            </w:r>
            <w:r w:rsidR="007E1EE3">
              <w:rPr>
                <w:szCs w:val="20"/>
                <w:lang w:eastAsia="en-US"/>
              </w:rPr>
              <w:t xml:space="preserve"> </w:t>
            </w:r>
            <w:r w:rsidRPr="002C1E65">
              <w:rPr>
                <w:szCs w:val="20"/>
                <w:lang w:eastAsia="en-US"/>
              </w:rPr>
              <w:t>(t CO</w:t>
            </w:r>
            <w:r w:rsidRPr="002C1E65">
              <w:rPr>
                <w:szCs w:val="20"/>
                <w:vertAlign w:val="subscript"/>
                <w:lang w:eastAsia="en-US"/>
              </w:rPr>
              <w:t>2</w:t>
            </w:r>
            <w:r w:rsidRPr="002C1E65">
              <w:rPr>
                <w:szCs w:val="20"/>
                <w:lang w:eastAsia="en-US"/>
              </w:rPr>
              <w:t>-e)</w:t>
            </w:r>
          </w:p>
          <w:p w14:paraId="14843135" w14:textId="77777777" w:rsidR="001E6582" w:rsidRPr="002C1E65" w:rsidRDefault="001E6582" w:rsidP="007E1EE3">
            <w:pPr>
              <w:pStyle w:val="TableBodyText"/>
              <w:jc w:val="right"/>
              <w:rPr>
                <w:b w:val="0"/>
                <w:bCs/>
                <w:szCs w:val="20"/>
                <w:lang w:eastAsia="en-US"/>
              </w:rPr>
            </w:pPr>
            <w:r w:rsidRPr="002C1E65">
              <w:rPr>
                <w:szCs w:val="20"/>
                <w:lang w:eastAsia="en-US"/>
              </w:rPr>
              <w:t>20-21 Result</w:t>
            </w:r>
          </w:p>
          <w:p w14:paraId="037C7F38" w14:textId="39A7E65C" w:rsidR="00AC3D17" w:rsidRPr="002C1E65" w:rsidRDefault="001E6582" w:rsidP="007E1EE3">
            <w:pPr>
              <w:pStyle w:val="TableBodyText"/>
              <w:jc w:val="right"/>
              <w:rPr>
                <w:b w:val="0"/>
                <w:bCs/>
                <w:szCs w:val="20"/>
                <w:lang w:eastAsia="en-US"/>
              </w:rPr>
            </w:pPr>
            <w:r w:rsidRPr="002C1E65">
              <w:rPr>
                <w:szCs w:val="20"/>
                <w:lang w:eastAsia="en-US"/>
              </w:rPr>
              <w:t>Total</w:t>
            </w:r>
            <w:r w:rsidR="00286036" w:rsidRPr="002C1E65">
              <w:rPr>
                <w:szCs w:val="20"/>
                <w:lang w:eastAsia="en-US"/>
              </w:rPr>
              <w:t xml:space="preserve"> e</w:t>
            </w:r>
            <w:r w:rsidRPr="002C1E65">
              <w:rPr>
                <w:szCs w:val="20"/>
                <w:lang w:eastAsia="en-US"/>
              </w:rPr>
              <w:t>missions</w:t>
            </w:r>
          </w:p>
          <w:p w14:paraId="2DDEFD12" w14:textId="7BBFB961" w:rsidR="007400D1" w:rsidRPr="002C1E65" w:rsidRDefault="00926282" w:rsidP="007E1EE3">
            <w:pPr>
              <w:pStyle w:val="TableBodyText"/>
              <w:jc w:val="right"/>
              <w:rPr>
                <w:b w:val="0"/>
                <w:bCs/>
                <w:szCs w:val="20"/>
                <w:lang w:eastAsia="en-US"/>
              </w:rPr>
            </w:pPr>
            <w:hyperlink w:anchor="Note1Table5" w:history="1">
              <w:r w:rsidR="007400D1" w:rsidRPr="002C1E65">
                <w:rPr>
                  <w:rStyle w:val="Hyperlink"/>
                  <w:szCs w:val="20"/>
                  <w:lang w:eastAsia="en-US"/>
                </w:rPr>
                <w:t>refer note 1</w:t>
              </w:r>
            </w:hyperlink>
          </w:p>
        </w:tc>
        <w:tc>
          <w:tcPr>
            <w:tcW w:w="633" w:type="pct"/>
            <w:vAlign w:val="bottom"/>
          </w:tcPr>
          <w:p w14:paraId="5E9F6A10" w14:textId="0CAFDE79" w:rsidR="00AC3D17" w:rsidRPr="002C1E65" w:rsidRDefault="00AC3D17" w:rsidP="007E1EE3">
            <w:pPr>
              <w:pStyle w:val="TableBodyText"/>
              <w:jc w:val="right"/>
              <w:rPr>
                <w:szCs w:val="20"/>
                <w:lang w:eastAsia="en-US"/>
              </w:rPr>
            </w:pPr>
            <w:r w:rsidRPr="002C1E65">
              <w:rPr>
                <w:szCs w:val="20"/>
                <w:lang w:eastAsia="en-US"/>
              </w:rPr>
              <w:t>Variance (%)</w:t>
            </w:r>
          </w:p>
        </w:tc>
      </w:tr>
      <w:bookmarkEnd w:id="442"/>
      <w:tr w:rsidR="007400D1" w:rsidRPr="002C1E65" w14:paraId="2A4AE2F5" w14:textId="77777777" w:rsidTr="007E1EE3">
        <w:tc>
          <w:tcPr>
            <w:tcW w:w="1007" w:type="pct"/>
          </w:tcPr>
          <w:p w14:paraId="4786DD8B" w14:textId="024D07C9" w:rsidR="00AC3D17" w:rsidRPr="002C1E65" w:rsidRDefault="001E6582" w:rsidP="00286036">
            <w:pPr>
              <w:pStyle w:val="TableBodyText"/>
              <w:rPr>
                <w:szCs w:val="20"/>
                <w:lang w:eastAsia="en-US"/>
              </w:rPr>
            </w:pPr>
            <w:r w:rsidRPr="002C1E65">
              <w:rPr>
                <w:szCs w:val="20"/>
                <w:lang w:eastAsia="en-US"/>
              </w:rPr>
              <w:t>Water treatment and supply</w:t>
            </w:r>
          </w:p>
        </w:tc>
        <w:tc>
          <w:tcPr>
            <w:tcW w:w="859" w:type="pct"/>
          </w:tcPr>
          <w:p w14:paraId="1BEDFFE1" w14:textId="7D48EACF" w:rsidR="00AC3D17" w:rsidRPr="002C1E65" w:rsidRDefault="001E6582" w:rsidP="007E1EE3">
            <w:pPr>
              <w:pStyle w:val="TableBodyText"/>
              <w:jc w:val="right"/>
              <w:rPr>
                <w:szCs w:val="20"/>
                <w:lang w:eastAsia="en-US"/>
              </w:rPr>
            </w:pPr>
            <w:r w:rsidRPr="002C1E65">
              <w:rPr>
                <w:szCs w:val="20"/>
                <w:lang w:eastAsia="en-US"/>
              </w:rPr>
              <w:t>N/A</w:t>
            </w:r>
          </w:p>
        </w:tc>
        <w:tc>
          <w:tcPr>
            <w:tcW w:w="857" w:type="pct"/>
          </w:tcPr>
          <w:p w14:paraId="147E212D" w14:textId="4E4F1C05" w:rsidR="00AC3D17" w:rsidRPr="002C1E65" w:rsidRDefault="001E6582" w:rsidP="007E1EE3">
            <w:pPr>
              <w:pStyle w:val="TableBodyText"/>
              <w:jc w:val="right"/>
              <w:rPr>
                <w:szCs w:val="20"/>
                <w:lang w:eastAsia="en-US"/>
              </w:rPr>
            </w:pPr>
            <w:r w:rsidRPr="002C1E65">
              <w:rPr>
                <w:szCs w:val="20"/>
                <w:lang w:eastAsia="en-US"/>
              </w:rPr>
              <w:t>279</w:t>
            </w:r>
          </w:p>
        </w:tc>
        <w:tc>
          <w:tcPr>
            <w:tcW w:w="810" w:type="pct"/>
          </w:tcPr>
          <w:p w14:paraId="45CB64EF" w14:textId="6E6BFFEB" w:rsidR="00AC3D17" w:rsidRPr="002C1E65" w:rsidRDefault="001E6582" w:rsidP="007E1EE3">
            <w:pPr>
              <w:pStyle w:val="TableBodyText"/>
              <w:jc w:val="right"/>
              <w:rPr>
                <w:szCs w:val="20"/>
                <w:lang w:eastAsia="en-US"/>
              </w:rPr>
            </w:pPr>
            <w:r w:rsidRPr="002C1E65">
              <w:rPr>
                <w:szCs w:val="20"/>
                <w:lang w:eastAsia="en-US"/>
              </w:rPr>
              <w:t>63,748</w:t>
            </w:r>
          </w:p>
        </w:tc>
        <w:tc>
          <w:tcPr>
            <w:tcW w:w="834" w:type="pct"/>
          </w:tcPr>
          <w:p w14:paraId="26EBF766" w14:textId="7B414309" w:rsidR="00AC3D17" w:rsidRPr="002C1E65" w:rsidRDefault="001E6582" w:rsidP="007E1EE3">
            <w:pPr>
              <w:pStyle w:val="TableBodyText"/>
              <w:jc w:val="right"/>
              <w:rPr>
                <w:szCs w:val="20"/>
                <w:lang w:eastAsia="en-US"/>
              </w:rPr>
            </w:pPr>
            <w:r w:rsidRPr="002C1E65">
              <w:rPr>
                <w:szCs w:val="20"/>
                <w:lang w:eastAsia="en-US"/>
              </w:rPr>
              <w:t>64,027</w:t>
            </w:r>
          </w:p>
        </w:tc>
        <w:tc>
          <w:tcPr>
            <w:tcW w:w="633" w:type="pct"/>
          </w:tcPr>
          <w:p w14:paraId="457EBDF9" w14:textId="649C0012" w:rsidR="00AC3D17" w:rsidRPr="002C1E65" w:rsidRDefault="001E6582" w:rsidP="007E1EE3">
            <w:pPr>
              <w:pStyle w:val="TableBodyText"/>
              <w:jc w:val="right"/>
              <w:rPr>
                <w:szCs w:val="20"/>
                <w:lang w:eastAsia="en-US"/>
              </w:rPr>
            </w:pPr>
            <w:r w:rsidRPr="002C1E65">
              <w:rPr>
                <w:szCs w:val="20"/>
                <w:lang w:eastAsia="en-US"/>
              </w:rPr>
              <w:t>N/A</w:t>
            </w:r>
          </w:p>
        </w:tc>
      </w:tr>
      <w:tr w:rsidR="007400D1" w:rsidRPr="002C1E65" w14:paraId="066073DA" w14:textId="77777777" w:rsidTr="007E1EE3">
        <w:tc>
          <w:tcPr>
            <w:tcW w:w="1007" w:type="pct"/>
          </w:tcPr>
          <w:p w14:paraId="15F1A141" w14:textId="18D848E7" w:rsidR="00AC3D17" w:rsidRPr="002C1E65" w:rsidRDefault="001E6582" w:rsidP="00286036">
            <w:pPr>
              <w:pStyle w:val="TableBodyText"/>
              <w:rPr>
                <w:szCs w:val="20"/>
                <w:lang w:eastAsia="en-US"/>
              </w:rPr>
            </w:pPr>
            <w:r w:rsidRPr="002C1E65">
              <w:rPr>
                <w:szCs w:val="20"/>
                <w:lang w:eastAsia="en-US"/>
              </w:rPr>
              <w:t>Sewerage treatment and management</w:t>
            </w:r>
          </w:p>
        </w:tc>
        <w:tc>
          <w:tcPr>
            <w:tcW w:w="859" w:type="pct"/>
          </w:tcPr>
          <w:p w14:paraId="71C402B1" w14:textId="3B4EF846" w:rsidR="00AC3D17" w:rsidRPr="002C1E65" w:rsidRDefault="001E6582" w:rsidP="007E1EE3">
            <w:pPr>
              <w:pStyle w:val="TableBodyText"/>
              <w:jc w:val="right"/>
              <w:rPr>
                <w:szCs w:val="20"/>
                <w:lang w:eastAsia="en-US"/>
              </w:rPr>
            </w:pPr>
            <w:r w:rsidRPr="002C1E65">
              <w:rPr>
                <w:szCs w:val="20"/>
                <w:lang w:eastAsia="en-US"/>
              </w:rPr>
              <w:t>N/A</w:t>
            </w:r>
          </w:p>
        </w:tc>
        <w:tc>
          <w:tcPr>
            <w:tcW w:w="857" w:type="pct"/>
          </w:tcPr>
          <w:p w14:paraId="07A83677" w14:textId="4492A448" w:rsidR="00AC3D17" w:rsidRPr="002C1E65" w:rsidRDefault="001E6582" w:rsidP="007E1EE3">
            <w:pPr>
              <w:pStyle w:val="TableBodyText"/>
              <w:jc w:val="right"/>
              <w:rPr>
                <w:szCs w:val="20"/>
                <w:lang w:eastAsia="en-US"/>
              </w:rPr>
            </w:pPr>
            <w:r w:rsidRPr="002C1E65">
              <w:rPr>
                <w:szCs w:val="20"/>
                <w:lang w:eastAsia="en-US"/>
              </w:rPr>
              <w:t>240,896</w:t>
            </w:r>
          </w:p>
        </w:tc>
        <w:tc>
          <w:tcPr>
            <w:tcW w:w="810" w:type="pct"/>
          </w:tcPr>
          <w:p w14:paraId="5B3E37F0" w14:textId="7B32FED1" w:rsidR="00AC3D17" w:rsidRPr="002C1E65" w:rsidRDefault="001E6582" w:rsidP="007E1EE3">
            <w:pPr>
              <w:pStyle w:val="TableBodyText"/>
              <w:jc w:val="right"/>
              <w:rPr>
                <w:szCs w:val="20"/>
                <w:lang w:eastAsia="en-US"/>
              </w:rPr>
            </w:pPr>
            <w:r w:rsidRPr="002C1E65">
              <w:rPr>
                <w:szCs w:val="20"/>
                <w:lang w:eastAsia="en-US"/>
              </w:rPr>
              <w:t>154,610</w:t>
            </w:r>
          </w:p>
        </w:tc>
        <w:tc>
          <w:tcPr>
            <w:tcW w:w="834" w:type="pct"/>
          </w:tcPr>
          <w:p w14:paraId="7CF4E1AD" w14:textId="6D9E3255" w:rsidR="00AC3D17" w:rsidRPr="002C1E65" w:rsidRDefault="001E6582" w:rsidP="007E1EE3">
            <w:pPr>
              <w:pStyle w:val="TableBodyText"/>
              <w:jc w:val="right"/>
              <w:rPr>
                <w:szCs w:val="20"/>
                <w:lang w:eastAsia="en-US"/>
              </w:rPr>
            </w:pPr>
            <w:r w:rsidRPr="002C1E65">
              <w:rPr>
                <w:szCs w:val="20"/>
                <w:lang w:eastAsia="en-US"/>
              </w:rPr>
              <w:t>395,507</w:t>
            </w:r>
          </w:p>
        </w:tc>
        <w:tc>
          <w:tcPr>
            <w:tcW w:w="633" w:type="pct"/>
          </w:tcPr>
          <w:p w14:paraId="5982B4D7" w14:textId="5E063C39" w:rsidR="00AC3D17" w:rsidRPr="002C1E65" w:rsidRDefault="001E6582" w:rsidP="007E1EE3">
            <w:pPr>
              <w:pStyle w:val="TableBodyText"/>
              <w:jc w:val="right"/>
              <w:rPr>
                <w:szCs w:val="20"/>
                <w:lang w:eastAsia="en-US"/>
              </w:rPr>
            </w:pPr>
            <w:r w:rsidRPr="002C1E65">
              <w:rPr>
                <w:szCs w:val="20"/>
                <w:lang w:eastAsia="en-US"/>
              </w:rPr>
              <w:t>N/A</w:t>
            </w:r>
          </w:p>
        </w:tc>
      </w:tr>
      <w:tr w:rsidR="007400D1" w:rsidRPr="002C1E65" w14:paraId="29889E6A" w14:textId="77777777" w:rsidTr="007E1EE3">
        <w:tc>
          <w:tcPr>
            <w:tcW w:w="1007" w:type="pct"/>
          </w:tcPr>
          <w:p w14:paraId="3D491A35" w14:textId="23CDD8A0" w:rsidR="00AC3D17" w:rsidRPr="002C1E65" w:rsidRDefault="001E6582" w:rsidP="00286036">
            <w:pPr>
              <w:pStyle w:val="TableBodyText"/>
              <w:rPr>
                <w:szCs w:val="20"/>
                <w:lang w:eastAsia="en-US"/>
              </w:rPr>
            </w:pPr>
            <w:r w:rsidRPr="002C1E65">
              <w:rPr>
                <w:szCs w:val="20"/>
                <w:lang w:eastAsia="en-US"/>
              </w:rPr>
              <w:t>Transport</w:t>
            </w:r>
          </w:p>
        </w:tc>
        <w:tc>
          <w:tcPr>
            <w:tcW w:w="859" w:type="pct"/>
          </w:tcPr>
          <w:p w14:paraId="387F3CF2" w14:textId="4D388A93" w:rsidR="00AC3D17" w:rsidRPr="002C1E65" w:rsidRDefault="001E6582" w:rsidP="007E1EE3">
            <w:pPr>
              <w:pStyle w:val="TableBodyText"/>
              <w:jc w:val="right"/>
              <w:rPr>
                <w:szCs w:val="20"/>
                <w:lang w:eastAsia="en-US"/>
              </w:rPr>
            </w:pPr>
            <w:r w:rsidRPr="002C1E65">
              <w:rPr>
                <w:szCs w:val="20"/>
                <w:lang w:eastAsia="en-US"/>
              </w:rPr>
              <w:t>N/A</w:t>
            </w:r>
          </w:p>
        </w:tc>
        <w:tc>
          <w:tcPr>
            <w:tcW w:w="857" w:type="pct"/>
          </w:tcPr>
          <w:p w14:paraId="0451D3A7" w14:textId="4E0F0C25" w:rsidR="00AC3D17" w:rsidRPr="002C1E65" w:rsidRDefault="001E6582" w:rsidP="007E1EE3">
            <w:pPr>
              <w:pStyle w:val="TableBodyText"/>
              <w:jc w:val="right"/>
              <w:rPr>
                <w:szCs w:val="20"/>
                <w:lang w:eastAsia="en-US"/>
              </w:rPr>
            </w:pPr>
            <w:r w:rsidRPr="002C1E65">
              <w:rPr>
                <w:szCs w:val="20"/>
                <w:lang w:eastAsia="en-US"/>
              </w:rPr>
              <w:t>1904</w:t>
            </w:r>
          </w:p>
        </w:tc>
        <w:tc>
          <w:tcPr>
            <w:tcW w:w="810" w:type="pct"/>
          </w:tcPr>
          <w:p w14:paraId="523168EF" w14:textId="3251B66B" w:rsidR="00AC3D17" w:rsidRPr="002C1E65" w:rsidRDefault="001E6582" w:rsidP="007E1EE3">
            <w:pPr>
              <w:pStyle w:val="TableBodyText"/>
              <w:jc w:val="right"/>
              <w:rPr>
                <w:szCs w:val="20"/>
                <w:lang w:eastAsia="en-US"/>
              </w:rPr>
            </w:pPr>
            <w:r w:rsidRPr="002C1E65">
              <w:rPr>
                <w:szCs w:val="20"/>
                <w:lang w:eastAsia="en-US"/>
              </w:rPr>
              <w:t>0</w:t>
            </w:r>
          </w:p>
        </w:tc>
        <w:tc>
          <w:tcPr>
            <w:tcW w:w="834" w:type="pct"/>
          </w:tcPr>
          <w:p w14:paraId="4C938CAA" w14:textId="65BD15F9" w:rsidR="00AC3D17" w:rsidRPr="002C1E65" w:rsidRDefault="001E6582" w:rsidP="007E1EE3">
            <w:pPr>
              <w:pStyle w:val="TableBodyText"/>
              <w:jc w:val="right"/>
              <w:rPr>
                <w:szCs w:val="20"/>
                <w:lang w:eastAsia="en-US"/>
              </w:rPr>
            </w:pPr>
            <w:r w:rsidRPr="002C1E65">
              <w:rPr>
                <w:szCs w:val="20"/>
                <w:lang w:eastAsia="en-US"/>
              </w:rPr>
              <w:t>1904</w:t>
            </w:r>
          </w:p>
        </w:tc>
        <w:tc>
          <w:tcPr>
            <w:tcW w:w="633" w:type="pct"/>
          </w:tcPr>
          <w:p w14:paraId="5388288D" w14:textId="400192EC" w:rsidR="00AC3D17" w:rsidRPr="002C1E65" w:rsidRDefault="001E6582" w:rsidP="007E1EE3">
            <w:pPr>
              <w:pStyle w:val="TableBodyText"/>
              <w:jc w:val="right"/>
              <w:rPr>
                <w:szCs w:val="20"/>
                <w:lang w:eastAsia="en-US"/>
              </w:rPr>
            </w:pPr>
            <w:r w:rsidRPr="002C1E65">
              <w:rPr>
                <w:szCs w:val="20"/>
                <w:lang w:eastAsia="en-US"/>
              </w:rPr>
              <w:t>N/A</w:t>
            </w:r>
          </w:p>
        </w:tc>
      </w:tr>
      <w:tr w:rsidR="007400D1" w:rsidRPr="002C1E65" w14:paraId="3B6D41D0" w14:textId="77777777" w:rsidTr="007E1EE3">
        <w:tc>
          <w:tcPr>
            <w:tcW w:w="1007" w:type="pct"/>
          </w:tcPr>
          <w:p w14:paraId="7E0799DE" w14:textId="2896624B" w:rsidR="001E6582" w:rsidRPr="002C1E65" w:rsidRDefault="001E6582" w:rsidP="00286036">
            <w:pPr>
              <w:pStyle w:val="TableBodyText"/>
              <w:rPr>
                <w:szCs w:val="20"/>
                <w:lang w:eastAsia="en-US"/>
              </w:rPr>
            </w:pPr>
            <w:r w:rsidRPr="002C1E65">
              <w:rPr>
                <w:szCs w:val="20"/>
                <w:lang w:eastAsia="en-US"/>
              </w:rPr>
              <w:t>Waterways</w:t>
            </w:r>
          </w:p>
        </w:tc>
        <w:tc>
          <w:tcPr>
            <w:tcW w:w="859" w:type="pct"/>
          </w:tcPr>
          <w:p w14:paraId="04A6D7C2" w14:textId="7497FF13" w:rsidR="001E6582" w:rsidRPr="002C1E65" w:rsidRDefault="001E6582" w:rsidP="007E1EE3">
            <w:pPr>
              <w:pStyle w:val="TableBodyText"/>
              <w:jc w:val="right"/>
              <w:rPr>
                <w:szCs w:val="20"/>
                <w:lang w:eastAsia="en-US"/>
              </w:rPr>
            </w:pPr>
            <w:r w:rsidRPr="002C1E65">
              <w:rPr>
                <w:szCs w:val="20"/>
                <w:lang w:eastAsia="en-US"/>
              </w:rPr>
              <w:t>N/A</w:t>
            </w:r>
          </w:p>
        </w:tc>
        <w:tc>
          <w:tcPr>
            <w:tcW w:w="857" w:type="pct"/>
          </w:tcPr>
          <w:p w14:paraId="0FAFD591" w14:textId="4DA61A10" w:rsidR="001E6582" w:rsidRPr="002C1E65" w:rsidRDefault="001E6582" w:rsidP="007E1EE3">
            <w:pPr>
              <w:pStyle w:val="TableBodyText"/>
              <w:jc w:val="right"/>
              <w:rPr>
                <w:szCs w:val="20"/>
                <w:lang w:eastAsia="en-US"/>
              </w:rPr>
            </w:pPr>
            <w:r w:rsidRPr="002C1E65">
              <w:rPr>
                <w:szCs w:val="20"/>
                <w:lang w:eastAsia="en-US"/>
              </w:rPr>
              <w:t>5707</w:t>
            </w:r>
          </w:p>
        </w:tc>
        <w:tc>
          <w:tcPr>
            <w:tcW w:w="810" w:type="pct"/>
          </w:tcPr>
          <w:p w14:paraId="67A0D5F8" w14:textId="6E7EA9B9" w:rsidR="001E6582" w:rsidRPr="002C1E65" w:rsidRDefault="001E6582" w:rsidP="007E1EE3">
            <w:pPr>
              <w:pStyle w:val="TableBodyText"/>
              <w:jc w:val="right"/>
              <w:rPr>
                <w:szCs w:val="20"/>
                <w:lang w:eastAsia="en-US"/>
              </w:rPr>
            </w:pPr>
            <w:r w:rsidRPr="002C1E65">
              <w:rPr>
                <w:szCs w:val="20"/>
                <w:lang w:eastAsia="en-US"/>
              </w:rPr>
              <w:t>1257</w:t>
            </w:r>
          </w:p>
        </w:tc>
        <w:tc>
          <w:tcPr>
            <w:tcW w:w="834" w:type="pct"/>
          </w:tcPr>
          <w:p w14:paraId="203D7113" w14:textId="50A19198" w:rsidR="001E6582" w:rsidRPr="002C1E65" w:rsidRDefault="001E6582" w:rsidP="007E1EE3">
            <w:pPr>
              <w:pStyle w:val="TableBodyText"/>
              <w:jc w:val="right"/>
              <w:rPr>
                <w:szCs w:val="20"/>
                <w:lang w:eastAsia="en-US"/>
              </w:rPr>
            </w:pPr>
            <w:r w:rsidRPr="002C1E65">
              <w:rPr>
                <w:szCs w:val="20"/>
                <w:lang w:eastAsia="en-US"/>
              </w:rPr>
              <w:t>6965</w:t>
            </w:r>
          </w:p>
        </w:tc>
        <w:tc>
          <w:tcPr>
            <w:tcW w:w="633" w:type="pct"/>
          </w:tcPr>
          <w:p w14:paraId="7027A18B" w14:textId="4C61D376" w:rsidR="001E6582" w:rsidRPr="002C1E65" w:rsidRDefault="001E6582" w:rsidP="007E1EE3">
            <w:pPr>
              <w:pStyle w:val="TableBodyText"/>
              <w:jc w:val="right"/>
              <w:rPr>
                <w:szCs w:val="20"/>
                <w:lang w:eastAsia="en-US"/>
              </w:rPr>
            </w:pPr>
            <w:r w:rsidRPr="002C1E65">
              <w:rPr>
                <w:szCs w:val="20"/>
                <w:lang w:eastAsia="en-US"/>
              </w:rPr>
              <w:t>N/A</w:t>
            </w:r>
          </w:p>
        </w:tc>
      </w:tr>
      <w:tr w:rsidR="007400D1" w:rsidRPr="002C1E65" w14:paraId="75713D2C" w14:textId="77777777" w:rsidTr="007E1EE3">
        <w:tc>
          <w:tcPr>
            <w:tcW w:w="1007" w:type="pct"/>
          </w:tcPr>
          <w:p w14:paraId="0822D271" w14:textId="59A39C5D" w:rsidR="001E6582" w:rsidRPr="002C1E65" w:rsidRDefault="001E6582" w:rsidP="00286036">
            <w:pPr>
              <w:pStyle w:val="TableBodyText"/>
              <w:rPr>
                <w:szCs w:val="20"/>
                <w:lang w:eastAsia="en-US"/>
              </w:rPr>
            </w:pPr>
            <w:r w:rsidRPr="002C1E65">
              <w:rPr>
                <w:szCs w:val="20"/>
                <w:lang w:eastAsia="en-US"/>
              </w:rPr>
              <w:t>Other (e.g. offices, depots, etc.)</w:t>
            </w:r>
          </w:p>
        </w:tc>
        <w:tc>
          <w:tcPr>
            <w:tcW w:w="859" w:type="pct"/>
          </w:tcPr>
          <w:p w14:paraId="3AEFF931" w14:textId="02689432" w:rsidR="001E6582" w:rsidRPr="002C1E65" w:rsidRDefault="001E6582" w:rsidP="007E1EE3">
            <w:pPr>
              <w:pStyle w:val="TableBodyText"/>
              <w:jc w:val="right"/>
              <w:rPr>
                <w:szCs w:val="20"/>
                <w:lang w:eastAsia="en-US"/>
              </w:rPr>
            </w:pPr>
            <w:r w:rsidRPr="002C1E65">
              <w:rPr>
                <w:szCs w:val="20"/>
                <w:lang w:eastAsia="en-US"/>
              </w:rPr>
              <w:t>N/A</w:t>
            </w:r>
          </w:p>
        </w:tc>
        <w:tc>
          <w:tcPr>
            <w:tcW w:w="857" w:type="pct"/>
          </w:tcPr>
          <w:p w14:paraId="233792DC" w14:textId="66EB9CE0" w:rsidR="001E6582" w:rsidRPr="002C1E65" w:rsidRDefault="001E6582" w:rsidP="007E1EE3">
            <w:pPr>
              <w:pStyle w:val="TableBodyText"/>
              <w:jc w:val="right"/>
              <w:rPr>
                <w:szCs w:val="20"/>
                <w:lang w:eastAsia="en-US"/>
              </w:rPr>
            </w:pPr>
            <w:r w:rsidRPr="002C1E65">
              <w:rPr>
                <w:szCs w:val="20"/>
                <w:lang w:eastAsia="en-US"/>
              </w:rPr>
              <w:t>N/A</w:t>
            </w:r>
          </w:p>
        </w:tc>
        <w:tc>
          <w:tcPr>
            <w:tcW w:w="810" w:type="pct"/>
          </w:tcPr>
          <w:p w14:paraId="2609D565" w14:textId="62A7B147" w:rsidR="001E6582" w:rsidRPr="002C1E65" w:rsidRDefault="001E6582" w:rsidP="007E1EE3">
            <w:pPr>
              <w:pStyle w:val="TableBodyText"/>
              <w:jc w:val="right"/>
              <w:rPr>
                <w:szCs w:val="20"/>
                <w:lang w:eastAsia="en-US"/>
              </w:rPr>
            </w:pPr>
            <w:r w:rsidRPr="002C1E65">
              <w:rPr>
                <w:szCs w:val="20"/>
                <w:lang w:eastAsia="en-US"/>
              </w:rPr>
              <w:t>264</w:t>
            </w:r>
          </w:p>
        </w:tc>
        <w:tc>
          <w:tcPr>
            <w:tcW w:w="834" w:type="pct"/>
          </w:tcPr>
          <w:p w14:paraId="624C4481" w14:textId="7DE20DFE" w:rsidR="001E6582" w:rsidRPr="002C1E65" w:rsidRDefault="001E6582" w:rsidP="007E1EE3">
            <w:pPr>
              <w:pStyle w:val="TableBodyText"/>
              <w:jc w:val="right"/>
              <w:rPr>
                <w:szCs w:val="20"/>
                <w:lang w:eastAsia="en-US"/>
              </w:rPr>
            </w:pPr>
            <w:r w:rsidRPr="002C1E65">
              <w:rPr>
                <w:szCs w:val="20"/>
                <w:lang w:eastAsia="en-US"/>
              </w:rPr>
              <w:t>264</w:t>
            </w:r>
          </w:p>
        </w:tc>
        <w:tc>
          <w:tcPr>
            <w:tcW w:w="633" w:type="pct"/>
          </w:tcPr>
          <w:p w14:paraId="22ECE746" w14:textId="2265D01A" w:rsidR="001E6582" w:rsidRPr="002C1E65" w:rsidRDefault="001E6582" w:rsidP="007E1EE3">
            <w:pPr>
              <w:pStyle w:val="TableBodyText"/>
              <w:jc w:val="right"/>
              <w:rPr>
                <w:szCs w:val="20"/>
                <w:lang w:eastAsia="en-US"/>
              </w:rPr>
            </w:pPr>
            <w:r w:rsidRPr="002C1E65">
              <w:rPr>
                <w:szCs w:val="20"/>
                <w:lang w:eastAsia="en-US"/>
              </w:rPr>
              <w:t>N/A</w:t>
            </w:r>
          </w:p>
        </w:tc>
      </w:tr>
      <w:tr w:rsidR="007400D1" w:rsidRPr="002C1E65" w14:paraId="6B678C2D" w14:textId="77777777" w:rsidTr="007E1EE3">
        <w:tc>
          <w:tcPr>
            <w:tcW w:w="1007" w:type="pct"/>
          </w:tcPr>
          <w:p w14:paraId="038ADBB0" w14:textId="10285A13" w:rsidR="001E6582" w:rsidRPr="002C1E65" w:rsidRDefault="001E6582" w:rsidP="00286036">
            <w:pPr>
              <w:pStyle w:val="TableBodyText"/>
              <w:rPr>
                <w:rStyle w:val="Bold"/>
                <w:szCs w:val="20"/>
              </w:rPr>
            </w:pPr>
            <w:r w:rsidRPr="002C1E65">
              <w:rPr>
                <w:rStyle w:val="Bold"/>
                <w:szCs w:val="20"/>
              </w:rPr>
              <w:t>Total Emissions (a)</w:t>
            </w:r>
          </w:p>
        </w:tc>
        <w:tc>
          <w:tcPr>
            <w:tcW w:w="859" w:type="pct"/>
          </w:tcPr>
          <w:p w14:paraId="781983D1" w14:textId="77777777" w:rsidR="001E6582" w:rsidRPr="002C1E65" w:rsidRDefault="001E6582" w:rsidP="007E1EE3">
            <w:pPr>
              <w:pStyle w:val="TableBodyText"/>
              <w:jc w:val="right"/>
              <w:rPr>
                <w:rStyle w:val="Bold"/>
                <w:szCs w:val="20"/>
              </w:rPr>
            </w:pPr>
            <w:r w:rsidRPr="002C1E65">
              <w:rPr>
                <w:rStyle w:val="Bold"/>
                <w:szCs w:val="20"/>
              </w:rPr>
              <w:t>430,000</w:t>
            </w:r>
          </w:p>
          <w:p w14:paraId="011A9D9F" w14:textId="0537C8EF" w:rsidR="007400D1" w:rsidRPr="002C1E65" w:rsidRDefault="00926282" w:rsidP="007E1EE3">
            <w:pPr>
              <w:pStyle w:val="TableBodyText"/>
              <w:jc w:val="right"/>
              <w:rPr>
                <w:szCs w:val="20"/>
                <w:lang w:eastAsia="en-US"/>
              </w:rPr>
            </w:pPr>
            <w:hyperlink w:anchor="Note2Table5" w:history="1">
              <w:r w:rsidR="007400D1" w:rsidRPr="002C1E65">
                <w:rPr>
                  <w:rStyle w:val="Hyperlink"/>
                  <w:szCs w:val="20"/>
                  <w:lang w:eastAsia="en-US"/>
                </w:rPr>
                <w:t>refer note 2</w:t>
              </w:r>
            </w:hyperlink>
          </w:p>
        </w:tc>
        <w:tc>
          <w:tcPr>
            <w:tcW w:w="857" w:type="pct"/>
          </w:tcPr>
          <w:p w14:paraId="751D9674" w14:textId="5BA99A6F" w:rsidR="001E6582" w:rsidRPr="002C1E65" w:rsidRDefault="001E6582" w:rsidP="007E1EE3">
            <w:pPr>
              <w:pStyle w:val="TableBodyText"/>
              <w:jc w:val="right"/>
              <w:rPr>
                <w:rStyle w:val="Bold"/>
                <w:szCs w:val="20"/>
              </w:rPr>
            </w:pPr>
            <w:r w:rsidRPr="002C1E65">
              <w:rPr>
                <w:rStyle w:val="Bold"/>
                <w:szCs w:val="20"/>
              </w:rPr>
              <w:t>248,786</w:t>
            </w:r>
          </w:p>
        </w:tc>
        <w:tc>
          <w:tcPr>
            <w:tcW w:w="810" w:type="pct"/>
          </w:tcPr>
          <w:p w14:paraId="0B21DB1A" w14:textId="082AEAF8" w:rsidR="001E6582" w:rsidRPr="002C1E65" w:rsidRDefault="001E6582" w:rsidP="007E1EE3">
            <w:pPr>
              <w:pStyle w:val="TableBodyText"/>
              <w:jc w:val="right"/>
              <w:rPr>
                <w:rStyle w:val="Bold"/>
                <w:szCs w:val="20"/>
              </w:rPr>
            </w:pPr>
            <w:r w:rsidRPr="002C1E65">
              <w:rPr>
                <w:rStyle w:val="Bold"/>
                <w:szCs w:val="20"/>
              </w:rPr>
              <w:t>219,880</w:t>
            </w:r>
          </w:p>
        </w:tc>
        <w:tc>
          <w:tcPr>
            <w:tcW w:w="834" w:type="pct"/>
          </w:tcPr>
          <w:p w14:paraId="2CDF364F" w14:textId="7CFC16E0" w:rsidR="001E6582" w:rsidRPr="002C1E65" w:rsidRDefault="001E6582" w:rsidP="007E1EE3">
            <w:pPr>
              <w:pStyle w:val="TableBodyText"/>
              <w:jc w:val="right"/>
              <w:rPr>
                <w:rStyle w:val="Bold"/>
                <w:szCs w:val="20"/>
              </w:rPr>
            </w:pPr>
            <w:r w:rsidRPr="002C1E65">
              <w:rPr>
                <w:rStyle w:val="Bold"/>
                <w:szCs w:val="20"/>
              </w:rPr>
              <w:t>468,666</w:t>
            </w:r>
          </w:p>
        </w:tc>
        <w:tc>
          <w:tcPr>
            <w:tcW w:w="633" w:type="pct"/>
          </w:tcPr>
          <w:p w14:paraId="5BB5E187" w14:textId="77777777" w:rsidR="001E6582" w:rsidRPr="002C1E65" w:rsidRDefault="001E6582" w:rsidP="007E1EE3">
            <w:pPr>
              <w:pStyle w:val="TableBodyText"/>
              <w:jc w:val="right"/>
              <w:rPr>
                <w:rStyle w:val="Bold"/>
                <w:szCs w:val="20"/>
              </w:rPr>
            </w:pPr>
            <w:r w:rsidRPr="002C1E65">
              <w:rPr>
                <w:rStyle w:val="Bold"/>
                <w:szCs w:val="20"/>
              </w:rPr>
              <w:t>8.3%</w:t>
            </w:r>
          </w:p>
          <w:p w14:paraId="0A334194" w14:textId="482434B1" w:rsidR="007400D1" w:rsidRPr="002C1E65" w:rsidRDefault="00926282" w:rsidP="007E1EE3">
            <w:pPr>
              <w:pStyle w:val="TableBodyText"/>
              <w:jc w:val="right"/>
              <w:rPr>
                <w:szCs w:val="20"/>
                <w:lang w:eastAsia="en-US"/>
              </w:rPr>
            </w:pPr>
            <w:hyperlink w:anchor="Note3Table5" w:history="1">
              <w:r w:rsidR="007400D1" w:rsidRPr="002C1E65">
                <w:rPr>
                  <w:rStyle w:val="Hyperlink"/>
                  <w:szCs w:val="20"/>
                  <w:lang w:eastAsia="en-US"/>
                </w:rPr>
                <w:t>refer note 3</w:t>
              </w:r>
            </w:hyperlink>
          </w:p>
        </w:tc>
      </w:tr>
      <w:tr w:rsidR="007400D1" w:rsidRPr="002C1E65" w14:paraId="7EBA5418" w14:textId="77777777" w:rsidTr="007E1EE3">
        <w:tc>
          <w:tcPr>
            <w:tcW w:w="1007" w:type="pct"/>
          </w:tcPr>
          <w:p w14:paraId="2946C96A" w14:textId="091DB260" w:rsidR="001E6582" w:rsidRPr="002C1E65" w:rsidRDefault="001E6582" w:rsidP="00286036">
            <w:pPr>
              <w:pStyle w:val="TableBodyText"/>
              <w:rPr>
                <w:szCs w:val="20"/>
                <w:lang w:eastAsia="en-US"/>
              </w:rPr>
            </w:pPr>
            <w:r w:rsidRPr="002C1E65">
              <w:rPr>
                <w:szCs w:val="20"/>
                <w:lang w:eastAsia="en-US"/>
              </w:rPr>
              <w:t>Carbon offsets (self-generated) retired</w:t>
            </w:r>
          </w:p>
        </w:tc>
        <w:tc>
          <w:tcPr>
            <w:tcW w:w="859" w:type="pct"/>
          </w:tcPr>
          <w:p w14:paraId="1BA9AF4B" w14:textId="48FC5009" w:rsidR="001E6582" w:rsidRPr="002C1E65" w:rsidRDefault="001E6582" w:rsidP="007E1EE3">
            <w:pPr>
              <w:pStyle w:val="TableBodyText"/>
              <w:jc w:val="right"/>
              <w:rPr>
                <w:szCs w:val="20"/>
                <w:lang w:eastAsia="en-US"/>
              </w:rPr>
            </w:pPr>
            <w:r w:rsidRPr="002C1E65">
              <w:rPr>
                <w:szCs w:val="20"/>
                <w:lang w:eastAsia="en-US"/>
              </w:rPr>
              <w:t>N/A</w:t>
            </w:r>
          </w:p>
        </w:tc>
        <w:tc>
          <w:tcPr>
            <w:tcW w:w="857" w:type="pct"/>
          </w:tcPr>
          <w:p w14:paraId="57B6842C" w14:textId="129739E5" w:rsidR="001E6582" w:rsidRPr="002C1E65" w:rsidRDefault="001E6582" w:rsidP="007E1EE3">
            <w:pPr>
              <w:pStyle w:val="TableBodyText"/>
              <w:jc w:val="right"/>
              <w:rPr>
                <w:szCs w:val="20"/>
                <w:lang w:eastAsia="en-US"/>
              </w:rPr>
            </w:pPr>
            <w:r w:rsidRPr="002C1E65">
              <w:rPr>
                <w:szCs w:val="20"/>
                <w:lang w:eastAsia="en-US"/>
              </w:rPr>
              <w:t>0</w:t>
            </w:r>
          </w:p>
        </w:tc>
        <w:tc>
          <w:tcPr>
            <w:tcW w:w="810" w:type="pct"/>
          </w:tcPr>
          <w:p w14:paraId="0FF9611B" w14:textId="4E94CAC0" w:rsidR="001E6582" w:rsidRPr="002C1E65" w:rsidRDefault="001E6582" w:rsidP="007E1EE3">
            <w:pPr>
              <w:pStyle w:val="TableBodyText"/>
              <w:jc w:val="right"/>
              <w:rPr>
                <w:szCs w:val="20"/>
                <w:lang w:eastAsia="en-US"/>
              </w:rPr>
            </w:pPr>
            <w:r w:rsidRPr="002C1E65">
              <w:rPr>
                <w:szCs w:val="20"/>
                <w:lang w:eastAsia="en-US"/>
              </w:rPr>
              <w:t>0</w:t>
            </w:r>
          </w:p>
        </w:tc>
        <w:tc>
          <w:tcPr>
            <w:tcW w:w="834" w:type="pct"/>
          </w:tcPr>
          <w:p w14:paraId="6D0F0978" w14:textId="3D33094F" w:rsidR="001E6582" w:rsidRPr="002C1E65" w:rsidRDefault="001E6582" w:rsidP="007E1EE3">
            <w:pPr>
              <w:pStyle w:val="TableBodyText"/>
              <w:jc w:val="right"/>
              <w:rPr>
                <w:szCs w:val="20"/>
                <w:lang w:eastAsia="en-US"/>
              </w:rPr>
            </w:pPr>
            <w:r w:rsidRPr="002C1E65">
              <w:rPr>
                <w:szCs w:val="20"/>
                <w:lang w:eastAsia="en-US"/>
              </w:rPr>
              <w:t>0</w:t>
            </w:r>
          </w:p>
        </w:tc>
        <w:tc>
          <w:tcPr>
            <w:tcW w:w="633" w:type="pct"/>
          </w:tcPr>
          <w:p w14:paraId="74EB376D" w14:textId="18938070" w:rsidR="001E6582" w:rsidRPr="002C1E65" w:rsidRDefault="001E6582" w:rsidP="007E1EE3">
            <w:pPr>
              <w:pStyle w:val="TableBodyText"/>
              <w:jc w:val="right"/>
              <w:rPr>
                <w:szCs w:val="20"/>
                <w:lang w:eastAsia="en-US"/>
              </w:rPr>
            </w:pPr>
            <w:r w:rsidRPr="002C1E65">
              <w:rPr>
                <w:szCs w:val="20"/>
                <w:lang w:eastAsia="en-US"/>
              </w:rPr>
              <w:t>N/A</w:t>
            </w:r>
          </w:p>
        </w:tc>
      </w:tr>
      <w:tr w:rsidR="007400D1" w:rsidRPr="002C1E65" w14:paraId="0E0849A0" w14:textId="77777777" w:rsidTr="007E1EE3">
        <w:tc>
          <w:tcPr>
            <w:tcW w:w="1007" w:type="pct"/>
          </w:tcPr>
          <w:p w14:paraId="1002EDC6" w14:textId="0F88EBAF" w:rsidR="001E6582" w:rsidRPr="002C1E65" w:rsidRDefault="001E6582" w:rsidP="00286036">
            <w:pPr>
              <w:pStyle w:val="TableBodyText"/>
              <w:rPr>
                <w:szCs w:val="20"/>
                <w:lang w:eastAsia="en-US"/>
              </w:rPr>
            </w:pPr>
            <w:r w:rsidRPr="002C1E65">
              <w:rPr>
                <w:szCs w:val="20"/>
                <w:lang w:eastAsia="en-US"/>
              </w:rPr>
              <w:t>Carbon offsets (other) retired</w:t>
            </w:r>
          </w:p>
        </w:tc>
        <w:tc>
          <w:tcPr>
            <w:tcW w:w="859" w:type="pct"/>
          </w:tcPr>
          <w:p w14:paraId="5B688DC2" w14:textId="38D5D9B0" w:rsidR="001E6582" w:rsidRPr="002C1E65" w:rsidRDefault="001E6582" w:rsidP="007E1EE3">
            <w:pPr>
              <w:pStyle w:val="TableBodyText"/>
              <w:jc w:val="right"/>
              <w:rPr>
                <w:szCs w:val="20"/>
                <w:lang w:eastAsia="en-US"/>
              </w:rPr>
            </w:pPr>
            <w:r w:rsidRPr="002C1E65">
              <w:rPr>
                <w:szCs w:val="20"/>
                <w:lang w:eastAsia="en-US"/>
              </w:rPr>
              <w:t>N/A</w:t>
            </w:r>
          </w:p>
        </w:tc>
        <w:tc>
          <w:tcPr>
            <w:tcW w:w="857" w:type="pct"/>
          </w:tcPr>
          <w:p w14:paraId="55133A98" w14:textId="7F0CF838" w:rsidR="001E6582" w:rsidRPr="002C1E65" w:rsidRDefault="001E6582" w:rsidP="007E1EE3">
            <w:pPr>
              <w:pStyle w:val="TableBodyText"/>
              <w:jc w:val="right"/>
              <w:rPr>
                <w:szCs w:val="20"/>
                <w:lang w:eastAsia="en-US"/>
              </w:rPr>
            </w:pPr>
            <w:r w:rsidRPr="002C1E65">
              <w:rPr>
                <w:szCs w:val="20"/>
                <w:lang w:eastAsia="en-US"/>
              </w:rPr>
              <w:t>0</w:t>
            </w:r>
          </w:p>
        </w:tc>
        <w:tc>
          <w:tcPr>
            <w:tcW w:w="810" w:type="pct"/>
          </w:tcPr>
          <w:p w14:paraId="5DBBC15E" w14:textId="2F9B80E5" w:rsidR="001E6582" w:rsidRPr="002C1E65" w:rsidRDefault="001E6582" w:rsidP="007E1EE3">
            <w:pPr>
              <w:pStyle w:val="TableBodyText"/>
              <w:jc w:val="right"/>
              <w:rPr>
                <w:szCs w:val="20"/>
                <w:lang w:eastAsia="en-US"/>
              </w:rPr>
            </w:pPr>
            <w:r w:rsidRPr="002C1E65">
              <w:rPr>
                <w:szCs w:val="20"/>
                <w:lang w:eastAsia="en-US"/>
              </w:rPr>
              <w:t>0</w:t>
            </w:r>
          </w:p>
        </w:tc>
        <w:tc>
          <w:tcPr>
            <w:tcW w:w="834" w:type="pct"/>
          </w:tcPr>
          <w:p w14:paraId="06F61F6C" w14:textId="7BAC911A" w:rsidR="001E6582" w:rsidRPr="002C1E65" w:rsidRDefault="001E6582" w:rsidP="007E1EE3">
            <w:pPr>
              <w:pStyle w:val="TableBodyText"/>
              <w:jc w:val="right"/>
              <w:rPr>
                <w:szCs w:val="20"/>
                <w:lang w:eastAsia="en-US"/>
              </w:rPr>
            </w:pPr>
            <w:r w:rsidRPr="002C1E65">
              <w:rPr>
                <w:szCs w:val="20"/>
                <w:lang w:eastAsia="en-US"/>
              </w:rPr>
              <w:t>0</w:t>
            </w:r>
          </w:p>
        </w:tc>
        <w:tc>
          <w:tcPr>
            <w:tcW w:w="633" w:type="pct"/>
          </w:tcPr>
          <w:p w14:paraId="2B2037C5" w14:textId="089E6C9A" w:rsidR="001E6582" w:rsidRPr="002C1E65" w:rsidRDefault="001E6582" w:rsidP="007E1EE3">
            <w:pPr>
              <w:pStyle w:val="TableBodyText"/>
              <w:jc w:val="right"/>
              <w:rPr>
                <w:szCs w:val="20"/>
                <w:lang w:eastAsia="en-US"/>
              </w:rPr>
            </w:pPr>
            <w:r w:rsidRPr="002C1E65">
              <w:rPr>
                <w:szCs w:val="20"/>
                <w:lang w:eastAsia="en-US"/>
              </w:rPr>
              <w:t>N/A</w:t>
            </w:r>
          </w:p>
        </w:tc>
      </w:tr>
      <w:tr w:rsidR="007400D1" w:rsidRPr="002C1E65" w14:paraId="2172BF6F" w14:textId="77777777" w:rsidTr="007E1EE3">
        <w:tc>
          <w:tcPr>
            <w:tcW w:w="1007" w:type="pct"/>
          </w:tcPr>
          <w:p w14:paraId="22B490C7" w14:textId="759C47B0" w:rsidR="001E6582" w:rsidRPr="002C1E65" w:rsidRDefault="001E6582" w:rsidP="00286036">
            <w:pPr>
              <w:pStyle w:val="TableBodyText"/>
              <w:rPr>
                <w:rStyle w:val="Bold"/>
                <w:szCs w:val="20"/>
              </w:rPr>
            </w:pPr>
            <w:r w:rsidRPr="002C1E65">
              <w:rPr>
                <w:rStyle w:val="Bold"/>
                <w:szCs w:val="20"/>
              </w:rPr>
              <w:t>Total Offsets (b)</w:t>
            </w:r>
          </w:p>
        </w:tc>
        <w:tc>
          <w:tcPr>
            <w:tcW w:w="859" w:type="pct"/>
          </w:tcPr>
          <w:p w14:paraId="0422DC24" w14:textId="6E0AEAFB" w:rsidR="001E6582" w:rsidRPr="002C1E65" w:rsidRDefault="001E6582" w:rsidP="007E1EE3">
            <w:pPr>
              <w:pStyle w:val="TableBodyText"/>
              <w:jc w:val="right"/>
              <w:rPr>
                <w:rStyle w:val="Bold"/>
                <w:szCs w:val="20"/>
              </w:rPr>
            </w:pPr>
            <w:r w:rsidRPr="002C1E65">
              <w:rPr>
                <w:rStyle w:val="Bold"/>
                <w:szCs w:val="20"/>
              </w:rPr>
              <w:t>N/A</w:t>
            </w:r>
          </w:p>
        </w:tc>
        <w:tc>
          <w:tcPr>
            <w:tcW w:w="857" w:type="pct"/>
          </w:tcPr>
          <w:p w14:paraId="48640D3F" w14:textId="33E5901A" w:rsidR="001E6582" w:rsidRPr="002C1E65" w:rsidRDefault="001E6582" w:rsidP="007E1EE3">
            <w:pPr>
              <w:pStyle w:val="TableBodyText"/>
              <w:jc w:val="right"/>
              <w:rPr>
                <w:rStyle w:val="Bold"/>
                <w:szCs w:val="20"/>
              </w:rPr>
            </w:pPr>
            <w:r w:rsidRPr="002C1E65">
              <w:rPr>
                <w:rStyle w:val="Bold"/>
                <w:szCs w:val="20"/>
              </w:rPr>
              <w:t>0</w:t>
            </w:r>
          </w:p>
        </w:tc>
        <w:tc>
          <w:tcPr>
            <w:tcW w:w="810" w:type="pct"/>
          </w:tcPr>
          <w:p w14:paraId="415CFE42" w14:textId="08D60519" w:rsidR="001E6582" w:rsidRPr="002C1E65" w:rsidRDefault="001E6582" w:rsidP="007E1EE3">
            <w:pPr>
              <w:pStyle w:val="TableBodyText"/>
              <w:jc w:val="right"/>
              <w:rPr>
                <w:rStyle w:val="Bold"/>
                <w:szCs w:val="20"/>
              </w:rPr>
            </w:pPr>
            <w:r w:rsidRPr="002C1E65">
              <w:rPr>
                <w:rStyle w:val="Bold"/>
                <w:szCs w:val="20"/>
              </w:rPr>
              <w:t>0</w:t>
            </w:r>
          </w:p>
        </w:tc>
        <w:tc>
          <w:tcPr>
            <w:tcW w:w="834" w:type="pct"/>
          </w:tcPr>
          <w:p w14:paraId="2792F1AF" w14:textId="158E46C8" w:rsidR="001E6582" w:rsidRPr="002C1E65" w:rsidRDefault="001E6582" w:rsidP="007E1EE3">
            <w:pPr>
              <w:pStyle w:val="TableBodyText"/>
              <w:jc w:val="right"/>
              <w:rPr>
                <w:rStyle w:val="Bold"/>
                <w:szCs w:val="20"/>
              </w:rPr>
            </w:pPr>
            <w:r w:rsidRPr="002C1E65">
              <w:rPr>
                <w:rStyle w:val="Bold"/>
                <w:szCs w:val="20"/>
              </w:rPr>
              <w:t>0</w:t>
            </w:r>
          </w:p>
        </w:tc>
        <w:tc>
          <w:tcPr>
            <w:tcW w:w="633" w:type="pct"/>
          </w:tcPr>
          <w:p w14:paraId="4B4E99E5" w14:textId="576ABE1C" w:rsidR="001E6582" w:rsidRPr="002C1E65" w:rsidRDefault="001E6582" w:rsidP="007E1EE3">
            <w:pPr>
              <w:pStyle w:val="TableBodyText"/>
              <w:jc w:val="right"/>
              <w:rPr>
                <w:rStyle w:val="Bold"/>
                <w:szCs w:val="20"/>
              </w:rPr>
            </w:pPr>
            <w:r w:rsidRPr="002C1E65">
              <w:rPr>
                <w:rStyle w:val="Bold"/>
                <w:szCs w:val="20"/>
              </w:rPr>
              <w:t>N/A</w:t>
            </w:r>
          </w:p>
        </w:tc>
      </w:tr>
      <w:tr w:rsidR="007400D1" w:rsidRPr="002C1E65" w14:paraId="2D2872D7" w14:textId="77777777" w:rsidTr="007E1EE3">
        <w:tc>
          <w:tcPr>
            <w:tcW w:w="1007" w:type="pct"/>
          </w:tcPr>
          <w:p w14:paraId="7C47ED07" w14:textId="6A5E5F77" w:rsidR="001E6582" w:rsidRPr="002C1E65" w:rsidRDefault="001E6582" w:rsidP="00286036">
            <w:pPr>
              <w:pStyle w:val="TableBodyText"/>
              <w:rPr>
                <w:rStyle w:val="Bold"/>
                <w:szCs w:val="20"/>
              </w:rPr>
            </w:pPr>
            <w:r w:rsidRPr="002C1E65">
              <w:rPr>
                <w:rStyle w:val="Bold"/>
                <w:szCs w:val="20"/>
              </w:rPr>
              <w:t xml:space="preserve">Net emissions </w:t>
            </w:r>
            <w:r w:rsidR="00286036" w:rsidRPr="002C1E65">
              <w:rPr>
                <w:rStyle w:val="Bold"/>
                <w:szCs w:val="20"/>
              </w:rPr>
              <w:br/>
            </w:r>
            <w:r w:rsidRPr="002C1E65">
              <w:rPr>
                <w:rStyle w:val="Bold"/>
                <w:szCs w:val="20"/>
              </w:rPr>
              <w:t>(a – b)</w:t>
            </w:r>
          </w:p>
        </w:tc>
        <w:tc>
          <w:tcPr>
            <w:tcW w:w="859" w:type="pct"/>
          </w:tcPr>
          <w:p w14:paraId="523C603B" w14:textId="77777777" w:rsidR="001E6582" w:rsidRPr="002C1E65" w:rsidRDefault="001E6582" w:rsidP="007E1EE3">
            <w:pPr>
              <w:pStyle w:val="TableBodyText"/>
              <w:jc w:val="right"/>
              <w:rPr>
                <w:rStyle w:val="Bold"/>
                <w:szCs w:val="20"/>
              </w:rPr>
            </w:pPr>
            <w:r w:rsidRPr="002C1E65">
              <w:rPr>
                <w:rStyle w:val="Bold"/>
                <w:szCs w:val="20"/>
              </w:rPr>
              <w:t>430,000</w:t>
            </w:r>
          </w:p>
          <w:p w14:paraId="6E5D1C14" w14:textId="30064929" w:rsidR="007400D1" w:rsidRPr="002C1E65" w:rsidRDefault="00926282" w:rsidP="007E1EE3">
            <w:pPr>
              <w:pStyle w:val="TableBodyText"/>
              <w:jc w:val="right"/>
              <w:rPr>
                <w:szCs w:val="20"/>
                <w:lang w:eastAsia="en-US"/>
              </w:rPr>
            </w:pPr>
            <w:hyperlink w:anchor="Note2Table5" w:history="1">
              <w:r w:rsidR="007400D1" w:rsidRPr="002C1E65">
                <w:rPr>
                  <w:rStyle w:val="Hyperlink"/>
                  <w:szCs w:val="20"/>
                  <w:lang w:eastAsia="en-US"/>
                </w:rPr>
                <w:t>refer note 2</w:t>
              </w:r>
            </w:hyperlink>
          </w:p>
        </w:tc>
        <w:tc>
          <w:tcPr>
            <w:tcW w:w="857" w:type="pct"/>
          </w:tcPr>
          <w:p w14:paraId="050B12E5" w14:textId="1BE87A02" w:rsidR="001E6582" w:rsidRPr="002C1E65" w:rsidRDefault="001E6582" w:rsidP="007E1EE3">
            <w:pPr>
              <w:pStyle w:val="TableBodyText"/>
              <w:jc w:val="right"/>
              <w:rPr>
                <w:rStyle w:val="Bold"/>
                <w:szCs w:val="20"/>
              </w:rPr>
            </w:pPr>
            <w:r w:rsidRPr="002C1E65">
              <w:rPr>
                <w:rStyle w:val="Bold"/>
                <w:szCs w:val="20"/>
              </w:rPr>
              <w:t>248,786</w:t>
            </w:r>
          </w:p>
        </w:tc>
        <w:tc>
          <w:tcPr>
            <w:tcW w:w="810" w:type="pct"/>
          </w:tcPr>
          <w:p w14:paraId="14E096C3" w14:textId="3B5CF1FE" w:rsidR="001E6582" w:rsidRPr="002C1E65" w:rsidRDefault="001E6582" w:rsidP="007E1EE3">
            <w:pPr>
              <w:pStyle w:val="TableBodyText"/>
              <w:jc w:val="right"/>
              <w:rPr>
                <w:rStyle w:val="Bold"/>
                <w:szCs w:val="20"/>
              </w:rPr>
            </w:pPr>
            <w:r w:rsidRPr="002C1E65">
              <w:rPr>
                <w:rStyle w:val="Bold"/>
                <w:szCs w:val="20"/>
              </w:rPr>
              <w:t>219,880</w:t>
            </w:r>
          </w:p>
        </w:tc>
        <w:tc>
          <w:tcPr>
            <w:tcW w:w="834" w:type="pct"/>
          </w:tcPr>
          <w:p w14:paraId="070479D4" w14:textId="207D8A8E" w:rsidR="001E6582" w:rsidRPr="002C1E65" w:rsidRDefault="001E6582" w:rsidP="007E1EE3">
            <w:pPr>
              <w:pStyle w:val="TableBodyText"/>
              <w:jc w:val="right"/>
              <w:rPr>
                <w:rStyle w:val="Bold"/>
                <w:szCs w:val="20"/>
              </w:rPr>
            </w:pPr>
            <w:r w:rsidRPr="002C1E65">
              <w:rPr>
                <w:rStyle w:val="Bold"/>
                <w:szCs w:val="20"/>
              </w:rPr>
              <w:t>468,666</w:t>
            </w:r>
          </w:p>
        </w:tc>
        <w:tc>
          <w:tcPr>
            <w:tcW w:w="633" w:type="pct"/>
          </w:tcPr>
          <w:p w14:paraId="17DECE52" w14:textId="77777777" w:rsidR="001E6582" w:rsidRPr="002C1E65" w:rsidRDefault="001E6582" w:rsidP="007E1EE3">
            <w:pPr>
              <w:pStyle w:val="TableBodyText"/>
              <w:jc w:val="right"/>
              <w:rPr>
                <w:rStyle w:val="Bold"/>
                <w:szCs w:val="20"/>
              </w:rPr>
            </w:pPr>
            <w:r w:rsidRPr="002C1E65">
              <w:rPr>
                <w:rStyle w:val="Bold"/>
                <w:szCs w:val="20"/>
              </w:rPr>
              <w:t>8.3%</w:t>
            </w:r>
          </w:p>
          <w:p w14:paraId="51C27C54" w14:textId="7C318215" w:rsidR="007400D1" w:rsidRPr="002C1E65" w:rsidRDefault="00926282" w:rsidP="007E1EE3">
            <w:pPr>
              <w:pStyle w:val="TableBodyText"/>
              <w:jc w:val="right"/>
              <w:rPr>
                <w:szCs w:val="20"/>
                <w:lang w:eastAsia="en-US"/>
              </w:rPr>
            </w:pPr>
            <w:hyperlink w:anchor="Note3Table5" w:history="1">
              <w:r w:rsidR="007400D1" w:rsidRPr="002C1E65">
                <w:rPr>
                  <w:rStyle w:val="Hyperlink"/>
                  <w:szCs w:val="20"/>
                  <w:lang w:eastAsia="en-US"/>
                </w:rPr>
                <w:t>refer note 3</w:t>
              </w:r>
            </w:hyperlink>
          </w:p>
        </w:tc>
      </w:tr>
    </w:tbl>
    <w:p w14:paraId="02FF7E01" w14:textId="24DDD926" w:rsidR="007400D1" w:rsidRDefault="007400D1" w:rsidP="007400D1">
      <w:pPr>
        <w:pStyle w:val="BodyText"/>
        <w:rPr>
          <w:lang w:eastAsia="en-US"/>
        </w:rPr>
      </w:pPr>
      <w:bookmarkStart w:id="443" w:name="Note1Table5"/>
      <w:r>
        <w:rPr>
          <w:lang w:eastAsia="en-US"/>
        </w:rPr>
        <w:t>Note 1</w:t>
      </w:r>
      <w:bookmarkEnd w:id="443"/>
      <w:r>
        <w:rPr>
          <w:lang w:eastAsia="en-US"/>
        </w:rPr>
        <w:t>: Sum of scope 1 and 2 emissions.</w:t>
      </w:r>
    </w:p>
    <w:p w14:paraId="06E0B2CE" w14:textId="70B9C270" w:rsidR="007400D1" w:rsidRDefault="007400D1" w:rsidP="007400D1">
      <w:pPr>
        <w:pStyle w:val="BodyText"/>
        <w:rPr>
          <w:lang w:eastAsia="en-US"/>
        </w:rPr>
      </w:pPr>
      <w:bookmarkStart w:id="444" w:name="Note2Table5"/>
      <w:r>
        <w:rPr>
          <w:lang w:eastAsia="en-US"/>
        </w:rPr>
        <w:t>Note 2</w:t>
      </w:r>
      <w:bookmarkEnd w:id="444"/>
      <w:r>
        <w:rPr>
          <w:lang w:eastAsia="en-US"/>
        </w:rPr>
        <w:t>: From Melbourne Water Corporate Plan 2020-21 to 2024-25.</w:t>
      </w:r>
    </w:p>
    <w:p w14:paraId="7E60ADBB" w14:textId="14C9DEA5" w:rsidR="008312D6" w:rsidRDefault="007400D1" w:rsidP="007400D1">
      <w:pPr>
        <w:pStyle w:val="BodyText"/>
        <w:rPr>
          <w:lang w:eastAsia="en-US"/>
        </w:rPr>
      </w:pPr>
      <w:bookmarkStart w:id="445" w:name="Note3Table5"/>
      <w:r>
        <w:rPr>
          <w:lang w:eastAsia="en-US"/>
        </w:rPr>
        <w:t>Note 3</w:t>
      </w:r>
      <w:bookmarkEnd w:id="445"/>
      <w:r>
        <w:rPr>
          <w:lang w:eastAsia="en-US"/>
        </w:rPr>
        <w:t>: Melbourne Water is committed to emissions reduction and is currently pursuing a range of emission reduction projects.</w:t>
      </w:r>
    </w:p>
    <w:p w14:paraId="23527F78" w14:textId="4D3F0BBF" w:rsidR="00541945" w:rsidRDefault="00541945" w:rsidP="00541945">
      <w:pPr>
        <w:pStyle w:val="Heading3"/>
      </w:pPr>
      <w:bookmarkStart w:id="446" w:name="_Toc89723043"/>
      <w:bookmarkStart w:id="447" w:name="_Toc90325986"/>
      <w:bookmarkStart w:id="448" w:name="RenewableEnergy"/>
      <w:bookmarkStart w:id="449" w:name="_Toc93659392"/>
      <w:r>
        <w:t>Renewable energy</w:t>
      </w:r>
      <w:bookmarkEnd w:id="446"/>
      <w:bookmarkEnd w:id="447"/>
      <w:bookmarkEnd w:id="449"/>
    </w:p>
    <w:bookmarkEnd w:id="448"/>
    <w:p w14:paraId="79A32D62" w14:textId="47743B3D" w:rsidR="00541945" w:rsidRDefault="00541945" w:rsidP="00541945">
      <w:pPr>
        <w:pStyle w:val="BodyText"/>
        <w:rPr>
          <w:lang w:eastAsia="en-US"/>
        </w:rPr>
      </w:pPr>
      <w:r>
        <w:rPr>
          <w:lang w:eastAsia="en-US"/>
        </w:rPr>
        <w:t>Melbourne Water has an extensive portfolio of onsite renewable energy generation facilities, throughout our water system and wastewater treatment plants.</w:t>
      </w:r>
    </w:p>
    <w:p w14:paraId="0410F7CD" w14:textId="77777777" w:rsidR="00541945" w:rsidRDefault="00541945" w:rsidP="00541945">
      <w:pPr>
        <w:pStyle w:val="Heading4"/>
      </w:pPr>
      <w:r>
        <w:t>New solar farms</w:t>
      </w:r>
    </w:p>
    <w:p w14:paraId="69AD0823" w14:textId="2F8C2EC5" w:rsidR="00541945" w:rsidRDefault="00541945" w:rsidP="00541945">
      <w:pPr>
        <w:pStyle w:val="BodyText"/>
        <w:rPr>
          <w:lang w:eastAsia="en-US"/>
        </w:rPr>
      </w:pPr>
      <w:r>
        <w:rPr>
          <w:lang w:eastAsia="en-US"/>
        </w:rPr>
        <w:t xml:space="preserve">Along with hydropower and bioelectricity, solar is an exciting opportunity to expand Melbourne Water’s portfolio of renewable energy generation. In November 2020 Melbourne Water awarded Beon Energy the construction contract for a new 19 megawatt solar farm at the </w:t>
      </w:r>
      <w:r w:rsidR="00A52F94">
        <w:rPr>
          <w:lang w:eastAsia="en-US"/>
        </w:rPr>
        <w:t>Eastern Treatment Plant</w:t>
      </w:r>
      <w:r>
        <w:rPr>
          <w:lang w:eastAsia="en-US"/>
        </w:rPr>
        <w:t xml:space="preserve"> in Bangholme following a tender application process. An additional 6 megawatt solar farm is planned for Winneke in September 2021. These solar projects will increase our portfolio of renewable energy generation by an expected 44,600 megawatt hours of power per year, lowering our carbon emissions while enhancing affordability for our customers and the community.</w:t>
      </w:r>
    </w:p>
    <w:p w14:paraId="2E1E274B" w14:textId="77777777" w:rsidR="00541945" w:rsidRDefault="00541945" w:rsidP="00541945">
      <w:pPr>
        <w:pStyle w:val="Heading4"/>
      </w:pPr>
      <w:r>
        <w:lastRenderedPageBreak/>
        <w:t>Mini-hydro power stations</w:t>
      </w:r>
    </w:p>
    <w:p w14:paraId="0FE285F8" w14:textId="67924A9D" w:rsidR="00541945" w:rsidRDefault="00541945" w:rsidP="00541945">
      <w:pPr>
        <w:pStyle w:val="BodyText"/>
        <w:rPr>
          <w:lang w:eastAsia="en-US"/>
        </w:rPr>
      </w:pPr>
      <w:r>
        <w:rPr>
          <w:lang w:eastAsia="en-US"/>
        </w:rPr>
        <w:t>Melbourne Water currently generates almost 70,000 megawatt hours of power per year via hydroelectric generation – enough to power approximately 14,100 homes. We are preventing over 75,800 tonnes of carbon dioxide emissions, which is equivalent to taking more than 29,200 cars off the road.</w:t>
      </w:r>
    </w:p>
    <w:p w14:paraId="3DB4857F" w14:textId="7B51F12A" w:rsidR="008312D6" w:rsidRDefault="00541945" w:rsidP="00541945">
      <w:pPr>
        <w:pStyle w:val="BodyText"/>
        <w:rPr>
          <w:lang w:eastAsia="en-US"/>
        </w:rPr>
      </w:pPr>
      <w:r>
        <w:rPr>
          <w:lang w:eastAsia="en-US"/>
        </w:rPr>
        <w:t>We are expanding our generation of hydroelectricity through our water transfer system with the commencement of construction of the St Albans Mini-Hydro. The mini power station will convert energy from the pressure and flow of water going into the reservoir to electricity, which will be fed back into the power grid and used to reduce our operating costs. O’Shannassy and Upper Yarra mini-hydros are progressing with design and are scheduled for construction in 2022. These three additional mini-hydros will collectively produce, on average, 7100 megawatt hours of electricity each year.</w:t>
      </w:r>
    </w:p>
    <w:p w14:paraId="7A08326F" w14:textId="7F05DB9A" w:rsidR="00541945" w:rsidRDefault="00541945" w:rsidP="00541945">
      <w:pPr>
        <w:pStyle w:val="Heading4"/>
      </w:pPr>
      <w:r>
        <w:t>Optimising energy management</w:t>
      </w:r>
    </w:p>
    <w:p w14:paraId="4F3FA761" w14:textId="71AA2671" w:rsidR="00541945" w:rsidRDefault="00541945" w:rsidP="00541945">
      <w:pPr>
        <w:pStyle w:val="BodyText"/>
        <w:rPr>
          <w:lang w:eastAsia="en-US"/>
        </w:rPr>
      </w:pPr>
      <w:r>
        <w:rPr>
          <w:lang w:eastAsia="en-US"/>
        </w:rPr>
        <w:t>The rise in home solar generation exported into the electricity</w:t>
      </w:r>
      <w:r w:rsidR="00C07A12">
        <w:rPr>
          <w:lang w:eastAsia="en-US"/>
        </w:rPr>
        <w:t xml:space="preserve"> </w:t>
      </w:r>
      <w:r>
        <w:rPr>
          <w:lang w:eastAsia="en-US"/>
        </w:rPr>
        <w:t xml:space="preserve">network is creating a highly variable energy market, and Melbourne Water is exploring opportunities with our </w:t>
      </w:r>
      <w:r w:rsidRPr="00F03998">
        <w:rPr>
          <w:lang w:eastAsia="en-US"/>
        </w:rPr>
        <w:t>energy</w:t>
      </w:r>
      <w:r w:rsidR="00C07A12" w:rsidRPr="00F03998">
        <w:rPr>
          <w:lang w:eastAsia="en-US"/>
        </w:rPr>
        <w:t xml:space="preserve"> </w:t>
      </w:r>
      <w:r w:rsidRPr="00F03998">
        <w:rPr>
          <w:lang w:eastAsia="en-US"/>
        </w:rPr>
        <w:t>retailer to help support better energy grid management</w:t>
      </w:r>
      <w:r w:rsidR="00C07A12" w:rsidRPr="00F03998">
        <w:rPr>
          <w:lang w:eastAsia="en-US"/>
        </w:rPr>
        <w:t xml:space="preserve"> </w:t>
      </w:r>
      <w:r w:rsidRPr="00F03998">
        <w:rPr>
          <w:lang w:eastAsia="en-US"/>
        </w:rPr>
        <w:t>across the greater Melbourne electricity network. Using</w:t>
      </w:r>
      <w:r w:rsidR="00C07A12" w:rsidRPr="00F03998">
        <w:rPr>
          <w:lang w:eastAsia="en-US"/>
        </w:rPr>
        <w:t xml:space="preserve"> </w:t>
      </w:r>
      <w:r w:rsidRPr="00F03998">
        <w:rPr>
          <w:lang w:eastAsia="en-US"/>
        </w:rPr>
        <w:t>Aquadvanced® Energy</w:t>
      </w:r>
      <w:r>
        <w:rPr>
          <w:lang w:eastAsia="en-US"/>
        </w:rPr>
        <w:t xml:space="preserve"> (AAE) software currently deployed</w:t>
      </w:r>
      <w:r w:rsidR="00C07A12">
        <w:rPr>
          <w:lang w:eastAsia="en-US"/>
        </w:rPr>
        <w:t xml:space="preserve"> </w:t>
      </w:r>
      <w:r>
        <w:rPr>
          <w:lang w:eastAsia="en-US"/>
        </w:rPr>
        <w:t>to optimise our water transfer network, we will be working</w:t>
      </w:r>
      <w:r w:rsidR="00C07A12">
        <w:rPr>
          <w:lang w:eastAsia="en-US"/>
        </w:rPr>
        <w:t xml:space="preserve"> </w:t>
      </w:r>
      <w:r>
        <w:rPr>
          <w:lang w:eastAsia="en-US"/>
        </w:rPr>
        <w:t>with our retailer to integrate a variable tariff system. AAE will</w:t>
      </w:r>
      <w:r w:rsidR="00C07A12">
        <w:rPr>
          <w:lang w:eastAsia="en-US"/>
        </w:rPr>
        <w:t xml:space="preserve"> </w:t>
      </w:r>
      <w:r>
        <w:rPr>
          <w:lang w:eastAsia="en-US"/>
        </w:rPr>
        <w:t>respond to the variable tariffs and transfer water in the most</w:t>
      </w:r>
      <w:r w:rsidR="00C07A12">
        <w:rPr>
          <w:lang w:eastAsia="en-US"/>
        </w:rPr>
        <w:t xml:space="preserve"> </w:t>
      </w:r>
      <w:r>
        <w:rPr>
          <w:lang w:eastAsia="en-US"/>
        </w:rPr>
        <w:t>efficient way, enabling us to deliver our services at lower rates</w:t>
      </w:r>
      <w:r w:rsidR="00C07A12">
        <w:rPr>
          <w:lang w:eastAsia="en-US"/>
        </w:rPr>
        <w:t xml:space="preserve"> </w:t>
      </w:r>
      <w:r>
        <w:rPr>
          <w:lang w:eastAsia="en-US"/>
        </w:rPr>
        <w:t>while benefiting the community by not using as much energy</w:t>
      </w:r>
      <w:r w:rsidR="00C07A12">
        <w:rPr>
          <w:lang w:eastAsia="en-US"/>
        </w:rPr>
        <w:t xml:space="preserve"> </w:t>
      </w:r>
      <w:r>
        <w:rPr>
          <w:lang w:eastAsia="en-US"/>
        </w:rPr>
        <w:t>in times of peak demand.</w:t>
      </w:r>
    </w:p>
    <w:p w14:paraId="58051EEF" w14:textId="77777777" w:rsidR="00541945" w:rsidRDefault="00541945" w:rsidP="00C07A12">
      <w:pPr>
        <w:pStyle w:val="Heading3"/>
      </w:pPr>
      <w:bookmarkStart w:id="450" w:name="_Toc89723044"/>
      <w:bookmarkStart w:id="451" w:name="_Toc90325987"/>
      <w:bookmarkStart w:id="452" w:name="_Toc93659393"/>
      <w:r>
        <w:t>Energy consumption</w:t>
      </w:r>
      <w:bookmarkEnd w:id="450"/>
      <w:bookmarkEnd w:id="451"/>
      <w:bookmarkEnd w:id="452"/>
    </w:p>
    <w:p w14:paraId="229F2F13" w14:textId="15F4FBC5" w:rsidR="008312D6" w:rsidRDefault="00541945" w:rsidP="00541945">
      <w:pPr>
        <w:pStyle w:val="BodyText"/>
        <w:rPr>
          <w:lang w:eastAsia="en-US"/>
        </w:rPr>
      </w:pPr>
      <w:r>
        <w:rPr>
          <w:lang w:eastAsia="en-US"/>
        </w:rPr>
        <w:t>Our electricity consumption across our services and offices</w:t>
      </w:r>
      <w:r w:rsidR="00C07A12">
        <w:rPr>
          <w:lang w:eastAsia="en-US"/>
        </w:rPr>
        <w:t xml:space="preserve"> </w:t>
      </w:r>
      <w:r>
        <w:rPr>
          <w:lang w:eastAsia="en-US"/>
        </w:rPr>
        <w:t xml:space="preserve">and depots in megawatt hours (MWh) is set out in </w:t>
      </w:r>
      <w:r w:rsidR="0010793A">
        <w:rPr>
          <w:lang w:eastAsia="en-US"/>
        </w:rPr>
        <w:fldChar w:fldCharType="begin"/>
      </w:r>
      <w:r w:rsidR="0010793A">
        <w:rPr>
          <w:lang w:eastAsia="en-US"/>
        </w:rPr>
        <w:instrText xml:space="preserve"> REF _Ref89644292 \h </w:instrText>
      </w:r>
      <w:r w:rsidR="0010793A">
        <w:rPr>
          <w:lang w:eastAsia="en-US"/>
        </w:rPr>
      </w:r>
      <w:r w:rsidR="0010793A">
        <w:rPr>
          <w:lang w:eastAsia="en-US"/>
        </w:rPr>
        <w:fldChar w:fldCharType="separate"/>
      </w:r>
      <w:r w:rsidR="00472151" w:rsidRPr="00C07A12">
        <w:rPr>
          <w:lang w:eastAsia="en-US"/>
        </w:rPr>
        <w:t xml:space="preserve">Table </w:t>
      </w:r>
      <w:r w:rsidR="00472151">
        <w:rPr>
          <w:noProof/>
          <w:lang w:eastAsia="en-US"/>
        </w:rPr>
        <w:t>6</w:t>
      </w:r>
      <w:r w:rsidR="0010793A">
        <w:rPr>
          <w:lang w:eastAsia="en-US"/>
        </w:rPr>
        <w:fldChar w:fldCharType="end"/>
      </w:r>
      <w:r>
        <w:rPr>
          <w:lang w:eastAsia="en-US"/>
        </w:rPr>
        <w:t>.</w:t>
      </w:r>
      <w:r w:rsidR="00C07A12">
        <w:rPr>
          <w:lang w:eastAsia="en-US"/>
        </w:rPr>
        <w:t xml:space="preserve"> </w:t>
      </w:r>
      <w:r>
        <w:rPr>
          <w:lang w:eastAsia="en-US"/>
        </w:rPr>
        <w:t>We had a 30 per cent reduction in electricity consumption for</w:t>
      </w:r>
      <w:r w:rsidR="00C07A12">
        <w:rPr>
          <w:lang w:eastAsia="en-US"/>
        </w:rPr>
        <w:t xml:space="preserve"> </w:t>
      </w:r>
      <w:r>
        <w:rPr>
          <w:lang w:eastAsia="en-US"/>
        </w:rPr>
        <w:t>water which is mainly attributed to electricity usage in 2019</w:t>
      </w:r>
      <w:r w:rsidR="00C07A12">
        <w:rPr>
          <w:lang w:eastAsia="en-US"/>
        </w:rPr>
        <w:t>-</w:t>
      </w:r>
      <w:r>
        <w:rPr>
          <w:lang w:eastAsia="en-US"/>
        </w:rPr>
        <w:t>20 being</w:t>
      </w:r>
      <w:r w:rsidR="00C07A12">
        <w:rPr>
          <w:lang w:eastAsia="en-US"/>
        </w:rPr>
        <w:t xml:space="preserve"> </w:t>
      </w:r>
      <w:r>
        <w:rPr>
          <w:lang w:eastAsia="en-US"/>
        </w:rPr>
        <w:t>unusually high.</w:t>
      </w:r>
      <w:r w:rsidR="00C07A12">
        <w:rPr>
          <w:lang w:eastAsia="en-US"/>
        </w:rPr>
        <w:t xml:space="preserve"> </w:t>
      </w:r>
      <w:r>
        <w:rPr>
          <w:lang w:eastAsia="en-US"/>
        </w:rPr>
        <w:t>The high usage last</w:t>
      </w:r>
      <w:r w:rsidR="00C07A12">
        <w:rPr>
          <w:lang w:eastAsia="en-US"/>
        </w:rPr>
        <w:t xml:space="preserve"> </w:t>
      </w:r>
      <w:r>
        <w:rPr>
          <w:lang w:eastAsia="en-US"/>
        </w:rPr>
        <w:t>year</w:t>
      </w:r>
      <w:r w:rsidR="00C07A12">
        <w:rPr>
          <w:lang w:eastAsia="en-US"/>
        </w:rPr>
        <w:t xml:space="preserve"> </w:t>
      </w:r>
      <w:r>
        <w:rPr>
          <w:lang w:eastAsia="en-US"/>
        </w:rPr>
        <w:t>was</w:t>
      </w:r>
      <w:r w:rsidR="00C07A12">
        <w:rPr>
          <w:lang w:eastAsia="en-US"/>
        </w:rPr>
        <w:t xml:space="preserve"> </w:t>
      </w:r>
      <w:r>
        <w:rPr>
          <w:lang w:eastAsia="en-US"/>
        </w:rPr>
        <w:t>due</w:t>
      </w:r>
      <w:r w:rsidR="00C07A12">
        <w:rPr>
          <w:lang w:eastAsia="en-US"/>
        </w:rPr>
        <w:t xml:space="preserve"> </w:t>
      </w:r>
      <w:r>
        <w:rPr>
          <w:lang w:eastAsia="en-US"/>
        </w:rPr>
        <w:t>to</w:t>
      </w:r>
      <w:r w:rsidR="00C07A12">
        <w:rPr>
          <w:lang w:eastAsia="en-US"/>
        </w:rPr>
        <w:t xml:space="preserve"> </w:t>
      </w:r>
      <w:r>
        <w:rPr>
          <w:lang w:eastAsia="en-US"/>
        </w:rPr>
        <w:t>additional pumping at</w:t>
      </w:r>
      <w:r w:rsidR="00C07A12">
        <w:rPr>
          <w:lang w:eastAsia="en-US"/>
        </w:rPr>
        <w:t xml:space="preserve"> </w:t>
      </w:r>
      <w:r>
        <w:rPr>
          <w:lang w:eastAsia="en-US"/>
        </w:rPr>
        <w:t>Yering</w:t>
      </w:r>
      <w:r w:rsidR="00C07A12">
        <w:rPr>
          <w:lang w:eastAsia="en-US"/>
        </w:rPr>
        <w:t xml:space="preserve"> </w:t>
      </w:r>
      <w:r>
        <w:rPr>
          <w:lang w:eastAsia="en-US"/>
        </w:rPr>
        <w:t>Gorge</w:t>
      </w:r>
      <w:r w:rsidR="00C07A12">
        <w:rPr>
          <w:lang w:eastAsia="en-US"/>
        </w:rPr>
        <w:t xml:space="preserve"> </w:t>
      </w:r>
      <w:r>
        <w:rPr>
          <w:lang w:eastAsia="en-US"/>
        </w:rPr>
        <w:t>to</w:t>
      </w:r>
      <w:r w:rsidR="00C07A12">
        <w:rPr>
          <w:lang w:eastAsia="en-US"/>
        </w:rPr>
        <w:t xml:space="preserve"> </w:t>
      </w:r>
      <w:r>
        <w:rPr>
          <w:lang w:eastAsia="en-US"/>
        </w:rPr>
        <w:t>replenish low</w:t>
      </w:r>
      <w:r w:rsidR="00C07A12">
        <w:rPr>
          <w:lang w:eastAsia="en-US"/>
        </w:rPr>
        <w:t xml:space="preserve"> </w:t>
      </w:r>
      <w:r>
        <w:rPr>
          <w:lang w:eastAsia="en-US"/>
        </w:rPr>
        <w:t>Sugarloaf</w:t>
      </w:r>
      <w:r w:rsidR="00C07A12">
        <w:rPr>
          <w:lang w:eastAsia="en-US"/>
        </w:rPr>
        <w:t xml:space="preserve"> </w:t>
      </w:r>
      <w:r>
        <w:rPr>
          <w:lang w:eastAsia="en-US"/>
        </w:rPr>
        <w:t>Reservoir levels, which were caused by low river harvest in previous years. In the last year, the majority of our staff have</w:t>
      </w:r>
      <w:r w:rsidR="00C07A12">
        <w:rPr>
          <w:lang w:eastAsia="en-US"/>
        </w:rPr>
        <w:t xml:space="preserve"> </w:t>
      </w:r>
      <w:r>
        <w:rPr>
          <w:lang w:eastAsia="en-US"/>
        </w:rPr>
        <w:t>been working from home, which has resulted in around a 40</w:t>
      </w:r>
      <w:r w:rsidR="00C07A12">
        <w:rPr>
          <w:lang w:eastAsia="en-US"/>
        </w:rPr>
        <w:t xml:space="preserve"> </w:t>
      </w:r>
      <w:r>
        <w:rPr>
          <w:lang w:eastAsia="en-US"/>
        </w:rPr>
        <w:t>per cent drop in our office electricity consumption.</w:t>
      </w:r>
    </w:p>
    <w:p w14:paraId="0829FFD8" w14:textId="0EC2D5B4" w:rsidR="00541945" w:rsidRDefault="00C07A12" w:rsidP="00C07A12">
      <w:pPr>
        <w:pStyle w:val="Caption"/>
        <w:rPr>
          <w:lang w:eastAsia="en-US"/>
        </w:rPr>
      </w:pPr>
      <w:bookmarkStart w:id="453" w:name="_Ref89644292"/>
      <w:r w:rsidRPr="00C07A12">
        <w:rPr>
          <w:lang w:eastAsia="en-US"/>
        </w:rPr>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6</w:t>
      </w:r>
      <w:r>
        <w:rPr>
          <w:lang w:eastAsia="en-US"/>
        </w:rPr>
        <w:fldChar w:fldCharType="end"/>
      </w:r>
      <w:bookmarkEnd w:id="453"/>
      <w:r w:rsidRPr="00C07A12">
        <w:rPr>
          <w:lang w:eastAsia="en-US"/>
        </w:rPr>
        <w:t>: Total electricity consumption across our services</w:t>
      </w:r>
    </w:p>
    <w:tbl>
      <w:tblPr>
        <w:tblStyle w:val="TableGrid"/>
        <w:tblW w:w="5000" w:type="pct"/>
        <w:tblLook w:val="04A0" w:firstRow="1" w:lastRow="0" w:firstColumn="1" w:lastColumn="0" w:noHBand="0" w:noVBand="1"/>
      </w:tblPr>
      <w:tblGrid>
        <w:gridCol w:w="2695"/>
        <w:gridCol w:w="1558"/>
        <w:gridCol w:w="1558"/>
        <w:gridCol w:w="3820"/>
      </w:tblGrid>
      <w:tr w:rsidR="00C07A12" w:rsidRPr="002C1E65" w14:paraId="42D85954"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1399" w:type="pct"/>
            <w:vAlign w:val="bottom"/>
          </w:tcPr>
          <w:p w14:paraId="21F50A1D" w14:textId="224C814B" w:rsidR="00C07A12" w:rsidRPr="002C1E65" w:rsidRDefault="00C07A12" w:rsidP="004033CA">
            <w:pPr>
              <w:pStyle w:val="TableBodyText"/>
              <w:rPr>
                <w:szCs w:val="20"/>
              </w:rPr>
            </w:pPr>
            <w:bookmarkStart w:id="454" w:name="ColumnTitle_18"/>
            <w:r w:rsidRPr="002C1E65">
              <w:rPr>
                <w:szCs w:val="20"/>
              </w:rPr>
              <w:t>Service delivery category</w:t>
            </w:r>
          </w:p>
        </w:tc>
        <w:tc>
          <w:tcPr>
            <w:tcW w:w="809" w:type="pct"/>
            <w:vAlign w:val="bottom"/>
          </w:tcPr>
          <w:p w14:paraId="2E0009C4" w14:textId="77777777" w:rsidR="00C07A12" w:rsidRPr="002C1E65" w:rsidRDefault="00C07A12" w:rsidP="007E1EE3">
            <w:pPr>
              <w:pStyle w:val="TableBodyText"/>
              <w:jc w:val="right"/>
              <w:rPr>
                <w:szCs w:val="20"/>
              </w:rPr>
            </w:pPr>
            <w:r w:rsidRPr="002C1E65">
              <w:rPr>
                <w:szCs w:val="20"/>
              </w:rPr>
              <w:t>19-20 Result</w:t>
            </w:r>
          </w:p>
          <w:p w14:paraId="5091ADDC" w14:textId="0980D1DF" w:rsidR="00C07A12" w:rsidRPr="002C1E65" w:rsidRDefault="00C07A12" w:rsidP="007E1EE3">
            <w:pPr>
              <w:pStyle w:val="TableBodyText"/>
              <w:jc w:val="right"/>
              <w:rPr>
                <w:szCs w:val="20"/>
              </w:rPr>
            </w:pPr>
            <w:r w:rsidRPr="002C1E65">
              <w:rPr>
                <w:szCs w:val="20"/>
              </w:rPr>
              <w:t>(MWh)</w:t>
            </w:r>
          </w:p>
        </w:tc>
        <w:tc>
          <w:tcPr>
            <w:tcW w:w="809" w:type="pct"/>
            <w:vAlign w:val="bottom"/>
          </w:tcPr>
          <w:p w14:paraId="5ABA9660" w14:textId="77777777" w:rsidR="00C07A12" w:rsidRPr="002C1E65" w:rsidRDefault="00C07A12" w:rsidP="007E1EE3">
            <w:pPr>
              <w:pStyle w:val="TableBodyText"/>
              <w:jc w:val="right"/>
              <w:rPr>
                <w:szCs w:val="20"/>
              </w:rPr>
            </w:pPr>
            <w:r w:rsidRPr="002C1E65">
              <w:rPr>
                <w:szCs w:val="20"/>
              </w:rPr>
              <w:t>20-21 Result</w:t>
            </w:r>
          </w:p>
          <w:p w14:paraId="7FC7BB04" w14:textId="4327B505" w:rsidR="00C07A12" w:rsidRPr="002C1E65" w:rsidRDefault="00C07A12" w:rsidP="007E1EE3">
            <w:pPr>
              <w:pStyle w:val="TableBodyText"/>
              <w:jc w:val="right"/>
              <w:rPr>
                <w:szCs w:val="20"/>
              </w:rPr>
            </w:pPr>
            <w:r w:rsidRPr="002C1E65">
              <w:rPr>
                <w:szCs w:val="20"/>
              </w:rPr>
              <w:t>(MWh)</w:t>
            </w:r>
          </w:p>
        </w:tc>
        <w:tc>
          <w:tcPr>
            <w:tcW w:w="1983" w:type="pct"/>
            <w:vAlign w:val="bottom"/>
          </w:tcPr>
          <w:p w14:paraId="2C5E9073" w14:textId="76666967" w:rsidR="00C07A12" w:rsidRPr="002C1E65" w:rsidRDefault="00C07A12" w:rsidP="004033CA">
            <w:pPr>
              <w:pStyle w:val="TableBodyText"/>
              <w:rPr>
                <w:szCs w:val="20"/>
              </w:rPr>
            </w:pPr>
            <w:r w:rsidRPr="002C1E65">
              <w:rPr>
                <w:szCs w:val="20"/>
              </w:rPr>
              <w:t>Commentary</w:t>
            </w:r>
          </w:p>
        </w:tc>
      </w:tr>
      <w:bookmarkEnd w:id="454"/>
      <w:tr w:rsidR="00C07A12" w:rsidRPr="002C1E65" w14:paraId="79EAFFD5" w14:textId="77777777" w:rsidTr="007E1EE3">
        <w:tc>
          <w:tcPr>
            <w:tcW w:w="1399" w:type="pct"/>
          </w:tcPr>
          <w:p w14:paraId="00E7C549" w14:textId="176EE591" w:rsidR="00C07A12" w:rsidRPr="002C1E65" w:rsidRDefault="00C07A12" w:rsidP="00F03998">
            <w:pPr>
              <w:pStyle w:val="TableBodyText"/>
              <w:rPr>
                <w:szCs w:val="20"/>
              </w:rPr>
            </w:pPr>
            <w:r w:rsidRPr="002C1E65">
              <w:rPr>
                <w:szCs w:val="20"/>
              </w:rPr>
              <w:t>Water treatment and supply</w:t>
            </w:r>
          </w:p>
        </w:tc>
        <w:tc>
          <w:tcPr>
            <w:tcW w:w="809" w:type="pct"/>
          </w:tcPr>
          <w:p w14:paraId="568825DC" w14:textId="3B5EEEFB" w:rsidR="00C07A12" w:rsidRPr="002C1E65" w:rsidRDefault="00C07A12" w:rsidP="007E1EE3">
            <w:pPr>
              <w:pStyle w:val="TableBodyText"/>
              <w:jc w:val="right"/>
              <w:rPr>
                <w:szCs w:val="20"/>
              </w:rPr>
            </w:pPr>
            <w:r w:rsidRPr="002C1E65">
              <w:rPr>
                <w:szCs w:val="20"/>
              </w:rPr>
              <w:t>89,473</w:t>
            </w:r>
          </w:p>
        </w:tc>
        <w:tc>
          <w:tcPr>
            <w:tcW w:w="809" w:type="pct"/>
          </w:tcPr>
          <w:p w14:paraId="4021466F" w14:textId="497F74B8" w:rsidR="00C07A12" w:rsidRPr="002C1E65" w:rsidRDefault="00C07A12" w:rsidP="007E1EE3">
            <w:pPr>
              <w:pStyle w:val="TableBodyText"/>
              <w:jc w:val="right"/>
              <w:rPr>
                <w:szCs w:val="20"/>
              </w:rPr>
            </w:pPr>
            <w:r w:rsidRPr="002C1E65">
              <w:rPr>
                <w:szCs w:val="20"/>
              </w:rPr>
              <w:t>65,246</w:t>
            </w:r>
          </w:p>
        </w:tc>
        <w:tc>
          <w:tcPr>
            <w:tcW w:w="1983" w:type="pct"/>
          </w:tcPr>
          <w:p w14:paraId="5797E9A3" w14:textId="6E4649BD" w:rsidR="00C07A12" w:rsidRPr="002C1E65" w:rsidRDefault="00C07A12" w:rsidP="007E1EE3">
            <w:pPr>
              <w:pStyle w:val="TableBodyText"/>
              <w:rPr>
                <w:szCs w:val="20"/>
              </w:rPr>
            </w:pPr>
            <w:r w:rsidRPr="002C1E65">
              <w:rPr>
                <w:szCs w:val="20"/>
              </w:rPr>
              <w:t>Unusually high consumption in 2019-20 due to extra pumping at Yering Gorge</w:t>
            </w:r>
          </w:p>
        </w:tc>
      </w:tr>
      <w:tr w:rsidR="00C07A12" w:rsidRPr="002C1E65" w14:paraId="70C465AB" w14:textId="77777777" w:rsidTr="007E1EE3">
        <w:tc>
          <w:tcPr>
            <w:tcW w:w="1399" w:type="pct"/>
          </w:tcPr>
          <w:p w14:paraId="4765849E" w14:textId="69170E4B" w:rsidR="00C07A12" w:rsidRPr="002C1E65" w:rsidRDefault="00C07A12" w:rsidP="00F03998">
            <w:pPr>
              <w:pStyle w:val="TableBodyText"/>
              <w:rPr>
                <w:szCs w:val="20"/>
              </w:rPr>
            </w:pPr>
            <w:r w:rsidRPr="002C1E65">
              <w:rPr>
                <w:szCs w:val="20"/>
              </w:rPr>
              <w:t>Sewerage treatment and management</w:t>
            </w:r>
          </w:p>
        </w:tc>
        <w:tc>
          <w:tcPr>
            <w:tcW w:w="809" w:type="pct"/>
          </w:tcPr>
          <w:p w14:paraId="1C9D6D27" w14:textId="256499E3" w:rsidR="00C07A12" w:rsidRPr="002C1E65" w:rsidRDefault="00C07A12" w:rsidP="007E1EE3">
            <w:pPr>
              <w:pStyle w:val="TableBodyText"/>
              <w:jc w:val="right"/>
              <w:rPr>
                <w:szCs w:val="20"/>
              </w:rPr>
            </w:pPr>
            <w:r w:rsidRPr="002C1E65">
              <w:rPr>
                <w:szCs w:val="20"/>
              </w:rPr>
              <w:t>272,793</w:t>
            </w:r>
          </w:p>
        </w:tc>
        <w:tc>
          <w:tcPr>
            <w:tcW w:w="809" w:type="pct"/>
          </w:tcPr>
          <w:p w14:paraId="5E713D25" w14:textId="15676333" w:rsidR="00C07A12" w:rsidRPr="002C1E65" w:rsidRDefault="00C07A12" w:rsidP="007E1EE3">
            <w:pPr>
              <w:pStyle w:val="TableBodyText"/>
              <w:jc w:val="right"/>
              <w:rPr>
                <w:szCs w:val="20"/>
              </w:rPr>
            </w:pPr>
            <w:r w:rsidRPr="002C1E65">
              <w:rPr>
                <w:szCs w:val="20"/>
              </w:rPr>
              <w:t>263,444</w:t>
            </w:r>
          </w:p>
        </w:tc>
        <w:tc>
          <w:tcPr>
            <w:tcW w:w="1983" w:type="pct"/>
          </w:tcPr>
          <w:p w14:paraId="39439553" w14:textId="1CAD915C" w:rsidR="00C07A12" w:rsidRPr="002C1E65" w:rsidRDefault="00C07A12" w:rsidP="007E1EE3">
            <w:pPr>
              <w:pStyle w:val="TableBodyText"/>
              <w:rPr>
                <w:szCs w:val="20"/>
              </w:rPr>
            </w:pPr>
            <w:r w:rsidRPr="002C1E65">
              <w:rPr>
                <w:szCs w:val="20"/>
              </w:rPr>
              <w:t>N/A</w:t>
            </w:r>
          </w:p>
        </w:tc>
      </w:tr>
      <w:tr w:rsidR="00C07A12" w:rsidRPr="002C1E65" w14:paraId="37164F1E" w14:textId="77777777" w:rsidTr="007E1EE3">
        <w:tc>
          <w:tcPr>
            <w:tcW w:w="1399" w:type="pct"/>
          </w:tcPr>
          <w:p w14:paraId="1BE33B15" w14:textId="11399F6F" w:rsidR="00C07A12" w:rsidRPr="002C1E65" w:rsidRDefault="00C07A12" w:rsidP="00F03998">
            <w:pPr>
              <w:pStyle w:val="TableBodyText"/>
              <w:rPr>
                <w:szCs w:val="20"/>
              </w:rPr>
            </w:pPr>
            <w:r w:rsidRPr="002C1E65">
              <w:rPr>
                <w:szCs w:val="20"/>
              </w:rPr>
              <w:t>Waterways</w:t>
            </w:r>
          </w:p>
        </w:tc>
        <w:tc>
          <w:tcPr>
            <w:tcW w:w="809" w:type="pct"/>
          </w:tcPr>
          <w:p w14:paraId="775E493A" w14:textId="04F1FBFB" w:rsidR="00C07A12" w:rsidRPr="002C1E65" w:rsidRDefault="00C07A12" w:rsidP="007E1EE3">
            <w:pPr>
              <w:pStyle w:val="TableBodyText"/>
              <w:jc w:val="right"/>
              <w:rPr>
                <w:szCs w:val="20"/>
              </w:rPr>
            </w:pPr>
            <w:r w:rsidRPr="002C1E65">
              <w:rPr>
                <w:szCs w:val="20"/>
              </w:rPr>
              <w:t>1229</w:t>
            </w:r>
          </w:p>
        </w:tc>
        <w:tc>
          <w:tcPr>
            <w:tcW w:w="809" w:type="pct"/>
          </w:tcPr>
          <w:p w14:paraId="772C238A" w14:textId="6DF7DBC7" w:rsidR="00C07A12" w:rsidRPr="002C1E65" w:rsidRDefault="00C07A12" w:rsidP="007E1EE3">
            <w:pPr>
              <w:pStyle w:val="TableBodyText"/>
              <w:jc w:val="right"/>
              <w:rPr>
                <w:szCs w:val="20"/>
              </w:rPr>
            </w:pPr>
            <w:r w:rsidRPr="002C1E65">
              <w:rPr>
                <w:szCs w:val="20"/>
              </w:rPr>
              <w:t>1013</w:t>
            </w:r>
          </w:p>
        </w:tc>
        <w:tc>
          <w:tcPr>
            <w:tcW w:w="1983" w:type="pct"/>
          </w:tcPr>
          <w:p w14:paraId="735C4D81" w14:textId="7A279294" w:rsidR="00C07A12" w:rsidRPr="002C1E65" w:rsidRDefault="00C07A12" w:rsidP="007E1EE3">
            <w:pPr>
              <w:pStyle w:val="TableBodyText"/>
              <w:rPr>
                <w:szCs w:val="20"/>
              </w:rPr>
            </w:pPr>
            <w:r w:rsidRPr="002C1E65">
              <w:rPr>
                <w:szCs w:val="20"/>
              </w:rPr>
              <w:t>N/A</w:t>
            </w:r>
          </w:p>
        </w:tc>
      </w:tr>
      <w:tr w:rsidR="00C07A12" w:rsidRPr="002C1E65" w14:paraId="04D24447" w14:textId="77777777" w:rsidTr="007E1EE3">
        <w:tc>
          <w:tcPr>
            <w:tcW w:w="1399" w:type="pct"/>
          </w:tcPr>
          <w:p w14:paraId="61849A7C" w14:textId="00478E82" w:rsidR="00C07A12" w:rsidRPr="002C1E65" w:rsidRDefault="00C07A12" w:rsidP="00F03998">
            <w:pPr>
              <w:pStyle w:val="TableBodyText"/>
              <w:rPr>
                <w:szCs w:val="20"/>
              </w:rPr>
            </w:pPr>
            <w:r w:rsidRPr="002C1E65">
              <w:rPr>
                <w:szCs w:val="20"/>
              </w:rPr>
              <w:t>Other (office, workshops, depots etc.)</w:t>
            </w:r>
          </w:p>
        </w:tc>
        <w:tc>
          <w:tcPr>
            <w:tcW w:w="809" w:type="pct"/>
          </w:tcPr>
          <w:p w14:paraId="37277D0F" w14:textId="09CFDDF8" w:rsidR="00C07A12" w:rsidRPr="002C1E65" w:rsidRDefault="00C07A12" w:rsidP="007E1EE3">
            <w:pPr>
              <w:pStyle w:val="TableBodyText"/>
              <w:jc w:val="right"/>
              <w:rPr>
                <w:szCs w:val="20"/>
              </w:rPr>
            </w:pPr>
            <w:r w:rsidRPr="002C1E65">
              <w:rPr>
                <w:szCs w:val="20"/>
              </w:rPr>
              <w:t>455</w:t>
            </w:r>
          </w:p>
        </w:tc>
        <w:tc>
          <w:tcPr>
            <w:tcW w:w="809" w:type="pct"/>
          </w:tcPr>
          <w:p w14:paraId="00F58584" w14:textId="41FAAC55" w:rsidR="00C07A12" w:rsidRPr="002C1E65" w:rsidRDefault="00C07A12" w:rsidP="007E1EE3">
            <w:pPr>
              <w:pStyle w:val="TableBodyText"/>
              <w:jc w:val="right"/>
              <w:rPr>
                <w:szCs w:val="20"/>
              </w:rPr>
            </w:pPr>
            <w:r w:rsidRPr="002C1E65">
              <w:rPr>
                <w:szCs w:val="20"/>
              </w:rPr>
              <w:t>310</w:t>
            </w:r>
          </w:p>
        </w:tc>
        <w:tc>
          <w:tcPr>
            <w:tcW w:w="1983" w:type="pct"/>
          </w:tcPr>
          <w:p w14:paraId="660FBCFE" w14:textId="7DE8A153" w:rsidR="00C07A12" w:rsidRPr="002C1E65" w:rsidRDefault="00C07A12" w:rsidP="007E1EE3">
            <w:pPr>
              <w:pStyle w:val="TableBodyText"/>
              <w:rPr>
                <w:szCs w:val="20"/>
              </w:rPr>
            </w:pPr>
            <w:r w:rsidRPr="002C1E65">
              <w:rPr>
                <w:szCs w:val="20"/>
              </w:rPr>
              <w:t xml:space="preserve">Empty office due to </w:t>
            </w:r>
            <w:r w:rsidR="0030196D">
              <w:t>COVID</w:t>
            </w:r>
            <w:r w:rsidR="0030196D">
              <w:noBreakHyphen/>
              <w:t>19</w:t>
            </w:r>
          </w:p>
        </w:tc>
      </w:tr>
      <w:tr w:rsidR="00C07A12" w:rsidRPr="002C1E65" w14:paraId="7FDE8BEF" w14:textId="77777777" w:rsidTr="007E1EE3">
        <w:tc>
          <w:tcPr>
            <w:tcW w:w="1399" w:type="pct"/>
          </w:tcPr>
          <w:p w14:paraId="03D5F484" w14:textId="78CFD3F4" w:rsidR="00C07A12" w:rsidRPr="002C1E65" w:rsidRDefault="00C07A12" w:rsidP="00F03998">
            <w:pPr>
              <w:pStyle w:val="TableBodyText"/>
              <w:rPr>
                <w:rStyle w:val="Bold"/>
                <w:szCs w:val="20"/>
              </w:rPr>
            </w:pPr>
            <w:r w:rsidRPr="002C1E65">
              <w:rPr>
                <w:rStyle w:val="Bold"/>
                <w:szCs w:val="20"/>
              </w:rPr>
              <w:t>Total</w:t>
            </w:r>
          </w:p>
        </w:tc>
        <w:tc>
          <w:tcPr>
            <w:tcW w:w="809" w:type="pct"/>
          </w:tcPr>
          <w:p w14:paraId="42120EDF" w14:textId="07F1355D" w:rsidR="00C07A12" w:rsidRPr="002C1E65" w:rsidRDefault="00C07A12" w:rsidP="007E1EE3">
            <w:pPr>
              <w:pStyle w:val="TableBodyText"/>
              <w:jc w:val="right"/>
              <w:rPr>
                <w:rStyle w:val="Bold"/>
                <w:szCs w:val="20"/>
              </w:rPr>
            </w:pPr>
            <w:r w:rsidRPr="002C1E65">
              <w:rPr>
                <w:rStyle w:val="Bold"/>
                <w:szCs w:val="20"/>
              </w:rPr>
              <w:t>363,950</w:t>
            </w:r>
          </w:p>
        </w:tc>
        <w:tc>
          <w:tcPr>
            <w:tcW w:w="809" w:type="pct"/>
          </w:tcPr>
          <w:p w14:paraId="49D14D37" w14:textId="6A08B984" w:rsidR="00C07A12" w:rsidRPr="002C1E65" w:rsidRDefault="00C07A12" w:rsidP="007E1EE3">
            <w:pPr>
              <w:pStyle w:val="TableBodyText"/>
              <w:jc w:val="right"/>
              <w:rPr>
                <w:rStyle w:val="Bold"/>
                <w:szCs w:val="20"/>
              </w:rPr>
            </w:pPr>
            <w:r w:rsidRPr="002C1E65">
              <w:rPr>
                <w:rStyle w:val="Bold"/>
                <w:szCs w:val="20"/>
              </w:rPr>
              <w:t>330,014</w:t>
            </w:r>
          </w:p>
        </w:tc>
        <w:tc>
          <w:tcPr>
            <w:tcW w:w="1983" w:type="pct"/>
          </w:tcPr>
          <w:p w14:paraId="7D8C0667" w14:textId="0D219F20" w:rsidR="00C07A12" w:rsidRPr="002C1E65" w:rsidRDefault="00C07A12" w:rsidP="007E1EE3">
            <w:pPr>
              <w:pStyle w:val="TableBodyText"/>
              <w:rPr>
                <w:rStyle w:val="Bold"/>
                <w:szCs w:val="20"/>
              </w:rPr>
            </w:pPr>
            <w:r w:rsidRPr="002C1E65">
              <w:rPr>
                <w:rStyle w:val="Bold"/>
                <w:szCs w:val="20"/>
              </w:rPr>
              <w:t>N/A</w:t>
            </w:r>
          </w:p>
        </w:tc>
      </w:tr>
    </w:tbl>
    <w:p w14:paraId="0E1F14A9" w14:textId="2DB2D4B7" w:rsidR="00C07A12" w:rsidRDefault="0010793A" w:rsidP="00C07A12">
      <w:pPr>
        <w:pStyle w:val="BodyText"/>
        <w:rPr>
          <w:lang w:eastAsia="en-US"/>
        </w:rPr>
      </w:pPr>
      <w:r>
        <w:rPr>
          <w:lang w:eastAsia="en-US"/>
        </w:rPr>
        <w:fldChar w:fldCharType="begin"/>
      </w:r>
      <w:r>
        <w:rPr>
          <w:lang w:eastAsia="en-US"/>
        </w:rPr>
        <w:instrText xml:space="preserve"> REF _Ref89644308 \h </w:instrText>
      </w:r>
      <w:r>
        <w:rPr>
          <w:lang w:eastAsia="en-US"/>
        </w:rPr>
      </w:r>
      <w:r>
        <w:rPr>
          <w:lang w:eastAsia="en-US"/>
        </w:rPr>
        <w:fldChar w:fldCharType="separate"/>
      </w:r>
      <w:r w:rsidR="00472151">
        <w:rPr>
          <w:lang w:eastAsia="en-US"/>
        </w:rPr>
        <w:t xml:space="preserve">Table </w:t>
      </w:r>
      <w:r w:rsidR="00472151">
        <w:rPr>
          <w:noProof/>
          <w:lang w:eastAsia="en-US"/>
        </w:rPr>
        <w:t>7</w:t>
      </w:r>
      <w:r>
        <w:rPr>
          <w:lang w:eastAsia="en-US"/>
        </w:rPr>
        <w:fldChar w:fldCharType="end"/>
      </w:r>
      <w:r w:rsidR="00C07A12">
        <w:rPr>
          <w:lang w:eastAsia="en-US"/>
        </w:rPr>
        <w:t xml:space="preserve"> shows our renewable electricity consumption. Approximately 33 per cent of our total electricity use can be supplied from our biogas plants; however, only 5.68 per cent can be categorised as renewable energy consumed by Melbourne Water, as we currently sell our Renewable Energy Certificates (RECs) in order to keep prices low for our customers.</w:t>
      </w:r>
    </w:p>
    <w:p w14:paraId="579FEA95" w14:textId="2893012A" w:rsidR="00541945" w:rsidRDefault="00C07A12" w:rsidP="009C58F5">
      <w:pPr>
        <w:pStyle w:val="Caption"/>
        <w:keepLines/>
        <w:rPr>
          <w:lang w:eastAsia="en-US"/>
        </w:rPr>
      </w:pPr>
      <w:bookmarkStart w:id="455" w:name="_Ref89644308"/>
      <w:r>
        <w:rPr>
          <w:lang w:eastAsia="en-US"/>
        </w:rPr>
        <w:lastRenderedPageBreak/>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7</w:t>
      </w:r>
      <w:r>
        <w:rPr>
          <w:lang w:eastAsia="en-US"/>
        </w:rPr>
        <w:fldChar w:fldCharType="end"/>
      </w:r>
      <w:bookmarkEnd w:id="455"/>
      <w:r>
        <w:rPr>
          <w:lang w:eastAsia="en-US"/>
        </w:rPr>
        <w:t>: Total renewable electricity consumption, by type (MWh)</w:t>
      </w:r>
    </w:p>
    <w:tbl>
      <w:tblPr>
        <w:tblStyle w:val="TableGrid"/>
        <w:tblW w:w="5000" w:type="pct"/>
        <w:tblLook w:val="04A0" w:firstRow="1" w:lastRow="0" w:firstColumn="1" w:lastColumn="0" w:noHBand="0" w:noVBand="1"/>
      </w:tblPr>
      <w:tblGrid>
        <w:gridCol w:w="1769"/>
        <w:gridCol w:w="1017"/>
        <w:gridCol w:w="1042"/>
        <w:gridCol w:w="1843"/>
        <w:gridCol w:w="3960"/>
      </w:tblGrid>
      <w:tr w:rsidR="005B11E2" w:rsidRPr="002C1E65" w14:paraId="40920971"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918" w:type="pct"/>
            <w:vAlign w:val="bottom"/>
          </w:tcPr>
          <w:p w14:paraId="329A24F7" w14:textId="575F987F" w:rsidR="005B11E2" w:rsidRPr="002C1E65" w:rsidRDefault="005B11E2" w:rsidP="009C58F5">
            <w:pPr>
              <w:pStyle w:val="TableBodyText"/>
              <w:keepNext/>
              <w:keepLines/>
              <w:rPr>
                <w:szCs w:val="20"/>
                <w:lang w:eastAsia="en-US"/>
              </w:rPr>
            </w:pPr>
            <w:bookmarkStart w:id="456" w:name="ColumnTitle_19"/>
            <w:r w:rsidRPr="002C1E65">
              <w:rPr>
                <w:szCs w:val="20"/>
                <w:lang w:eastAsia="en-US"/>
              </w:rPr>
              <w:t>Item</w:t>
            </w:r>
          </w:p>
        </w:tc>
        <w:tc>
          <w:tcPr>
            <w:tcW w:w="528" w:type="pct"/>
            <w:vAlign w:val="bottom"/>
          </w:tcPr>
          <w:p w14:paraId="4460D0F8" w14:textId="2F1C3207" w:rsidR="005B11E2" w:rsidRPr="002C1E65" w:rsidRDefault="005B11E2" w:rsidP="009C58F5">
            <w:pPr>
              <w:pStyle w:val="TableBodyText"/>
              <w:keepNext/>
              <w:keepLines/>
              <w:jc w:val="right"/>
              <w:rPr>
                <w:szCs w:val="20"/>
                <w:lang w:eastAsia="en-US"/>
              </w:rPr>
            </w:pPr>
            <w:r w:rsidRPr="002C1E65">
              <w:rPr>
                <w:szCs w:val="20"/>
                <w:lang w:eastAsia="en-US"/>
              </w:rPr>
              <w:t>2019-20</w:t>
            </w:r>
          </w:p>
        </w:tc>
        <w:tc>
          <w:tcPr>
            <w:tcW w:w="541" w:type="pct"/>
            <w:vAlign w:val="bottom"/>
          </w:tcPr>
          <w:p w14:paraId="3FD766B9" w14:textId="533C335A" w:rsidR="005B11E2" w:rsidRPr="002C1E65" w:rsidRDefault="005B11E2" w:rsidP="009C58F5">
            <w:pPr>
              <w:pStyle w:val="TableBodyText"/>
              <w:keepNext/>
              <w:keepLines/>
              <w:jc w:val="right"/>
              <w:rPr>
                <w:szCs w:val="20"/>
                <w:lang w:eastAsia="en-US"/>
              </w:rPr>
            </w:pPr>
            <w:r w:rsidRPr="002C1E65">
              <w:rPr>
                <w:szCs w:val="20"/>
                <w:lang w:eastAsia="en-US"/>
              </w:rPr>
              <w:t>2020-21</w:t>
            </w:r>
          </w:p>
        </w:tc>
        <w:tc>
          <w:tcPr>
            <w:tcW w:w="957" w:type="pct"/>
            <w:vAlign w:val="bottom"/>
          </w:tcPr>
          <w:p w14:paraId="27F68FDE" w14:textId="77777777" w:rsidR="005B11E2" w:rsidRPr="002C1E65" w:rsidRDefault="005B11E2" w:rsidP="009C58F5">
            <w:pPr>
              <w:pStyle w:val="TableBodyText"/>
              <w:keepNext/>
              <w:keepLines/>
              <w:jc w:val="right"/>
              <w:rPr>
                <w:b w:val="0"/>
                <w:bCs/>
                <w:szCs w:val="20"/>
                <w:lang w:eastAsia="en-US"/>
              </w:rPr>
            </w:pPr>
            <w:r w:rsidRPr="002C1E65">
              <w:rPr>
                <w:szCs w:val="20"/>
                <w:lang w:eastAsia="en-US"/>
              </w:rPr>
              <w:t>2020-21</w:t>
            </w:r>
          </w:p>
          <w:p w14:paraId="1E1B1179" w14:textId="67A764E2" w:rsidR="005B11E2" w:rsidRPr="002C1E65" w:rsidRDefault="005B11E2" w:rsidP="009C58F5">
            <w:pPr>
              <w:pStyle w:val="TableBodyText"/>
              <w:keepNext/>
              <w:keepLines/>
              <w:jc w:val="right"/>
              <w:rPr>
                <w:szCs w:val="20"/>
                <w:lang w:eastAsia="en-US"/>
              </w:rPr>
            </w:pPr>
            <w:r w:rsidRPr="002C1E65">
              <w:rPr>
                <w:szCs w:val="20"/>
                <w:lang w:eastAsia="en-US"/>
              </w:rPr>
              <w:t>Renewable energy</w:t>
            </w:r>
            <w:r w:rsidR="004033CA" w:rsidRPr="002C1E65">
              <w:rPr>
                <w:szCs w:val="20"/>
                <w:lang w:eastAsia="en-US"/>
              </w:rPr>
              <w:t xml:space="preserve"> </w:t>
            </w:r>
            <w:r w:rsidRPr="002C1E65">
              <w:rPr>
                <w:szCs w:val="20"/>
                <w:lang w:eastAsia="en-US"/>
              </w:rPr>
              <w:t>as % of total</w:t>
            </w:r>
            <w:r w:rsidR="007E1EE3">
              <w:rPr>
                <w:szCs w:val="20"/>
                <w:lang w:eastAsia="en-US"/>
              </w:rPr>
              <w:t xml:space="preserve"> </w:t>
            </w:r>
            <w:r w:rsidRPr="002C1E65">
              <w:rPr>
                <w:szCs w:val="20"/>
                <w:lang w:eastAsia="en-US"/>
              </w:rPr>
              <w:t>consumption</w:t>
            </w:r>
          </w:p>
        </w:tc>
        <w:tc>
          <w:tcPr>
            <w:tcW w:w="2056" w:type="pct"/>
            <w:vAlign w:val="bottom"/>
          </w:tcPr>
          <w:p w14:paraId="458CAB3C" w14:textId="241393D5" w:rsidR="005B11E2" w:rsidRPr="002C1E65" w:rsidRDefault="005B11E2" w:rsidP="009C58F5">
            <w:pPr>
              <w:pStyle w:val="TableBodyText"/>
              <w:keepNext/>
              <w:keepLines/>
              <w:rPr>
                <w:szCs w:val="20"/>
                <w:lang w:eastAsia="en-US"/>
              </w:rPr>
            </w:pPr>
            <w:r w:rsidRPr="002C1E65">
              <w:rPr>
                <w:szCs w:val="20"/>
                <w:lang w:eastAsia="en-US"/>
              </w:rPr>
              <w:t>Commentary</w:t>
            </w:r>
          </w:p>
        </w:tc>
      </w:tr>
      <w:bookmarkEnd w:id="456"/>
      <w:tr w:rsidR="005B11E2" w:rsidRPr="002C1E65" w14:paraId="57AA976C" w14:textId="77777777" w:rsidTr="007E1EE3">
        <w:tc>
          <w:tcPr>
            <w:tcW w:w="918" w:type="pct"/>
          </w:tcPr>
          <w:p w14:paraId="655B1631" w14:textId="77777777" w:rsidR="00B1494B" w:rsidRPr="002C1E65" w:rsidRDefault="005B11E2" w:rsidP="009C58F5">
            <w:pPr>
              <w:pStyle w:val="TableBodyText"/>
              <w:keepNext/>
              <w:keepLines/>
              <w:rPr>
                <w:szCs w:val="20"/>
                <w:lang w:eastAsia="en-US"/>
              </w:rPr>
            </w:pPr>
            <w:r w:rsidRPr="002C1E65">
              <w:rPr>
                <w:szCs w:val="20"/>
                <w:lang w:eastAsia="en-US"/>
              </w:rPr>
              <w:t>Grid-sourced</w:t>
            </w:r>
          </w:p>
          <w:p w14:paraId="3D811C6D" w14:textId="725B489C" w:rsidR="00B1494B" w:rsidRPr="002C1E65" w:rsidRDefault="00926282" w:rsidP="009C58F5">
            <w:pPr>
              <w:pStyle w:val="TableBodyText"/>
              <w:keepNext/>
              <w:keepLines/>
              <w:rPr>
                <w:szCs w:val="20"/>
                <w:lang w:eastAsia="en-US"/>
              </w:rPr>
            </w:pPr>
            <w:hyperlink w:anchor="Note1Table7" w:history="1">
              <w:r w:rsidR="00B1494B" w:rsidRPr="002C1E65">
                <w:rPr>
                  <w:rStyle w:val="Hyperlink"/>
                  <w:szCs w:val="20"/>
                  <w:lang w:eastAsia="en-US"/>
                </w:rPr>
                <w:t>refer note 1</w:t>
              </w:r>
            </w:hyperlink>
          </w:p>
        </w:tc>
        <w:tc>
          <w:tcPr>
            <w:tcW w:w="528" w:type="pct"/>
          </w:tcPr>
          <w:p w14:paraId="1D2C5C6A" w14:textId="18BB3D5D" w:rsidR="005B11E2" w:rsidRPr="002C1E65" w:rsidRDefault="005B11E2" w:rsidP="009C58F5">
            <w:pPr>
              <w:pStyle w:val="TableBodyText"/>
              <w:keepNext/>
              <w:keepLines/>
              <w:jc w:val="right"/>
              <w:rPr>
                <w:szCs w:val="20"/>
                <w:lang w:eastAsia="en-US"/>
              </w:rPr>
            </w:pPr>
            <w:r w:rsidRPr="002C1E65">
              <w:rPr>
                <w:szCs w:val="20"/>
                <w:lang w:eastAsia="en-US"/>
              </w:rPr>
              <w:t>48,336</w:t>
            </w:r>
          </w:p>
        </w:tc>
        <w:tc>
          <w:tcPr>
            <w:tcW w:w="541" w:type="pct"/>
          </w:tcPr>
          <w:p w14:paraId="49E207AE" w14:textId="28855593" w:rsidR="005B11E2" w:rsidRPr="002C1E65" w:rsidRDefault="005B11E2" w:rsidP="009C58F5">
            <w:pPr>
              <w:pStyle w:val="TableBodyText"/>
              <w:keepNext/>
              <w:keepLines/>
              <w:jc w:val="right"/>
              <w:rPr>
                <w:szCs w:val="20"/>
                <w:lang w:eastAsia="en-US"/>
              </w:rPr>
            </w:pPr>
            <w:r w:rsidRPr="002C1E65">
              <w:rPr>
                <w:szCs w:val="20"/>
                <w:lang w:eastAsia="en-US"/>
              </w:rPr>
              <w:t>42,002</w:t>
            </w:r>
          </w:p>
        </w:tc>
        <w:tc>
          <w:tcPr>
            <w:tcW w:w="957" w:type="pct"/>
          </w:tcPr>
          <w:p w14:paraId="480199AF" w14:textId="3A903F31" w:rsidR="005B11E2" w:rsidRPr="002C1E65" w:rsidRDefault="005B11E2" w:rsidP="009C58F5">
            <w:pPr>
              <w:pStyle w:val="TableBodyText"/>
              <w:keepNext/>
              <w:keepLines/>
              <w:jc w:val="right"/>
              <w:rPr>
                <w:szCs w:val="20"/>
                <w:lang w:eastAsia="en-US"/>
              </w:rPr>
            </w:pPr>
            <w:r w:rsidRPr="002C1E65">
              <w:rPr>
                <w:szCs w:val="20"/>
                <w:lang w:eastAsia="en-US"/>
              </w:rPr>
              <w:t>12.73%</w:t>
            </w:r>
          </w:p>
        </w:tc>
        <w:tc>
          <w:tcPr>
            <w:tcW w:w="2056" w:type="pct"/>
          </w:tcPr>
          <w:p w14:paraId="7F4D6863" w14:textId="3BF1EC78" w:rsidR="005B11E2" w:rsidRPr="002C1E65" w:rsidRDefault="005B11E2" w:rsidP="009C58F5">
            <w:pPr>
              <w:pStyle w:val="TableBodyText"/>
              <w:keepNext/>
              <w:keepLines/>
              <w:rPr>
                <w:szCs w:val="20"/>
                <w:lang w:eastAsia="en-US"/>
              </w:rPr>
            </w:pPr>
            <w:r w:rsidRPr="002C1E65">
              <w:rPr>
                <w:szCs w:val="20"/>
                <w:lang w:eastAsia="en-US"/>
              </w:rPr>
              <w:t xml:space="preserve">In 2020-21, 42,002 MWh is classified as renewable due to mandatory surrender of </w:t>
            </w:r>
            <w:r w:rsidR="00A52F94">
              <w:rPr>
                <w:szCs w:val="20"/>
                <w:lang w:eastAsia="en-US"/>
              </w:rPr>
              <w:t>Renewable Energy Certificates</w:t>
            </w:r>
            <w:r w:rsidRPr="002C1E65">
              <w:rPr>
                <w:szCs w:val="20"/>
                <w:lang w:eastAsia="en-US"/>
              </w:rPr>
              <w:t xml:space="preserve"> to meet the Commonwealth Renewable Energy Target</w:t>
            </w:r>
          </w:p>
        </w:tc>
      </w:tr>
      <w:tr w:rsidR="005B11E2" w:rsidRPr="002C1E65" w14:paraId="515F48C0" w14:textId="77777777" w:rsidTr="007E1EE3">
        <w:tc>
          <w:tcPr>
            <w:tcW w:w="918" w:type="pct"/>
          </w:tcPr>
          <w:p w14:paraId="42E629A8" w14:textId="77777777" w:rsidR="005B11E2" w:rsidRPr="002C1E65" w:rsidRDefault="005B11E2" w:rsidP="009C58F5">
            <w:pPr>
              <w:pStyle w:val="TableBodyText"/>
              <w:keepNext/>
              <w:keepLines/>
              <w:rPr>
                <w:szCs w:val="20"/>
                <w:lang w:eastAsia="en-US"/>
              </w:rPr>
            </w:pPr>
            <w:r w:rsidRPr="002C1E65">
              <w:rPr>
                <w:szCs w:val="20"/>
                <w:lang w:eastAsia="en-US"/>
              </w:rPr>
              <w:t>Self-sourced</w:t>
            </w:r>
          </w:p>
          <w:p w14:paraId="467FF502" w14:textId="32FD8953" w:rsidR="00B1494B" w:rsidRPr="002C1E65" w:rsidRDefault="00926282" w:rsidP="009C58F5">
            <w:pPr>
              <w:pStyle w:val="TableBodyText"/>
              <w:keepNext/>
              <w:keepLines/>
              <w:rPr>
                <w:szCs w:val="20"/>
                <w:lang w:eastAsia="en-US"/>
              </w:rPr>
            </w:pPr>
            <w:hyperlink w:anchor="Note2Table7" w:history="1">
              <w:r w:rsidR="00B1494B" w:rsidRPr="002C1E65">
                <w:rPr>
                  <w:rStyle w:val="Hyperlink"/>
                  <w:szCs w:val="20"/>
                  <w:lang w:eastAsia="en-US"/>
                </w:rPr>
                <w:t>refer note 2</w:t>
              </w:r>
            </w:hyperlink>
          </w:p>
        </w:tc>
        <w:tc>
          <w:tcPr>
            <w:tcW w:w="528" w:type="pct"/>
          </w:tcPr>
          <w:p w14:paraId="35E72159" w14:textId="5043C4BC" w:rsidR="005B11E2" w:rsidRPr="002C1E65" w:rsidRDefault="005B11E2" w:rsidP="009C58F5">
            <w:pPr>
              <w:pStyle w:val="TableBodyText"/>
              <w:keepNext/>
              <w:keepLines/>
              <w:jc w:val="right"/>
              <w:rPr>
                <w:szCs w:val="20"/>
                <w:lang w:eastAsia="en-US"/>
              </w:rPr>
            </w:pPr>
            <w:r w:rsidRPr="002C1E65">
              <w:rPr>
                <w:szCs w:val="20"/>
                <w:lang w:eastAsia="en-US"/>
              </w:rPr>
              <w:t>N/A</w:t>
            </w:r>
          </w:p>
        </w:tc>
        <w:tc>
          <w:tcPr>
            <w:tcW w:w="541" w:type="pct"/>
          </w:tcPr>
          <w:p w14:paraId="7EF72214" w14:textId="6DCF758B" w:rsidR="005B11E2" w:rsidRPr="002C1E65" w:rsidRDefault="005B11E2" w:rsidP="009C58F5">
            <w:pPr>
              <w:pStyle w:val="TableBodyText"/>
              <w:keepNext/>
              <w:keepLines/>
              <w:jc w:val="right"/>
              <w:rPr>
                <w:szCs w:val="20"/>
                <w:lang w:eastAsia="en-US"/>
              </w:rPr>
            </w:pPr>
            <w:r w:rsidRPr="002C1E65">
              <w:rPr>
                <w:szCs w:val="20"/>
                <w:lang w:eastAsia="en-US"/>
              </w:rPr>
              <w:t>N/A</w:t>
            </w:r>
          </w:p>
        </w:tc>
        <w:tc>
          <w:tcPr>
            <w:tcW w:w="957" w:type="pct"/>
          </w:tcPr>
          <w:p w14:paraId="785C6951" w14:textId="3C5835BA" w:rsidR="005B11E2" w:rsidRPr="002C1E65" w:rsidRDefault="005B11E2" w:rsidP="009C58F5">
            <w:pPr>
              <w:pStyle w:val="TableBodyText"/>
              <w:keepNext/>
              <w:keepLines/>
              <w:jc w:val="right"/>
              <w:rPr>
                <w:szCs w:val="20"/>
                <w:lang w:eastAsia="en-US"/>
              </w:rPr>
            </w:pPr>
            <w:r w:rsidRPr="002C1E65">
              <w:rPr>
                <w:szCs w:val="20"/>
                <w:lang w:eastAsia="en-US"/>
              </w:rPr>
              <w:t>N/A</w:t>
            </w:r>
          </w:p>
        </w:tc>
        <w:tc>
          <w:tcPr>
            <w:tcW w:w="2056" w:type="pct"/>
          </w:tcPr>
          <w:p w14:paraId="69E355CB" w14:textId="57241903" w:rsidR="005B11E2" w:rsidRPr="002C1E65" w:rsidRDefault="005B11E2" w:rsidP="009C58F5">
            <w:pPr>
              <w:pStyle w:val="TableBodyText"/>
              <w:keepNext/>
              <w:keepLines/>
              <w:rPr>
                <w:szCs w:val="20"/>
                <w:lang w:eastAsia="en-US"/>
              </w:rPr>
            </w:pPr>
            <w:r w:rsidRPr="002C1E65">
              <w:rPr>
                <w:szCs w:val="20"/>
                <w:lang w:eastAsia="en-US"/>
              </w:rPr>
              <w:t>N/A</w:t>
            </w:r>
          </w:p>
        </w:tc>
      </w:tr>
      <w:tr w:rsidR="005B11E2" w:rsidRPr="002C1E65" w14:paraId="58E40348" w14:textId="77777777" w:rsidTr="007E1EE3">
        <w:tc>
          <w:tcPr>
            <w:tcW w:w="918" w:type="pct"/>
          </w:tcPr>
          <w:p w14:paraId="4F76DF31" w14:textId="0D778746" w:rsidR="005B11E2" w:rsidRPr="002C1E65" w:rsidRDefault="005B11E2" w:rsidP="00F03998">
            <w:pPr>
              <w:pStyle w:val="TableBodyText"/>
              <w:rPr>
                <w:szCs w:val="20"/>
                <w:lang w:eastAsia="en-US"/>
              </w:rPr>
            </w:pPr>
            <w:r w:rsidRPr="002C1E65">
              <w:rPr>
                <w:szCs w:val="20"/>
                <w:lang w:eastAsia="en-US"/>
              </w:rPr>
              <w:t>Biogas</w:t>
            </w:r>
          </w:p>
        </w:tc>
        <w:tc>
          <w:tcPr>
            <w:tcW w:w="528" w:type="pct"/>
          </w:tcPr>
          <w:p w14:paraId="1E5D34CB" w14:textId="0F31EDB7" w:rsidR="005B11E2" w:rsidRPr="002C1E65" w:rsidRDefault="005B11E2" w:rsidP="007E1EE3">
            <w:pPr>
              <w:pStyle w:val="TableBodyText"/>
              <w:jc w:val="right"/>
              <w:rPr>
                <w:szCs w:val="20"/>
                <w:lang w:eastAsia="en-US"/>
              </w:rPr>
            </w:pPr>
            <w:r w:rsidRPr="002C1E65">
              <w:rPr>
                <w:szCs w:val="20"/>
                <w:lang w:eastAsia="en-US"/>
              </w:rPr>
              <w:t>13,805</w:t>
            </w:r>
          </w:p>
        </w:tc>
        <w:tc>
          <w:tcPr>
            <w:tcW w:w="541" w:type="pct"/>
          </w:tcPr>
          <w:p w14:paraId="78BF08FD" w14:textId="55E790B1" w:rsidR="005B11E2" w:rsidRPr="002C1E65" w:rsidRDefault="005B11E2" w:rsidP="007E1EE3">
            <w:pPr>
              <w:pStyle w:val="TableBodyText"/>
              <w:jc w:val="right"/>
              <w:rPr>
                <w:szCs w:val="20"/>
                <w:lang w:eastAsia="en-US"/>
              </w:rPr>
            </w:pPr>
            <w:r w:rsidRPr="002C1E65">
              <w:rPr>
                <w:szCs w:val="20"/>
                <w:lang w:eastAsia="en-US"/>
              </w:rPr>
              <w:t>18,755</w:t>
            </w:r>
          </w:p>
        </w:tc>
        <w:tc>
          <w:tcPr>
            <w:tcW w:w="957" w:type="pct"/>
          </w:tcPr>
          <w:p w14:paraId="523634DA" w14:textId="5E76A589" w:rsidR="005B11E2" w:rsidRPr="002C1E65" w:rsidRDefault="005B11E2" w:rsidP="007E1EE3">
            <w:pPr>
              <w:pStyle w:val="TableBodyText"/>
              <w:jc w:val="right"/>
              <w:rPr>
                <w:szCs w:val="20"/>
                <w:lang w:eastAsia="en-US"/>
              </w:rPr>
            </w:pPr>
            <w:r w:rsidRPr="002C1E65">
              <w:rPr>
                <w:szCs w:val="20"/>
                <w:lang w:eastAsia="en-US"/>
              </w:rPr>
              <w:t>5.68%</w:t>
            </w:r>
          </w:p>
        </w:tc>
        <w:tc>
          <w:tcPr>
            <w:tcW w:w="2056" w:type="pct"/>
          </w:tcPr>
          <w:p w14:paraId="53C8C96B" w14:textId="470958EC" w:rsidR="005B11E2" w:rsidRPr="002C1E65" w:rsidRDefault="005B11E2" w:rsidP="00F03998">
            <w:pPr>
              <w:pStyle w:val="TableBodyText"/>
              <w:rPr>
                <w:szCs w:val="20"/>
                <w:lang w:eastAsia="en-US"/>
              </w:rPr>
            </w:pPr>
            <w:r w:rsidRPr="002C1E65">
              <w:rPr>
                <w:szCs w:val="20"/>
                <w:lang w:eastAsia="en-US"/>
              </w:rPr>
              <w:t xml:space="preserve">In 2020-21, we produced a further 88,984 MWh from our biogas electricity generation facilities but sold the associated </w:t>
            </w:r>
            <w:r w:rsidR="00A52F94">
              <w:rPr>
                <w:szCs w:val="20"/>
                <w:lang w:eastAsia="en-US"/>
              </w:rPr>
              <w:t>Renewable Energy Certificates</w:t>
            </w:r>
            <w:r w:rsidRPr="002C1E65">
              <w:rPr>
                <w:szCs w:val="20"/>
                <w:lang w:eastAsia="en-US"/>
              </w:rPr>
              <w:t>, therefore this additional amount is not considered as renewable electricity consumed by Melbourne Water</w:t>
            </w:r>
          </w:p>
        </w:tc>
      </w:tr>
      <w:tr w:rsidR="005B11E2" w:rsidRPr="002C1E65" w14:paraId="4D374E11" w14:textId="77777777" w:rsidTr="007E1EE3">
        <w:tc>
          <w:tcPr>
            <w:tcW w:w="918" w:type="pct"/>
          </w:tcPr>
          <w:p w14:paraId="3E5ED333" w14:textId="4AE183DA" w:rsidR="005B11E2" w:rsidRPr="002C1E65" w:rsidRDefault="005B11E2" w:rsidP="00F03998">
            <w:pPr>
              <w:pStyle w:val="TableBodyText"/>
              <w:rPr>
                <w:szCs w:val="20"/>
                <w:lang w:eastAsia="en-US"/>
              </w:rPr>
            </w:pPr>
            <w:r w:rsidRPr="002C1E65">
              <w:rPr>
                <w:szCs w:val="20"/>
                <w:lang w:eastAsia="en-US"/>
              </w:rPr>
              <w:t>Hydroelectric</w:t>
            </w:r>
          </w:p>
        </w:tc>
        <w:tc>
          <w:tcPr>
            <w:tcW w:w="528" w:type="pct"/>
          </w:tcPr>
          <w:p w14:paraId="56D91089" w14:textId="40B5071B" w:rsidR="005B11E2" w:rsidRPr="002C1E65" w:rsidRDefault="005B11E2" w:rsidP="007E1EE3">
            <w:pPr>
              <w:pStyle w:val="TableBodyText"/>
              <w:jc w:val="right"/>
              <w:rPr>
                <w:szCs w:val="20"/>
                <w:lang w:eastAsia="en-US"/>
              </w:rPr>
            </w:pPr>
            <w:r w:rsidRPr="002C1E65">
              <w:rPr>
                <w:szCs w:val="20"/>
                <w:lang w:eastAsia="en-US"/>
              </w:rPr>
              <w:t>0</w:t>
            </w:r>
          </w:p>
        </w:tc>
        <w:tc>
          <w:tcPr>
            <w:tcW w:w="541" w:type="pct"/>
          </w:tcPr>
          <w:p w14:paraId="605C3CC5" w14:textId="21F8A66F" w:rsidR="005B11E2" w:rsidRPr="002C1E65" w:rsidRDefault="005B11E2" w:rsidP="007E1EE3">
            <w:pPr>
              <w:pStyle w:val="TableBodyText"/>
              <w:jc w:val="right"/>
              <w:rPr>
                <w:szCs w:val="20"/>
                <w:lang w:eastAsia="en-US"/>
              </w:rPr>
            </w:pPr>
            <w:r w:rsidRPr="002C1E65">
              <w:rPr>
                <w:szCs w:val="20"/>
                <w:lang w:eastAsia="en-US"/>
              </w:rPr>
              <w:t>0</w:t>
            </w:r>
          </w:p>
        </w:tc>
        <w:tc>
          <w:tcPr>
            <w:tcW w:w="957" w:type="pct"/>
          </w:tcPr>
          <w:p w14:paraId="659307E4" w14:textId="68DAB9E6" w:rsidR="005B11E2" w:rsidRPr="002C1E65" w:rsidRDefault="005B11E2" w:rsidP="007E1EE3">
            <w:pPr>
              <w:pStyle w:val="TableBodyText"/>
              <w:jc w:val="right"/>
              <w:rPr>
                <w:szCs w:val="20"/>
                <w:lang w:eastAsia="en-US"/>
              </w:rPr>
            </w:pPr>
            <w:r w:rsidRPr="002C1E65">
              <w:rPr>
                <w:szCs w:val="20"/>
                <w:lang w:eastAsia="en-US"/>
              </w:rPr>
              <w:t>0%</w:t>
            </w:r>
          </w:p>
        </w:tc>
        <w:tc>
          <w:tcPr>
            <w:tcW w:w="2056" w:type="pct"/>
          </w:tcPr>
          <w:p w14:paraId="4D944C13" w14:textId="7752D541" w:rsidR="005B11E2" w:rsidRPr="002C1E65" w:rsidRDefault="005B11E2" w:rsidP="00F03998">
            <w:pPr>
              <w:pStyle w:val="TableBodyText"/>
              <w:rPr>
                <w:szCs w:val="20"/>
                <w:lang w:eastAsia="en-US"/>
              </w:rPr>
            </w:pPr>
            <w:r w:rsidRPr="002C1E65">
              <w:rPr>
                <w:szCs w:val="20"/>
                <w:lang w:eastAsia="en-US"/>
              </w:rPr>
              <w:t xml:space="preserve">In 2020-21, we produced 36,782 MWh of hydroelectricity with the majority exported to the grid, which does not contribute to our renewable energy consumption. A small proportion (30 MWh) was used on site but we sold the associated </w:t>
            </w:r>
            <w:r w:rsidR="00A52F94">
              <w:rPr>
                <w:szCs w:val="20"/>
                <w:lang w:eastAsia="en-US"/>
              </w:rPr>
              <w:t>Renewable Energy Certificates</w:t>
            </w:r>
            <w:r w:rsidRPr="002C1E65">
              <w:rPr>
                <w:szCs w:val="20"/>
                <w:lang w:eastAsia="en-US"/>
              </w:rPr>
              <w:t>, therefore this cannot be classified as renewable electricity consumed by Melbourne Water</w:t>
            </w:r>
          </w:p>
        </w:tc>
      </w:tr>
      <w:tr w:rsidR="005B11E2" w:rsidRPr="002C1E65" w14:paraId="77D8EC61" w14:textId="77777777" w:rsidTr="007E1EE3">
        <w:tc>
          <w:tcPr>
            <w:tcW w:w="918" w:type="pct"/>
          </w:tcPr>
          <w:p w14:paraId="4E285AA3" w14:textId="3D7D5DF0" w:rsidR="005B11E2" w:rsidRPr="002C1E65" w:rsidRDefault="005B11E2" w:rsidP="00F03998">
            <w:pPr>
              <w:pStyle w:val="TableBodyText"/>
              <w:rPr>
                <w:szCs w:val="20"/>
                <w:lang w:eastAsia="en-US"/>
              </w:rPr>
            </w:pPr>
            <w:r w:rsidRPr="002C1E65">
              <w:rPr>
                <w:szCs w:val="20"/>
                <w:lang w:eastAsia="en-US"/>
              </w:rPr>
              <w:t>Solar</w:t>
            </w:r>
          </w:p>
        </w:tc>
        <w:tc>
          <w:tcPr>
            <w:tcW w:w="528" w:type="pct"/>
          </w:tcPr>
          <w:p w14:paraId="7D2A057D" w14:textId="0D89917D" w:rsidR="005B11E2" w:rsidRPr="002C1E65" w:rsidRDefault="005B11E2" w:rsidP="007E1EE3">
            <w:pPr>
              <w:pStyle w:val="TableBodyText"/>
              <w:jc w:val="right"/>
              <w:rPr>
                <w:szCs w:val="20"/>
                <w:lang w:eastAsia="en-US"/>
              </w:rPr>
            </w:pPr>
            <w:r w:rsidRPr="002C1E65">
              <w:rPr>
                <w:szCs w:val="20"/>
                <w:lang w:eastAsia="en-US"/>
              </w:rPr>
              <w:t>0</w:t>
            </w:r>
          </w:p>
        </w:tc>
        <w:tc>
          <w:tcPr>
            <w:tcW w:w="541" w:type="pct"/>
          </w:tcPr>
          <w:p w14:paraId="50218A4A" w14:textId="719F1EF5" w:rsidR="005B11E2" w:rsidRPr="002C1E65" w:rsidRDefault="005B11E2" w:rsidP="007E1EE3">
            <w:pPr>
              <w:pStyle w:val="TableBodyText"/>
              <w:jc w:val="right"/>
              <w:rPr>
                <w:szCs w:val="20"/>
                <w:lang w:eastAsia="en-US"/>
              </w:rPr>
            </w:pPr>
            <w:r w:rsidRPr="002C1E65">
              <w:rPr>
                <w:szCs w:val="20"/>
                <w:lang w:eastAsia="en-US"/>
              </w:rPr>
              <w:t>0</w:t>
            </w:r>
          </w:p>
        </w:tc>
        <w:tc>
          <w:tcPr>
            <w:tcW w:w="957" w:type="pct"/>
          </w:tcPr>
          <w:p w14:paraId="31C318B8" w14:textId="69FBFEB2" w:rsidR="005B11E2" w:rsidRPr="002C1E65" w:rsidRDefault="005B11E2" w:rsidP="007E1EE3">
            <w:pPr>
              <w:pStyle w:val="TableBodyText"/>
              <w:jc w:val="right"/>
              <w:rPr>
                <w:szCs w:val="20"/>
                <w:lang w:eastAsia="en-US"/>
              </w:rPr>
            </w:pPr>
            <w:r w:rsidRPr="002C1E65">
              <w:rPr>
                <w:szCs w:val="20"/>
                <w:lang w:eastAsia="en-US"/>
              </w:rPr>
              <w:t>0%</w:t>
            </w:r>
          </w:p>
        </w:tc>
        <w:tc>
          <w:tcPr>
            <w:tcW w:w="2056" w:type="pct"/>
          </w:tcPr>
          <w:p w14:paraId="24980A89" w14:textId="4D8F8B83" w:rsidR="005B11E2" w:rsidRPr="002C1E65" w:rsidRDefault="005B11E2" w:rsidP="00F03998">
            <w:pPr>
              <w:pStyle w:val="TableBodyText"/>
              <w:rPr>
                <w:szCs w:val="20"/>
                <w:lang w:eastAsia="en-US"/>
              </w:rPr>
            </w:pPr>
            <w:r w:rsidRPr="002C1E65">
              <w:rPr>
                <w:szCs w:val="20"/>
                <w:lang w:eastAsia="en-US"/>
              </w:rPr>
              <w:t>Presently we do not have any commissioned solar assets generating electricity</w:t>
            </w:r>
          </w:p>
        </w:tc>
      </w:tr>
      <w:tr w:rsidR="005B11E2" w:rsidRPr="002C1E65" w14:paraId="130D348C" w14:textId="77777777" w:rsidTr="007E1EE3">
        <w:tc>
          <w:tcPr>
            <w:tcW w:w="918" w:type="pct"/>
          </w:tcPr>
          <w:p w14:paraId="57DE7299" w14:textId="104D1712" w:rsidR="005B11E2" w:rsidRPr="002C1E65" w:rsidRDefault="005B11E2" w:rsidP="00F03998">
            <w:pPr>
              <w:pStyle w:val="TableBodyText"/>
              <w:rPr>
                <w:szCs w:val="20"/>
                <w:lang w:eastAsia="en-US"/>
              </w:rPr>
            </w:pPr>
            <w:r w:rsidRPr="002C1E65">
              <w:rPr>
                <w:szCs w:val="20"/>
                <w:lang w:eastAsia="en-US"/>
              </w:rPr>
              <w:t>Wind</w:t>
            </w:r>
          </w:p>
        </w:tc>
        <w:tc>
          <w:tcPr>
            <w:tcW w:w="528" w:type="pct"/>
          </w:tcPr>
          <w:p w14:paraId="0BDF370B" w14:textId="787AC3EF" w:rsidR="005B11E2" w:rsidRPr="002C1E65" w:rsidRDefault="005B11E2" w:rsidP="007E1EE3">
            <w:pPr>
              <w:pStyle w:val="TableBodyText"/>
              <w:jc w:val="right"/>
              <w:rPr>
                <w:szCs w:val="20"/>
                <w:lang w:eastAsia="en-US"/>
              </w:rPr>
            </w:pPr>
            <w:r w:rsidRPr="002C1E65">
              <w:rPr>
                <w:szCs w:val="20"/>
                <w:lang w:eastAsia="en-US"/>
              </w:rPr>
              <w:t>0</w:t>
            </w:r>
          </w:p>
        </w:tc>
        <w:tc>
          <w:tcPr>
            <w:tcW w:w="541" w:type="pct"/>
          </w:tcPr>
          <w:p w14:paraId="0D4F6436" w14:textId="18BBA316" w:rsidR="005B11E2" w:rsidRPr="002C1E65" w:rsidRDefault="005B11E2" w:rsidP="007E1EE3">
            <w:pPr>
              <w:pStyle w:val="TableBodyText"/>
              <w:jc w:val="right"/>
              <w:rPr>
                <w:szCs w:val="20"/>
                <w:lang w:eastAsia="en-US"/>
              </w:rPr>
            </w:pPr>
            <w:r w:rsidRPr="002C1E65">
              <w:rPr>
                <w:szCs w:val="20"/>
                <w:lang w:eastAsia="en-US"/>
              </w:rPr>
              <w:t>0</w:t>
            </w:r>
          </w:p>
        </w:tc>
        <w:tc>
          <w:tcPr>
            <w:tcW w:w="957" w:type="pct"/>
          </w:tcPr>
          <w:p w14:paraId="39C41C79" w14:textId="5E4D3875" w:rsidR="005B11E2" w:rsidRPr="002C1E65" w:rsidRDefault="005B11E2" w:rsidP="007E1EE3">
            <w:pPr>
              <w:pStyle w:val="TableBodyText"/>
              <w:jc w:val="right"/>
              <w:rPr>
                <w:szCs w:val="20"/>
                <w:lang w:eastAsia="en-US"/>
              </w:rPr>
            </w:pPr>
            <w:r w:rsidRPr="002C1E65">
              <w:rPr>
                <w:szCs w:val="20"/>
                <w:lang w:eastAsia="en-US"/>
              </w:rPr>
              <w:t>0%</w:t>
            </w:r>
          </w:p>
        </w:tc>
        <w:tc>
          <w:tcPr>
            <w:tcW w:w="2056" w:type="pct"/>
          </w:tcPr>
          <w:p w14:paraId="338511EB" w14:textId="1C97D99E" w:rsidR="005B11E2" w:rsidRPr="002C1E65" w:rsidRDefault="005B11E2" w:rsidP="00F03998">
            <w:pPr>
              <w:pStyle w:val="TableBodyText"/>
              <w:rPr>
                <w:szCs w:val="20"/>
                <w:lang w:eastAsia="en-US"/>
              </w:rPr>
            </w:pPr>
            <w:r w:rsidRPr="002C1E65">
              <w:rPr>
                <w:szCs w:val="20"/>
                <w:lang w:eastAsia="en-US"/>
              </w:rPr>
              <w:t>Presently we do not have any wind assets in our portfolio</w:t>
            </w:r>
          </w:p>
        </w:tc>
      </w:tr>
      <w:tr w:rsidR="005B11E2" w:rsidRPr="002C1E65" w14:paraId="2EEF08BF" w14:textId="77777777" w:rsidTr="007E1EE3">
        <w:tc>
          <w:tcPr>
            <w:tcW w:w="918" w:type="pct"/>
          </w:tcPr>
          <w:p w14:paraId="5DBAC1DC" w14:textId="21149A51" w:rsidR="005B11E2" w:rsidRPr="002C1E65" w:rsidRDefault="005B11E2" w:rsidP="00F03998">
            <w:pPr>
              <w:pStyle w:val="TableBodyText"/>
              <w:rPr>
                <w:rStyle w:val="Bold"/>
                <w:szCs w:val="20"/>
              </w:rPr>
            </w:pPr>
            <w:r w:rsidRPr="002C1E65">
              <w:rPr>
                <w:rStyle w:val="Bold"/>
                <w:szCs w:val="20"/>
              </w:rPr>
              <w:t>Total self-sourced</w:t>
            </w:r>
          </w:p>
        </w:tc>
        <w:tc>
          <w:tcPr>
            <w:tcW w:w="528" w:type="pct"/>
          </w:tcPr>
          <w:p w14:paraId="60ABED09" w14:textId="0D207CB3" w:rsidR="005B11E2" w:rsidRPr="002C1E65" w:rsidRDefault="005B11E2" w:rsidP="007E1EE3">
            <w:pPr>
              <w:pStyle w:val="TableBodyText"/>
              <w:jc w:val="right"/>
              <w:rPr>
                <w:rStyle w:val="Bold"/>
                <w:szCs w:val="20"/>
              </w:rPr>
            </w:pPr>
            <w:r w:rsidRPr="002C1E65">
              <w:rPr>
                <w:rStyle w:val="Bold"/>
                <w:szCs w:val="20"/>
              </w:rPr>
              <w:t>13,805</w:t>
            </w:r>
          </w:p>
        </w:tc>
        <w:tc>
          <w:tcPr>
            <w:tcW w:w="541" w:type="pct"/>
          </w:tcPr>
          <w:p w14:paraId="3EB1637D" w14:textId="7C6DBCC6" w:rsidR="005B11E2" w:rsidRPr="002C1E65" w:rsidRDefault="005B11E2" w:rsidP="007E1EE3">
            <w:pPr>
              <w:pStyle w:val="TableBodyText"/>
              <w:jc w:val="right"/>
              <w:rPr>
                <w:rStyle w:val="Bold"/>
                <w:szCs w:val="20"/>
              </w:rPr>
            </w:pPr>
            <w:r w:rsidRPr="002C1E65">
              <w:rPr>
                <w:rStyle w:val="Bold"/>
                <w:szCs w:val="20"/>
              </w:rPr>
              <w:t>18,755</w:t>
            </w:r>
          </w:p>
        </w:tc>
        <w:tc>
          <w:tcPr>
            <w:tcW w:w="957" w:type="pct"/>
          </w:tcPr>
          <w:p w14:paraId="072B9375" w14:textId="2D1945B2" w:rsidR="005B11E2" w:rsidRPr="002C1E65" w:rsidRDefault="005B11E2" w:rsidP="007E1EE3">
            <w:pPr>
              <w:pStyle w:val="TableBodyText"/>
              <w:jc w:val="right"/>
              <w:rPr>
                <w:rStyle w:val="Bold"/>
                <w:szCs w:val="20"/>
              </w:rPr>
            </w:pPr>
            <w:r w:rsidRPr="002C1E65">
              <w:rPr>
                <w:rStyle w:val="Bold"/>
                <w:szCs w:val="20"/>
              </w:rPr>
              <w:t>5.68%</w:t>
            </w:r>
          </w:p>
        </w:tc>
        <w:tc>
          <w:tcPr>
            <w:tcW w:w="2056" w:type="pct"/>
          </w:tcPr>
          <w:p w14:paraId="3642777F" w14:textId="0AC702DC" w:rsidR="005B11E2" w:rsidRPr="002C1E65" w:rsidRDefault="005B11E2" w:rsidP="00F03998">
            <w:pPr>
              <w:pStyle w:val="TableBodyText"/>
              <w:rPr>
                <w:szCs w:val="20"/>
                <w:lang w:eastAsia="en-US"/>
              </w:rPr>
            </w:pPr>
            <w:r w:rsidRPr="002C1E65">
              <w:rPr>
                <w:szCs w:val="20"/>
                <w:lang w:eastAsia="en-US"/>
              </w:rPr>
              <w:t>N/A</w:t>
            </w:r>
          </w:p>
        </w:tc>
      </w:tr>
      <w:tr w:rsidR="005B11E2" w:rsidRPr="002C1E65" w14:paraId="773891C1" w14:textId="77777777" w:rsidTr="007E1EE3">
        <w:tc>
          <w:tcPr>
            <w:tcW w:w="918" w:type="pct"/>
          </w:tcPr>
          <w:p w14:paraId="347D6520" w14:textId="0583EE48" w:rsidR="005B11E2" w:rsidRPr="002C1E65" w:rsidRDefault="005B11E2" w:rsidP="00F03998">
            <w:pPr>
              <w:pStyle w:val="TableBodyText"/>
              <w:rPr>
                <w:rStyle w:val="Bold"/>
                <w:szCs w:val="20"/>
              </w:rPr>
            </w:pPr>
            <w:r w:rsidRPr="002C1E65">
              <w:rPr>
                <w:rStyle w:val="Bold"/>
                <w:szCs w:val="20"/>
              </w:rPr>
              <w:t>Total renewable electricity consumption</w:t>
            </w:r>
          </w:p>
        </w:tc>
        <w:tc>
          <w:tcPr>
            <w:tcW w:w="528" w:type="pct"/>
          </w:tcPr>
          <w:p w14:paraId="499D515E" w14:textId="1506AA60" w:rsidR="005B11E2" w:rsidRPr="002C1E65" w:rsidRDefault="005B11E2" w:rsidP="007E1EE3">
            <w:pPr>
              <w:pStyle w:val="TableBodyText"/>
              <w:jc w:val="right"/>
              <w:rPr>
                <w:rStyle w:val="Bold"/>
                <w:szCs w:val="20"/>
              </w:rPr>
            </w:pPr>
            <w:r w:rsidRPr="002C1E65">
              <w:rPr>
                <w:rStyle w:val="Bold"/>
                <w:szCs w:val="20"/>
              </w:rPr>
              <w:t>62,252</w:t>
            </w:r>
          </w:p>
        </w:tc>
        <w:tc>
          <w:tcPr>
            <w:tcW w:w="541" w:type="pct"/>
          </w:tcPr>
          <w:p w14:paraId="33476DB3" w14:textId="759157FD" w:rsidR="005B11E2" w:rsidRPr="002C1E65" w:rsidRDefault="005B11E2" w:rsidP="007E1EE3">
            <w:pPr>
              <w:pStyle w:val="TableBodyText"/>
              <w:jc w:val="right"/>
              <w:rPr>
                <w:rStyle w:val="Bold"/>
                <w:szCs w:val="20"/>
              </w:rPr>
            </w:pPr>
            <w:r w:rsidRPr="002C1E65">
              <w:rPr>
                <w:rStyle w:val="Bold"/>
                <w:szCs w:val="20"/>
              </w:rPr>
              <w:t>60,789</w:t>
            </w:r>
          </w:p>
        </w:tc>
        <w:tc>
          <w:tcPr>
            <w:tcW w:w="957" w:type="pct"/>
          </w:tcPr>
          <w:p w14:paraId="56482ABE" w14:textId="76166014" w:rsidR="005B11E2" w:rsidRPr="002C1E65" w:rsidRDefault="005B11E2" w:rsidP="007E1EE3">
            <w:pPr>
              <w:pStyle w:val="TableBodyText"/>
              <w:jc w:val="right"/>
              <w:rPr>
                <w:rStyle w:val="Bold"/>
                <w:szCs w:val="20"/>
              </w:rPr>
            </w:pPr>
            <w:r w:rsidRPr="002C1E65">
              <w:rPr>
                <w:rStyle w:val="Bold"/>
                <w:szCs w:val="20"/>
              </w:rPr>
              <w:t>18.42%</w:t>
            </w:r>
          </w:p>
        </w:tc>
        <w:tc>
          <w:tcPr>
            <w:tcW w:w="2056" w:type="pct"/>
          </w:tcPr>
          <w:p w14:paraId="299C9623" w14:textId="62E6F94F" w:rsidR="005B11E2" w:rsidRPr="002C1E65" w:rsidRDefault="005B11E2" w:rsidP="00F03998">
            <w:pPr>
              <w:pStyle w:val="TableBodyText"/>
              <w:rPr>
                <w:szCs w:val="20"/>
                <w:lang w:eastAsia="en-US"/>
              </w:rPr>
            </w:pPr>
            <w:r w:rsidRPr="002C1E65">
              <w:rPr>
                <w:szCs w:val="20"/>
                <w:lang w:eastAsia="en-US"/>
              </w:rPr>
              <w:t>N/A</w:t>
            </w:r>
          </w:p>
        </w:tc>
      </w:tr>
    </w:tbl>
    <w:p w14:paraId="009A1194" w14:textId="1290C33A" w:rsidR="005B11E2" w:rsidRDefault="005B11E2" w:rsidP="005B11E2">
      <w:pPr>
        <w:pStyle w:val="BodyText"/>
        <w:rPr>
          <w:lang w:eastAsia="en-US"/>
        </w:rPr>
      </w:pPr>
      <w:bookmarkStart w:id="457" w:name="Note1Table7"/>
      <w:r>
        <w:rPr>
          <w:lang w:eastAsia="en-US"/>
        </w:rPr>
        <w:t>Note 1</w:t>
      </w:r>
      <w:bookmarkEnd w:id="457"/>
      <w:r>
        <w:rPr>
          <w:lang w:eastAsia="en-US"/>
        </w:rPr>
        <w:t xml:space="preserve">: Renewable electricity consumption, based on mandatory surrender of </w:t>
      </w:r>
      <w:r w:rsidR="00A52F94">
        <w:rPr>
          <w:lang w:eastAsia="en-US"/>
        </w:rPr>
        <w:t>Renewable Energy Certificates</w:t>
      </w:r>
      <w:r>
        <w:rPr>
          <w:lang w:eastAsia="en-US"/>
        </w:rPr>
        <w:t xml:space="preserve"> via our retail electricity contract, to comply with the Commonwealth Government’s Large-scale Renewable Energy Target (LRET).</w:t>
      </w:r>
    </w:p>
    <w:p w14:paraId="25002BD9" w14:textId="53A2E8C1" w:rsidR="00541945" w:rsidRDefault="005B11E2" w:rsidP="005B11E2">
      <w:pPr>
        <w:pStyle w:val="BodyText"/>
        <w:rPr>
          <w:lang w:eastAsia="en-US"/>
        </w:rPr>
      </w:pPr>
      <w:bookmarkStart w:id="458" w:name="Note2Table7"/>
      <w:r>
        <w:rPr>
          <w:lang w:eastAsia="en-US"/>
        </w:rPr>
        <w:t>Note 2</w:t>
      </w:r>
      <w:bookmarkEnd w:id="458"/>
      <w:r>
        <w:rPr>
          <w:lang w:eastAsia="en-US"/>
        </w:rPr>
        <w:t>: Renewable electricity consumption as a result of activities and initiatives led by Melbourne Water.</w:t>
      </w:r>
    </w:p>
    <w:p w14:paraId="499B8A23" w14:textId="77777777" w:rsidR="00B1494B" w:rsidRDefault="00B1494B" w:rsidP="00B1494B">
      <w:pPr>
        <w:pStyle w:val="Heading3"/>
      </w:pPr>
      <w:bookmarkStart w:id="459" w:name="_Toc89723045"/>
      <w:bookmarkStart w:id="460" w:name="_Ref89805727"/>
      <w:bookmarkStart w:id="461" w:name="_Ref89809830"/>
      <w:bookmarkStart w:id="462" w:name="_Toc90325988"/>
      <w:bookmarkStart w:id="463" w:name="_Toc93659394"/>
      <w:r>
        <w:t>Melbourne Water Corporate Water Consumption</w:t>
      </w:r>
      <w:bookmarkEnd w:id="459"/>
      <w:bookmarkEnd w:id="460"/>
      <w:bookmarkEnd w:id="461"/>
      <w:bookmarkEnd w:id="462"/>
      <w:bookmarkEnd w:id="463"/>
    </w:p>
    <w:p w14:paraId="08684DAD" w14:textId="276E22C3" w:rsidR="008312D6" w:rsidRDefault="00B1494B" w:rsidP="00B1494B">
      <w:pPr>
        <w:pStyle w:val="BodyText"/>
        <w:rPr>
          <w:lang w:eastAsia="en-US"/>
        </w:rPr>
      </w:pPr>
      <w:r>
        <w:rPr>
          <w:lang w:eastAsia="en-US"/>
        </w:rPr>
        <w:t>Melbourne Water’s corporate water consumption for 2020-21 was 74.19kL or 0.10kL/FTE/year based on operations at our corporate office at 990 La Trobe Street.</w:t>
      </w:r>
    </w:p>
    <w:p w14:paraId="41CB2F26" w14:textId="25B9201A" w:rsidR="00B1494B" w:rsidRDefault="00B1494B" w:rsidP="00B1494B">
      <w:pPr>
        <w:pStyle w:val="Heading2"/>
      </w:pPr>
      <w:bookmarkStart w:id="464" w:name="_Toc89723046"/>
      <w:bookmarkStart w:id="465" w:name="_Toc89723221"/>
      <w:bookmarkStart w:id="466" w:name="_Toc89723281"/>
      <w:bookmarkStart w:id="467" w:name="_Ref89805491"/>
      <w:bookmarkStart w:id="468" w:name="_Ref89809783"/>
      <w:bookmarkStart w:id="469" w:name="_Toc89860545"/>
      <w:bookmarkStart w:id="470" w:name="_Toc89860689"/>
      <w:bookmarkStart w:id="471" w:name="_Toc90325989"/>
      <w:bookmarkStart w:id="472" w:name="_Toc93659395"/>
      <w:r>
        <w:t>Statutory obligations</w:t>
      </w:r>
      <w:bookmarkEnd w:id="464"/>
      <w:bookmarkEnd w:id="465"/>
      <w:bookmarkEnd w:id="466"/>
      <w:bookmarkEnd w:id="467"/>
      <w:bookmarkEnd w:id="468"/>
      <w:bookmarkEnd w:id="469"/>
      <w:bookmarkEnd w:id="470"/>
      <w:bookmarkEnd w:id="471"/>
      <w:bookmarkEnd w:id="472"/>
    </w:p>
    <w:p w14:paraId="2ADCA05E" w14:textId="77777777" w:rsidR="00B1494B" w:rsidRDefault="00B1494B" w:rsidP="00B1494B">
      <w:pPr>
        <w:pStyle w:val="Heading3"/>
      </w:pPr>
      <w:bookmarkStart w:id="473" w:name="_Toc89723047"/>
      <w:bookmarkStart w:id="474" w:name="_Toc90325990"/>
      <w:bookmarkStart w:id="475" w:name="_Toc93659396"/>
      <w:r>
        <w:t>Enhancing biodiversity</w:t>
      </w:r>
      <w:bookmarkEnd w:id="473"/>
      <w:bookmarkEnd w:id="474"/>
      <w:bookmarkEnd w:id="475"/>
    </w:p>
    <w:p w14:paraId="4A72029B" w14:textId="3581CD90" w:rsidR="00B1494B" w:rsidRDefault="00B1494B" w:rsidP="00B1494B">
      <w:pPr>
        <w:pStyle w:val="BodyText"/>
        <w:rPr>
          <w:lang w:eastAsia="en-US"/>
        </w:rPr>
      </w:pPr>
      <w:r>
        <w:rPr>
          <w:lang w:eastAsia="en-US"/>
        </w:rPr>
        <w:t xml:space="preserve">Melbourne Water manages significant landholdings that support diverse communities of native plants and animals. We develop and implement strategies that protect native biodiversity, in compliance with Victorian and Commonwealth biodiversity obligations and our </w:t>
      </w:r>
      <w:r w:rsidRPr="00B1494B">
        <w:rPr>
          <w:rStyle w:val="ItalicText"/>
          <w:lang w:eastAsia="en-US"/>
        </w:rPr>
        <w:t>Healthy Waterways Strategy</w:t>
      </w:r>
      <w:r>
        <w:rPr>
          <w:lang w:eastAsia="en-US"/>
        </w:rPr>
        <w:t>.</w:t>
      </w:r>
    </w:p>
    <w:p w14:paraId="5CA02253" w14:textId="42542177" w:rsidR="00B1494B" w:rsidRDefault="00B1494B" w:rsidP="00B1494B">
      <w:pPr>
        <w:pStyle w:val="BodyText"/>
        <w:rPr>
          <w:lang w:eastAsia="en-US"/>
        </w:rPr>
      </w:pPr>
      <w:r>
        <w:rPr>
          <w:lang w:eastAsia="en-US"/>
        </w:rPr>
        <w:lastRenderedPageBreak/>
        <w:t>As waterways manager and a significant landowner, Melbourne Water has a critical role in managing the waterways, estuaries and wetlands which are essential to the survival of much of our region’s biodiversity.</w:t>
      </w:r>
    </w:p>
    <w:p w14:paraId="688CFB3F" w14:textId="67D6C485" w:rsidR="00B1494B" w:rsidRDefault="00B1494B" w:rsidP="00B1494B">
      <w:pPr>
        <w:pStyle w:val="BodyText"/>
        <w:rPr>
          <w:lang w:eastAsia="en-US"/>
        </w:rPr>
      </w:pPr>
      <w:r>
        <w:rPr>
          <w:lang w:eastAsia="en-US"/>
        </w:rPr>
        <w:t xml:space="preserve">Melbourne Water manages two Ramsar-listed wetlands of international importance, where we invest in biodiversity conservation, and 44 other properties identified as sites of biodiversity significance. The </w:t>
      </w:r>
      <w:r w:rsidR="0030196D">
        <w:rPr>
          <w:lang w:eastAsia="en-US"/>
        </w:rPr>
        <w:t>Western Treatment Plant</w:t>
      </w:r>
      <w:r>
        <w:rPr>
          <w:lang w:eastAsia="en-US"/>
        </w:rPr>
        <w:t xml:space="preserve"> Ramsar-listed site is a major portion of Port Phillip Bay (Western Shoreline) and Bellarine Peninsula Ramsar site, where we play an important role in managing nutrient and sediment input at the site. We also manage the Edithvale-Seaford Wetlands Ramsar site.</w:t>
      </w:r>
    </w:p>
    <w:p w14:paraId="1B795BCA" w14:textId="2763CC2B" w:rsidR="00B1494B" w:rsidRDefault="00B1494B" w:rsidP="00B1494B">
      <w:pPr>
        <w:pStyle w:val="BodyText"/>
        <w:rPr>
          <w:lang w:eastAsia="en-US"/>
        </w:rPr>
      </w:pPr>
      <w:r>
        <w:rPr>
          <w:lang w:eastAsia="en-US"/>
        </w:rPr>
        <w:t xml:space="preserve">Our </w:t>
      </w:r>
      <w:r w:rsidR="0030196D">
        <w:rPr>
          <w:lang w:eastAsia="en-US"/>
        </w:rPr>
        <w:t>Western Treatment Plant</w:t>
      </w:r>
      <w:r>
        <w:rPr>
          <w:lang w:eastAsia="en-US"/>
        </w:rPr>
        <w:t xml:space="preserve"> lagoon-based sewage treatment ponds support a wide range of biodiversity values including waterfowl, shorebirds, Growling Grass Frogs and Straw-necked Ibis. To maintain the right hydrological regime essential to support these values, we updated our </w:t>
      </w:r>
      <w:r w:rsidRPr="00B1494B">
        <w:rPr>
          <w:rStyle w:val="ItalicText"/>
          <w:lang w:eastAsia="en-US"/>
        </w:rPr>
        <w:t>Environmental Flow</w:t>
      </w:r>
      <w:r w:rsidRPr="00B1494B">
        <w:rPr>
          <w:rStyle w:val="ItalicText"/>
        </w:rPr>
        <w:t xml:space="preserve"> </w:t>
      </w:r>
      <w:r w:rsidRPr="00B1494B">
        <w:rPr>
          <w:rStyle w:val="ItalicText"/>
          <w:lang w:eastAsia="en-US"/>
        </w:rPr>
        <w:t>Recommendations</w:t>
      </w:r>
      <w:r>
        <w:rPr>
          <w:lang w:eastAsia="en-US"/>
        </w:rPr>
        <w:t xml:space="preserve"> drawing on latest monitoring data. Level loggers in key habitat ponds were installed to assist with achieving the correct conditions for shorebirds and Growling Grass Frogs.</w:t>
      </w:r>
    </w:p>
    <w:p w14:paraId="47386808" w14:textId="642EBBAA" w:rsidR="00B1494B" w:rsidRDefault="00B1494B" w:rsidP="00B1494B">
      <w:pPr>
        <w:pStyle w:val="BodyText"/>
        <w:rPr>
          <w:lang w:eastAsia="en-US"/>
        </w:rPr>
      </w:pPr>
      <w:r>
        <w:rPr>
          <w:lang w:eastAsia="en-US"/>
        </w:rPr>
        <w:t xml:space="preserve">The Ramsar-listed Edithvale-Seaford Wetlands are the largest remaining part of the former Carrum Carrum Swamp and home to many bird species, including the endangered Australasian Bittern. Works in 2020-21 included undertaking a feasibility study into the possible use of recycled water from the </w:t>
      </w:r>
      <w:r w:rsidR="00A52F94">
        <w:rPr>
          <w:lang w:eastAsia="en-US"/>
        </w:rPr>
        <w:t>Eastern Treatment Plant</w:t>
      </w:r>
      <w:r>
        <w:rPr>
          <w:lang w:eastAsia="en-US"/>
        </w:rPr>
        <w:t xml:space="preserve"> to reduce impacts of climate change at Seaford Wetlands. Melbourne Water also engaged RMIT to undertake research into water and sediment quality at both Edithvale and Seaford wetlands. This research is leading us to an improved understanding of the macroinvertebrates living in the sediment and their tolerance to pollution. A number of ecologically based projects are being scoped as part of </w:t>
      </w:r>
      <w:r w:rsidR="0030196D">
        <w:rPr>
          <w:lang w:eastAsia="en-US"/>
        </w:rPr>
        <w:t>Department of Environment, Land, Water and Planning</w:t>
      </w:r>
      <w:r>
        <w:rPr>
          <w:lang w:eastAsia="en-US"/>
        </w:rPr>
        <w:t>’s $5 million Suburban Parks Program at Seaford Wetlands, ready to be delivered by June 2022. Projects include replacing old nest boxes, installing live cameras and carrying out plantings to enhance habitat.</w:t>
      </w:r>
    </w:p>
    <w:p w14:paraId="5F30EE14" w14:textId="63A73FAD" w:rsidR="00B1494B" w:rsidRDefault="00B1494B" w:rsidP="00B1494B">
      <w:pPr>
        <w:pStyle w:val="BodyText"/>
        <w:rPr>
          <w:lang w:eastAsia="en-US"/>
        </w:rPr>
      </w:pPr>
      <w:r>
        <w:rPr>
          <w:lang w:eastAsia="en-US"/>
        </w:rPr>
        <w:t xml:space="preserve">In 2019-20, Melbourne Water began implementing the Growling Grass Frog (GGF) Masterplan Program in Melbourne’s urban growth areas under an agreement with </w:t>
      </w:r>
      <w:r w:rsidR="0030196D">
        <w:rPr>
          <w:lang w:eastAsia="en-US"/>
        </w:rPr>
        <w:t>Department of Environment, Land, Water and Planning</w:t>
      </w:r>
      <w:r>
        <w:rPr>
          <w:lang w:eastAsia="en-US"/>
        </w:rPr>
        <w:t>. The program meets development approval conditions under Commonwealth environmental legislation. As urban development occurs over the next 30 years, Melbourne Water will construct about 80 GGF habitat wetlands and manage around 2000 hectares of GGF conservation area. This year we identified the detailed watering regimes required to achieve high-quality habitat and obtained salinity modelling that will assist Melbourne Water to maintain suitable conditions over time. At the first constructed GGF wetland, vegetation was established and GGF breeding success was confirmed with the sighting of 15 young in February 2021.</w:t>
      </w:r>
    </w:p>
    <w:p w14:paraId="732A51F3" w14:textId="77777777" w:rsidR="00B1494B" w:rsidRDefault="00B1494B" w:rsidP="00B1494B">
      <w:pPr>
        <w:pStyle w:val="Heading3"/>
      </w:pPr>
      <w:bookmarkStart w:id="476" w:name="_Toc89723048"/>
      <w:bookmarkStart w:id="477" w:name="_Toc90325991"/>
      <w:bookmarkStart w:id="478" w:name="_Toc93659397"/>
      <w:r>
        <w:t>Pollution abatement notices</w:t>
      </w:r>
      <w:bookmarkEnd w:id="476"/>
      <w:bookmarkEnd w:id="477"/>
      <w:bookmarkEnd w:id="478"/>
    </w:p>
    <w:p w14:paraId="2D5637C1" w14:textId="4BB3D205" w:rsidR="00B1494B" w:rsidRDefault="00B1494B" w:rsidP="00B1494B">
      <w:pPr>
        <w:pStyle w:val="BodyText"/>
        <w:rPr>
          <w:lang w:eastAsia="en-US"/>
        </w:rPr>
      </w:pPr>
      <w:r>
        <w:rPr>
          <w:lang w:eastAsia="en-US"/>
        </w:rPr>
        <w:t>As the manager of Melbourne’s waterways, Melbourne Water is responsible for cleaning up pollution caused by others where the polluter cannot be identified or does not have the capacity to respond. In doing so, we frequently incur significant cost, much of which has not been included in formal Pricing Determinations.</w:t>
      </w:r>
    </w:p>
    <w:p w14:paraId="410D129A" w14:textId="5929D656" w:rsidR="00B1494B" w:rsidRDefault="00B1494B" w:rsidP="00B1494B">
      <w:pPr>
        <w:pStyle w:val="BodyText"/>
        <w:rPr>
          <w:lang w:eastAsia="en-US"/>
        </w:rPr>
      </w:pPr>
      <w:r>
        <w:rPr>
          <w:lang w:eastAsia="en-US"/>
        </w:rPr>
        <w:t xml:space="preserve">Changes to the </w:t>
      </w:r>
      <w:r w:rsidRPr="00B1494B">
        <w:rPr>
          <w:rStyle w:val="ItalicText"/>
          <w:lang w:eastAsia="en-US"/>
        </w:rPr>
        <w:t>Environment Protection Act 2018</w:t>
      </w:r>
      <w:r>
        <w:rPr>
          <w:lang w:eastAsia="en-US"/>
        </w:rPr>
        <w:t xml:space="preserve"> (the Amendment Act) come into effect on 1 July 2021. As part of the transition to new obligations on land managers, Melbourne Water was issued notices by Environment Protection Authority Victoria (EPA) in 2019-20 at </w:t>
      </w:r>
      <w:r w:rsidR="0030196D">
        <w:rPr>
          <w:lang w:eastAsia="en-US"/>
        </w:rPr>
        <w:t>Western Treatment Plant</w:t>
      </w:r>
      <w:r>
        <w:rPr>
          <w:lang w:eastAsia="en-US"/>
        </w:rPr>
        <w:t xml:space="preserve"> and </w:t>
      </w:r>
      <w:r w:rsidR="00A52F94">
        <w:rPr>
          <w:lang w:eastAsia="en-US"/>
        </w:rPr>
        <w:t>Eastern Treatment Plant</w:t>
      </w:r>
      <w:r>
        <w:rPr>
          <w:lang w:eastAsia="en-US"/>
        </w:rPr>
        <w:t xml:space="preserve"> to guide the development of a more comprehensive understanding of actual and potential pathways for pollution of land, groundwater and other receiving environments. These notices relate to polyfluoroalkyl substances concentration, and monitoring contamination in soil, sediment, surface water and groundwater. Melbourne Water is addressing these notices, and they are progressively being revoked, with all expected for completion by late 2021.</w:t>
      </w:r>
    </w:p>
    <w:p w14:paraId="25675F7A" w14:textId="13BEFDC7" w:rsidR="00B1494B" w:rsidRDefault="00B1494B" w:rsidP="00B1494B">
      <w:pPr>
        <w:pStyle w:val="BodyText"/>
        <w:rPr>
          <w:lang w:eastAsia="en-US"/>
        </w:rPr>
      </w:pPr>
      <w:r>
        <w:rPr>
          <w:lang w:eastAsia="en-US"/>
        </w:rPr>
        <w:t xml:space="preserve">In July 2020 EPA issued Melbourne Water with a clean-up directive due to capped historic pollution on Melbourne Water-owned land on Stony Creek. As part of our ongoing responsibilities for responding to </w:t>
      </w:r>
      <w:r>
        <w:rPr>
          <w:lang w:eastAsia="en-US"/>
        </w:rPr>
        <w:lastRenderedPageBreak/>
        <w:t>capped pollution on our land, we are undertaking biannual monitoring of the capping layer and completing maintenance activities such as weeding and pest control to ensure the integrity of the cap is maintained.</w:t>
      </w:r>
    </w:p>
    <w:p w14:paraId="1F3D572B" w14:textId="4D4933A6" w:rsidR="00B1494B" w:rsidRDefault="00B1494B" w:rsidP="00B1494B">
      <w:pPr>
        <w:pStyle w:val="Heading3"/>
      </w:pPr>
      <w:bookmarkStart w:id="479" w:name="_Toc89723049"/>
      <w:bookmarkStart w:id="480" w:name="_Ref89797411"/>
      <w:bookmarkStart w:id="481" w:name="_Toc90325992"/>
      <w:bookmarkStart w:id="482" w:name="_Toc93659398"/>
      <w:r>
        <w:t>State Environment Protection Policy (Waters of Victoria)</w:t>
      </w:r>
      <w:bookmarkEnd w:id="479"/>
      <w:bookmarkEnd w:id="480"/>
      <w:bookmarkEnd w:id="481"/>
      <w:bookmarkEnd w:id="482"/>
    </w:p>
    <w:p w14:paraId="6552E23E" w14:textId="3EAB5824" w:rsidR="00B1494B" w:rsidRDefault="00B1494B" w:rsidP="00B1494B">
      <w:pPr>
        <w:pStyle w:val="BodyText"/>
        <w:rPr>
          <w:lang w:eastAsia="en-US"/>
        </w:rPr>
      </w:pPr>
      <w:r>
        <w:rPr>
          <w:lang w:eastAsia="en-US"/>
        </w:rPr>
        <w:t xml:space="preserve">The State Environment Protection Policy (SEPP) (Waters) governs the protection and management of Victorian waterways, bays and coastal waters. It provides environmental quality objectives that reflect the latest scientific understanding and national standards. The </w:t>
      </w:r>
      <w:r w:rsidRPr="00B1494B">
        <w:rPr>
          <w:rStyle w:val="ItalicText"/>
          <w:lang w:eastAsia="en-US"/>
        </w:rPr>
        <w:t>Environment</w:t>
      </w:r>
      <w:r w:rsidRPr="00B1494B">
        <w:rPr>
          <w:rStyle w:val="ItalicText"/>
        </w:rPr>
        <w:t xml:space="preserve"> </w:t>
      </w:r>
      <w:r w:rsidRPr="00B1494B">
        <w:rPr>
          <w:rStyle w:val="ItalicText"/>
          <w:lang w:eastAsia="en-US"/>
        </w:rPr>
        <w:t>Protection Amendment Act 2018</w:t>
      </w:r>
      <w:r>
        <w:rPr>
          <w:lang w:eastAsia="en-US"/>
        </w:rPr>
        <w:t xml:space="preserve"> comes into effect on 1 July 2020, and the </w:t>
      </w:r>
      <w:r w:rsidR="00965CBF">
        <w:rPr>
          <w:lang w:eastAsia="en-US"/>
        </w:rPr>
        <w:t>State Environment Protection Policy</w:t>
      </w:r>
      <w:r>
        <w:rPr>
          <w:lang w:eastAsia="en-US"/>
        </w:rPr>
        <w:t xml:space="preserve"> objectives remain a core element of the new framework.</w:t>
      </w:r>
    </w:p>
    <w:p w14:paraId="3E2FA943" w14:textId="03258A57" w:rsidR="00B1494B" w:rsidRDefault="00B1494B" w:rsidP="00B1494B">
      <w:pPr>
        <w:pStyle w:val="BodyText"/>
        <w:rPr>
          <w:lang w:eastAsia="en-US"/>
        </w:rPr>
      </w:pPr>
      <w:r>
        <w:rPr>
          <w:lang w:eastAsia="en-US"/>
        </w:rPr>
        <w:t>We manage our sewerage treatment plants at Werribee and</w:t>
      </w:r>
      <w:r w:rsidR="00E5497F">
        <w:rPr>
          <w:lang w:eastAsia="en-US"/>
        </w:rPr>
        <w:t xml:space="preserve"> </w:t>
      </w:r>
      <w:r>
        <w:rPr>
          <w:lang w:eastAsia="en-US"/>
        </w:rPr>
        <w:t xml:space="preserve">Bangholme to meet the </w:t>
      </w:r>
      <w:r w:rsidR="00965CBF">
        <w:rPr>
          <w:lang w:eastAsia="en-US"/>
        </w:rPr>
        <w:t>State Environment Protection Policy</w:t>
      </w:r>
      <w:r>
        <w:rPr>
          <w:lang w:eastAsia="en-US"/>
        </w:rPr>
        <w:t xml:space="preserve"> water quality targets for Port</w:t>
      </w:r>
      <w:r w:rsidR="00E5497F">
        <w:rPr>
          <w:lang w:eastAsia="en-US"/>
        </w:rPr>
        <w:t xml:space="preserve"> </w:t>
      </w:r>
      <w:r>
        <w:rPr>
          <w:lang w:eastAsia="en-US"/>
        </w:rPr>
        <w:t>Phillip and Western Port bays. Details on our performance are</w:t>
      </w:r>
      <w:r w:rsidR="00E5497F">
        <w:rPr>
          <w:lang w:eastAsia="en-US"/>
        </w:rPr>
        <w:t xml:space="preserve"> </w:t>
      </w:r>
      <w:r>
        <w:rPr>
          <w:lang w:eastAsia="en-US"/>
        </w:rPr>
        <w:t xml:space="preserve">noted in Sewerage Management (see page </w:t>
      </w:r>
      <w:r w:rsidR="003C069D">
        <w:rPr>
          <w:lang w:eastAsia="en-US"/>
        </w:rPr>
        <w:fldChar w:fldCharType="begin"/>
      </w:r>
      <w:r w:rsidR="003C069D">
        <w:rPr>
          <w:lang w:eastAsia="en-US"/>
        </w:rPr>
        <w:instrText xml:space="preserve"> PAGEREF _Ref89718734 \h </w:instrText>
      </w:r>
      <w:r w:rsidR="003C069D">
        <w:rPr>
          <w:lang w:eastAsia="en-US"/>
        </w:rPr>
      </w:r>
      <w:r w:rsidR="003C069D">
        <w:rPr>
          <w:lang w:eastAsia="en-US"/>
        </w:rPr>
        <w:fldChar w:fldCharType="separate"/>
      </w:r>
      <w:r w:rsidR="00472151">
        <w:rPr>
          <w:noProof/>
          <w:lang w:eastAsia="en-US"/>
        </w:rPr>
        <w:t>29</w:t>
      </w:r>
      <w:r w:rsidR="003C069D">
        <w:rPr>
          <w:lang w:eastAsia="en-US"/>
        </w:rPr>
        <w:fldChar w:fldCharType="end"/>
      </w:r>
      <w:r>
        <w:rPr>
          <w:lang w:eastAsia="en-US"/>
        </w:rPr>
        <w:t>).</w:t>
      </w:r>
    </w:p>
    <w:p w14:paraId="561C9E70" w14:textId="100ECA53" w:rsidR="00B1494B" w:rsidRDefault="00B1494B" w:rsidP="00B1494B">
      <w:pPr>
        <w:pStyle w:val="BodyText"/>
        <w:rPr>
          <w:lang w:eastAsia="en-US"/>
        </w:rPr>
      </w:pPr>
      <w:r>
        <w:rPr>
          <w:lang w:eastAsia="en-US"/>
        </w:rPr>
        <w:t>Melbourne Water is investing in a range of other activities</w:t>
      </w:r>
      <w:r w:rsidR="00E5497F">
        <w:rPr>
          <w:lang w:eastAsia="en-US"/>
        </w:rPr>
        <w:t xml:space="preserve"> </w:t>
      </w:r>
      <w:r>
        <w:rPr>
          <w:lang w:eastAsia="en-US"/>
        </w:rPr>
        <w:t>across Sewerage, Stormwater and Waterways programs to</w:t>
      </w:r>
      <w:r w:rsidR="00E5497F">
        <w:rPr>
          <w:lang w:eastAsia="en-US"/>
        </w:rPr>
        <w:t xml:space="preserve"> </w:t>
      </w:r>
      <w:r>
        <w:rPr>
          <w:lang w:eastAsia="en-US"/>
        </w:rPr>
        <w:t>protect our waters into the future:</w:t>
      </w:r>
    </w:p>
    <w:p w14:paraId="0DC9ADDE" w14:textId="740144C2" w:rsidR="00B1494B" w:rsidRDefault="00B1494B" w:rsidP="00C778D6">
      <w:pPr>
        <w:pStyle w:val="ListBullet"/>
        <w:rPr>
          <w:lang w:eastAsia="en-US"/>
        </w:rPr>
      </w:pPr>
      <w:r>
        <w:rPr>
          <w:lang w:eastAsia="en-US"/>
        </w:rPr>
        <w:t xml:space="preserve">working with </w:t>
      </w:r>
      <w:r w:rsidR="0030196D">
        <w:rPr>
          <w:lang w:eastAsia="en-US"/>
        </w:rPr>
        <w:t>Department of Environment, Land, Water and Planning</w:t>
      </w:r>
      <w:r>
        <w:rPr>
          <w:lang w:eastAsia="en-US"/>
        </w:rPr>
        <w:t xml:space="preserve"> to deliver the </w:t>
      </w:r>
      <w:r w:rsidRPr="00E5497F">
        <w:rPr>
          <w:rStyle w:val="ItalicText"/>
          <w:lang w:eastAsia="en-US"/>
        </w:rPr>
        <w:t>Port Philip Bay</w:t>
      </w:r>
      <w:r w:rsidR="00E5497F" w:rsidRPr="00E5497F">
        <w:rPr>
          <w:rStyle w:val="ItalicText"/>
          <w:lang w:eastAsia="en-US"/>
        </w:rPr>
        <w:t xml:space="preserve"> </w:t>
      </w:r>
      <w:r w:rsidRPr="00E5497F">
        <w:rPr>
          <w:rStyle w:val="ItalicText"/>
          <w:lang w:eastAsia="en-US"/>
        </w:rPr>
        <w:t>Environmental Management Plan</w:t>
      </w:r>
      <w:r>
        <w:rPr>
          <w:lang w:eastAsia="en-US"/>
        </w:rPr>
        <w:t>, to improve water quality in the bay. The plan aims to foster stewardship of the bay across community, industry and government, improve the</w:t>
      </w:r>
      <w:r w:rsidR="00E5497F">
        <w:rPr>
          <w:lang w:eastAsia="en-US"/>
        </w:rPr>
        <w:t xml:space="preserve"> </w:t>
      </w:r>
      <w:r>
        <w:rPr>
          <w:lang w:eastAsia="en-US"/>
        </w:rPr>
        <w:t>bay’s environmental health and support thriving marine</w:t>
      </w:r>
      <w:r w:rsidR="00E5497F">
        <w:rPr>
          <w:lang w:eastAsia="en-US"/>
        </w:rPr>
        <w:t xml:space="preserve"> </w:t>
      </w:r>
      <w:r>
        <w:rPr>
          <w:lang w:eastAsia="en-US"/>
        </w:rPr>
        <w:t>life and habitats</w:t>
      </w:r>
    </w:p>
    <w:p w14:paraId="406F5BBD" w14:textId="6C5708D7" w:rsidR="00B1494B" w:rsidRDefault="00B1494B" w:rsidP="00C778D6">
      <w:pPr>
        <w:pStyle w:val="ListBullet"/>
        <w:rPr>
          <w:lang w:eastAsia="en-US"/>
        </w:rPr>
      </w:pPr>
      <w:r>
        <w:rPr>
          <w:lang w:eastAsia="en-US"/>
        </w:rPr>
        <w:t>renewing assets and undertaking preventative</w:t>
      </w:r>
      <w:r w:rsidR="00E5497F">
        <w:rPr>
          <w:lang w:eastAsia="en-US"/>
        </w:rPr>
        <w:t xml:space="preserve"> </w:t>
      </w:r>
      <w:r>
        <w:rPr>
          <w:lang w:eastAsia="en-US"/>
        </w:rPr>
        <w:t>maintenance across our 400-kilometre sewerage system</w:t>
      </w:r>
      <w:r w:rsidR="00E5497F">
        <w:rPr>
          <w:lang w:eastAsia="en-US"/>
        </w:rPr>
        <w:t xml:space="preserve"> </w:t>
      </w:r>
      <w:r>
        <w:rPr>
          <w:lang w:eastAsia="en-US"/>
        </w:rPr>
        <w:t>to minimise spills, sewer overflows and leakages (see</w:t>
      </w:r>
      <w:r w:rsidR="00E5497F">
        <w:rPr>
          <w:lang w:eastAsia="en-US"/>
        </w:rPr>
        <w:t xml:space="preserve"> </w:t>
      </w:r>
      <w:r>
        <w:rPr>
          <w:lang w:eastAsia="en-US"/>
        </w:rPr>
        <w:t xml:space="preserve">Sewerage Management, </w:t>
      </w:r>
      <w:r w:rsidR="0047059B">
        <w:rPr>
          <w:lang w:eastAsia="en-US"/>
        </w:rPr>
        <w:t xml:space="preserve">page </w:t>
      </w:r>
      <w:r w:rsidR="0047059B">
        <w:rPr>
          <w:lang w:eastAsia="en-US"/>
        </w:rPr>
        <w:fldChar w:fldCharType="begin"/>
      </w:r>
      <w:r w:rsidR="0047059B">
        <w:rPr>
          <w:lang w:eastAsia="en-US"/>
        </w:rPr>
        <w:instrText xml:space="preserve"> PAGEREF _Ref89718734 \h </w:instrText>
      </w:r>
      <w:r w:rsidR="0047059B">
        <w:rPr>
          <w:lang w:eastAsia="en-US"/>
        </w:rPr>
      </w:r>
      <w:r w:rsidR="0047059B">
        <w:rPr>
          <w:lang w:eastAsia="en-US"/>
        </w:rPr>
        <w:fldChar w:fldCharType="separate"/>
      </w:r>
      <w:r w:rsidR="00472151">
        <w:rPr>
          <w:noProof/>
          <w:lang w:eastAsia="en-US"/>
        </w:rPr>
        <w:t>29</w:t>
      </w:r>
      <w:r w:rsidR="0047059B">
        <w:rPr>
          <w:lang w:eastAsia="en-US"/>
        </w:rPr>
        <w:fldChar w:fldCharType="end"/>
      </w:r>
      <w:r>
        <w:rPr>
          <w:lang w:eastAsia="en-US"/>
        </w:rPr>
        <w:t>)</w:t>
      </w:r>
    </w:p>
    <w:p w14:paraId="7053B478" w14:textId="7A91C2C1" w:rsidR="00B1494B" w:rsidRDefault="00B1494B" w:rsidP="00C778D6">
      <w:pPr>
        <w:pStyle w:val="ListBullet"/>
        <w:rPr>
          <w:lang w:eastAsia="en-US"/>
        </w:rPr>
      </w:pPr>
      <w:r>
        <w:rPr>
          <w:lang w:eastAsia="en-US"/>
        </w:rPr>
        <w:t>supporting private landowners to better manage</w:t>
      </w:r>
      <w:r w:rsidR="00E5497F">
        <w:rPr>
          <w:lang w:eastAsia="en-US"/>
        </w:rPr>
        <w:t xml:space="preserve"> </w:t>
      </w:r>
      <w:r>
        <w:rPr>
          <w:lang w:eastAsia="en-US"/>
        </w:rPr>
        <w:t>runoff from stormwater and improve water resource</w:t>
      </w:r>
      <w:r w:rsidR="00E5497F">
        <w:rPr>
          <w:lang w:eastAsia="en-US"/>
        </w:rPr>
        <w:t xml:space="preserve"> </w:t>
      </w:r>
      <w:r>
        <w:rPr>
          <w:lang w:eastAsia="en-US"/>
        </w:rPr>
        <w:t>management through our Rural Land Program (see page</w:t>
      </w:r>
      <w:r w:rsidR="00E5497F">
        <w:rPr>
          <w:lang w:eastAsia="en-US"/>
        </w:rPr>
        <w:t xml:space="preserve"> </w:t>
      </w:r>
      <w:r w:rsidR="0047059B">
        <w:rPr>
          <w:lang w:eastAsia="en-US"/>
        </w:rPr>
        <w:fldChar w:fldCharType="begin"/>
      </w:r>
      <w:r w:rsidR="0047059B">
        <w:rPr>
          <w:lang w:eastAsia="en-US"/>
        </w:rPr>
        <w:instrText xml:space="preserve"> PAGEREF RuralLandProgramn \h </w:instrText>
      </w:r>
      <w:r w:rsidR="0047059B">
        <w:rPr>
          <w:lang w:eastAsia="en-US"/>
        </w:rPr>
      </w:r>
      <w:r w:rsidR="0047059B">
        <w:rPr>
          <w:lang w:eastAsia="en-US"/>
        </w:rPr>
        <w:fldChar w:fldCharType="separate"/>
      </w:r>
      <w:r w:rsidR="00472151">
        <w:rPr>
          <w:noProof/>
          <w:lang w:eastAsia="en-US"/>
        </w:rPr>
        <w:t>38</w:t>
      </w:r>
      <w:r w:rsidR="0047059B">
        <w:rPr>
          <w:lang w:eastAsia="en-US"/>
        </w:rPr>
        <w:fldChar w:fldCharType="end"/>
      </w:r>
      <w:r>
        <w:rPr>
          <w:lang w:eastAsia="en-US"/>
        </w:rPr>
        <w:t>)</w:t>
      </w:r>
    </w:p>
    <w:p w14:paraId="0A1D951B" w14:textId="45D3C81B" w:rsidR="00B1494B" w:rsidRDefault="00B1494B" w:rsidP="00C778D6">
      <w:pPr>
        <w:pStyle w:val="ListBullet"/>
        <w:rPr>
          <w:lang w:eastAsia="en-US"/>
        </w:rPr>
      </w:pPr>
      <w:r>
        <w:rPr>
          <w:lang w:eastAsia="en-US"/>
        </w:rPr>
        <w:t>conducting waterways and stormwater research</w:t>
      </w:r>
      <w:r w:rsidR="00E5497F">
        <w:rPr>
          <w:lang w:eastAsia="en-US"/>
        </w:rPr>
        <w:t xml:space="preserve"> </w:t>
      </w:r>
      <w:r>
        <w:rPr>
          <w:lang w:eastAsia="en-US"/>
        </w:rPr>
        <w:t xml:space="preserve">programs, which help to deliver on our </w:t>
      </w:r>
      <w:r w:rsidRPr="00E5497F">
        <w:rPr>
          <w:rStyle w:val="ItalicText"/>
          <w:lang w:eastAsia="en-US"/>
        </w:rPr>
        <w:t>Healthy Waterways</w:t>
      </w:r>
      <w:r w:rsidR="00E5497F" w:rsidRPr="00E5497F">
        <w:rPr>
          <w:rStyle w:val="ItalicText"/>
          <w:lang w:eastAsia="en-US"/>
        </w:rPr>
        <w:t xml:space="preserve"> </w:t>
      </w:r>
      <w:r w:rsidRPr="00E5497F">
        <w:rPr>
          <w:rStyle w:val="ItalicText"/>
          <w:lang w:eastAsia="en-US"/>
        </w:rPr>
        <w:t xml:space="preserve">Strategy </w:t>
      </w:r>
      <w:r>
        <w:rPr>
          <w:lang w:eastAsia="en-US"/>
        </w:rPr>
        <w:t>targets for water quality (see Waterway</w:t>
      </w:r>
      <w:r w:rsidR="00E5497F">
        <w:rPr>
          <w:lang w:eastAsia="en-US"/>
        </w:rPr>
        <w:t xml:space="preserve"> </w:t>
      </w:r>
      <w:r>
        <w:rPr>
          <w:lang w:eastAsia="en-US"/>
        </w:rPr>
        <w:t xml:space="preserve">Management, page </w:t>
      </w:r>
      <w:r w:rsidR="0047059B">
        <w:rPr>
          <w:lang w:eastAsia="en-US"/>
        </w:rPr>
        <w:fldChar w:fldCharType="begin"/>
      </w:r>
      <w:r w:rsidR="0047059B">
        <w:rPr>
          <w:lang w:eastAsia="en-US"/>
        </w:rPr>
        <w:instrText xml:space="preserve"> PAGEREF _Ref89718872 \h </w:instrText>
      </w:r>
      <w:r w:rsidR="0047059B">
        <w:rPr>
          <w:lang w:eastAsia="en-US"/>
        </w:rPr>
      </w:r>
      <w:r w:rsidR="0047059B">
        <w:rPr>
          <w:lang w:eastAsia="en-US"/>
        </w:rPr>
        <w:fldChar w:fldCharType="separate"/>
      </w:r>
      <w:r w:rsidR="00472151">
        <w:rPr>
          <w:noProof/>
          <w:lang w:eastAsia="en-US"/>
        </w:rPr>
        <w:t>35</w:t>
      </w:r>
      <w:r w:rsidR="0047059B">
        <w:rPr>
          <w:lang w:eastAsia="en-US"/>
        </w:rPr>
        <w:fldChar w:fldCharType="end"/>
      </w:r>
      <w:r>
        <w:rPr>
          <w:lang w:eastAsia="en-US"/>
        </w:rPr>
        <w:t>)</w:t>
      </w:r>
    </w:p>
    <w:p w14:paraId="211A6914" w14:textId="58060D2D" w:rsidR="00B1494B" w:rsidRDefault="00B1494B" w:rsidP="00C778D6">
      <w:pPr>
        <w:pStyle w:val="ListBullet"/>
        <w:rPr>
          <w:lang w:eastAsia="en-US"/>
        </w:rPr>
      </w:pPr>
      <w:r>
        <w:rPr>
          <w:lang w:eastAsia="en-US"/>
        </w:rPr>
        <w:t>implementing sediment management programs</w:t>
      </w:r>
      <w:r w:rsidR="00E5497F">
        <w:rPr>
          <w:lang w:eastAsia="en-US"/>
        </w:rPr>
        <w:t xml:space="preserve"> </w:t>
      </w:r>
      <w:r>
        <w:rPr>
          <w:lang w:eastAsia="en-US"/>
        </w:rPr>
        <w:t>to remove silt, litter and debris from our drainage</w:t>
      </w:r>
      <w:r w:rsidR="00E5497F">
        <w:rPr>
          <w:lang w:eastAsia="en-US"/>
        </w:rPr>
        <w:t xml:space="preserve"> </w:t>
      </w:r>
      <w:r>
        <w:rPr>
          <w:lang w:eastAsia="en-US"/>
        </w:rPr>
        <w:t>system and protect waterway quality (see Waterway</w:t>
      </w:r>
      <w:r w:rsidR="00E5497F">
        <w:rPr>
          <w:lang w:eastAsia="en-US"/>
        </w:rPr>
        <w:t xml:space="preserve"> </w:t>
      </w:r>
      <w:r>
        <w:rPr>
          <w:lang w:eastAsia="en-US"/>
        </w:rPr>
        <w:t xml:space="preserve">Management, </w:t>
      </w:r>
      <w:r w:rsidR="0047059B">
        <w:rPr>
          <w:lang w:eastAsia="en-US"/>
        </w:rPr>
        <w:t xml:space="preserve">page </w:t>
      </w:r>
      <w:r w:rsidR="0047059B">
        <w:rPr>
          <w:lang w:eastAsia="en-US"/>
        </w:rPr>
        <w:fldChar w:fldCharType="begin"/>
      </w:r>
      <w:r w:rsidR="0047059B">
        <w:rPr>
          <w:lang w:eastAsia="en-US"/>
        </w:rPr>
        <w:instrText xml:space="preserve"> PAGEREF _Ref89718872 \h </w:instrText>
      </w:r>
      <w:r w:rsidR="0047059B">
        <w:rPr>
          <w:lang w:eastAsia="en-US"/>
        </w:rPr>
      </w:r>
      <w:r w:rsidR="0047059B">
        <w:rPr>
          <w:lang w:eastAsia="en-US"/>
        </w:rPr>
        <w:fldChar w:fldCharType="separate"/>
      </w:r>
      <w:r w:rsidR="00472151">
        <w:rPr>
          <w:noProof/>
          <w:lang w:eastAsia="en-US"/>
        </w:rPr>
        <w:t>35</w:t>
      </w:r>
      <w:r w:rsidR="0047059B">
        <w:rPr>
          <w:lang w:eastAsia="en-US"/>
        </w:rPr>
        <w:fldChar w:fldCharType="end"/>
      </w:r>
      <w:r>
        <w:rPr>
          <w:lang w:eastAsia="en-US"/>
        </w:rPr>
        <w:t>).</w:t>
      </w:r>
    </w:p>
    <w:p w14:paraId="32E7EA78" w14:textId="4A568FDA" w:rsidR="00E5497F" w:rsidRDefault="00E5497F" w:rsidP="00E5497F">
      <w:pPr>
        <w:pStyle w:val="Heading3"/>
      </w:pPr>
      <w:bookmarkStart w:id="483" w:name="_Toc89723050"/>
      <w:bookmarkStart w:id="484" w:name="_Ref89805502"/>
      <w:bookmarkStart w:id="485" w:name="_Toc90325993"/>
      <w:bookmarkStart w:id="486" w:name="_Toc93659399"/>
      <w:r>
        <w:t>Managing streamflow</w:t>
      </w:r>
      <w:bookmarkEnd w:id="483"/>
      <w:bookmarkEnd w:id="484"/>
      <w:bookmarkEnd w:id="485"/>
      <w:bookmarkEnd w:id="486"/>
    </w:p>
    <w:p w14:paraId="339FBC08" w14:textId="0EE16E26" w:rsidR="00E5497F" w:rsidRDefault="00E5497F" w:rsidP="00E5497F">
      <w:pPr>
        <w:pStyle w:val="BodyText"/>
        <w:rPr>
          <w:lang w:eastAsia="en-US"/>
        </w:rPr>
      </w:pPr>
      <w:r>
        <w:rPr>
          <w:lang w:eastAsia="en-US"/>
        </w:rPr>
        <w:t xml:space="preserve">Melbourne Water produces streamflow management plans, local management rules and a </w:t>
      </w:r>
      <w:r w:rsidRPr="00E5497F">
        <w:rPr>
          <w:rStyle w:val="ItalicText"/>
          <w:lang w:eastAsia="en-US"/>
        </w:rPr>
        <w:t>Drought Response Plan</w:t>
      </w:r>
      <w:r>
        <w:rPr>
          <w:lang w:eastAsia="en-US"/>
        </w:rPr>
        <w:t xml:space="preserve"> to document the ways in which water will be managed to ensure it is shared fairly between diverters and the environment. Further information about water use by our diverter customers can be found in</w:t>
      </w:r>
      <w:r w:rsidR="00AB401E">
        <w:rPr>
          <w:lang w:eastAsia="en-US"/>
        </w:rPr>
        <w:t xml:space="preserve"> </w:t>
      </w:r>
      <w:r w:rsidR="00AB401E">
        <w:rPr>
          <w:lang w:eastAsia="en-US"/>
        </w:rPr>
        <w:fldChar w:fldCharType="begin"/>
      </w:r>
      <w:r w:rsidR="00AB401E">
        <w:rPr>
          <w:lang w:eastAsia="en-US"/>
        </w:rPr>
        <w:instrText xml:space="preserve"> REF _Ref89858887 \h </w:instrText>
      </w:r>
      <w:r w:rsidR="00AB401E">
        <w:rPr>
          <w:lang w:eastAsia="en-US"/>
        </w:rPr>
      </w:r>
      <w:r w:rsidR="00AB401E">
        <w:rPr>
          <w:lang w:eastAsia="en-US"/>
        </w:rPr>
        <w:fldChar w:fldCharType="separate"/>
      </w:r>
      <w:r w:rsidR="00472151">
        <w:t>Appendix D – Private Diversion Licences</w:t>
      </w:r>
      <w:r w:rsidR="00AB401E">
        <w:rPr>
          <w:lang w:eastAsia="en-US"/>
        </w:rPr>
        <w:fldChar w:fldCharType="end"/>
      </w:r>
      <w:r>
        <w:rPr>
          <w:lang w:eastAsia="en-US"/>
        </w:rPr>
        <w:t>.</w:t>
      </w:r>
    </w:p>
    <w:p w14:paraId="21A46B22" w14:textId="7CECE4CC" w:rsidR="00B1494B" w:rsidRDefault="00E5497F" w:rsidP="00E5497F">
      <w:pPr>
        <w:pStyle w:val="BodyText"/>
        <w:rPr>
          <w:lang w:eastAsia="en-US"/>
        </w:rPr>
      </w:pPr>
      <w:r>
        <w:rPr>
          <w:lang w:eastAsia="en-US"/>
        </w:rPr>
        <w:t>During 2020-21 Melbourne Water maintained streamflow management plans for seven stream systems in the Yarra catchment. The objectives of the plans are to manage the water resources of the catchments, develop sustainable allocations for agriculture and other uses, and maintain an environmental water regime to sustain waterway health. Preparatory work has commenced to repeal the Plenty River Stream Flow Management Plan and replace it with a local management plan, given its low level of diversions and low risk to the environmental water regime. The process, which will include community and licence holder engagement, will also seek to amalgamate several other low risk local management plans in the Lower Yarra Catchment into a single management plan.</w:t>
      </w:r>
    </w:p>
    <w:p w14:paraId="0D4F84CB" w14:textId="77777777" w:rsidR="00B03ADB" w:rsidRDefault="00B03ADB" w:rsidP="00B03ADB">
      <w:pPr>
        <w:pStyle w:val="Heading1"/>
      </w:pPr>
      <w:bookmarkStart w:id="487" w:name="_Toc89723051"/>
      <w:bookmarkStart w:id="488" w:name="_Toc89723222"/>
      <w:bookmarkStart w:id="489" w:name="_Toc89723282"/>
      <w:bookmarkStart w:id="490" w:name="_Ref89797206"/>
      <w:bookmarkStart w:id="491" w:name="_Toc89860546"/>
      <w:bookmarkStart w:id="492" w:name="_Toc89860690"/>
      <w:bookmarkStart w:id="493" w:name="_Toc90325994"/>
      <w:bookmarkStart w:id="494" w:name="_Toc93659400"/>
      <w:r>
        <w:lastRenderedPageBreak/>
        <w:t>Our People</w:t>
      </w:r>
      <w:bookmarkEnd w:id="487"/>
      <w:bookmarkEnd w:id="488"/>
      <w:bookmarkEnd w:id="489"/>
      <w:bookmarkEnd w:id="490"/>
      <w:bookmarkEnd w:id="491"/>
      <w:bookmarkEnd w:id="492"/>
      <w:bookmarkEnd w:id="493"/>
      <w:bookmarkEnd w:id="494"/>
    </w:p>
    <w:p w14:paraId="39E755A4" w14:textId="1742E277" w:rsidR="00B1494B" w:rsidRDefault="00B03ADB" w:rsidP="00B03ADB">
      <w:pPr>
        <w:pStyle w:val="BodyText"/>
        <w:rPr>
          <w:lang w:eastAsia="en-US"/>
        </w:rPr>
      </w:pPr>
      <w:r>
        <w:rPr>
          <w:lang w:eastAsia="en-US"/>
        </w:rPr>
        <w:t>With safety foremost, Melbourne Water aspires to be a leader in delivering our services. We achieve this through our diverse and capable workforce. Together we have the courage to go above and beyond to deliver service excellence.</w:t>
      </w:r>
    </w:p>
    <w:p w14:paraId="1DA55D2F" w14:textId="77777777" w:rsidR="00B03ADB" w:rsidRDefault="00B03ADB" w:rsidP="00B03ADB">
      <w:pPr>
        <w:pStyle w:val="Heading2"/>
      </w:pPr>
      <w:bookmarkStart w:id="495" w:name="_Toc89723052"/>
      <w:bookmarkStart w:id="496" w:name="_Toc89723223"/>
      <w:bookmarkStart w:id="497" w:name="_Toc89723283"/>
      <w:bookmarkStart w:id="498" w:name="_Toc89860547"/>
      <w:bookmarkStart w:id="499" w:name="_Toc89860691"/>
      <w:bookmarkStart w:id="500" w:name="_Toc90325995"/>
      <w:bookmarkStart w:id="501" w:name="_Toc93659401"/>
      <w:r>
        <w:t>Inspired People</w:t>
      </w:r>
      <w:bookmarkEnd w:id="495"/>
      <w:bookmarkEnd w:id="496"/>
      <w:bookmarkEnd w:id="497"/>
      <w:bookmarkEnd w:id="498"/>
      <w:bookmarkEnd w:id="499"/>
      <w:bookmarkEnd w:id="500"/>
      <w:bookmarkEnd w:id="501"/>
    </w:p>
    <w:p w14:paraId="7BF6AF97" w14:textId="1F6416D5" w:rsidR="00B03ADB" w:rsidRDefault="00B03ADB" w:rsidP="00B03ADB">
      <w:pPr>
        <w:pStyle w:val="PullBox"/>
      </w:pPr>
      <w:r>
        <w:t>Melbourne Water’s people are central to our ability to deliver essential services to Melbourne.</w:t>
      </w:r>
    </w:p>
    <w:p w14:paraId="49BE474C" w14:textId="523ADF6F" w:rsidR="00B03ADB" w:rsidRDefault="00B03ADB" w:rsidP="00B03ADB">
      <w:pPr>
        <w:pStyle w:val="GreyBox"/>
      </w:pPr>
      <w:r w:rsidRPr="00296848">
        <w:t xml:space="preserve">Aligns with goals </w:t>
      </w:r>
      <w:r>
        <w:t>3, 4, 5, 8, 10 and 16</w:t>
      </w:r>
    </w:p>
    <w:p w14:paraId="6B4A57B5" w14:textId="77777777" w:rsidR="00B03ADB" w:rsidRDefault="00B03ADB" w:rsidP="00B03ADB">
      <w:pPr>
        <w:pStyle w:val="Heading3"/>
      </w:pPr>
      <w:bookmarkStart w:id="502" w:name="_Toc89723053"/>
      <w:bookmarkStart w:id="503" w:name="_Toc90325996"/>
      <w:bookmarkStart w:id="504" w:name="_Toc93659402"/>
      <w:r>
        <w:t xml:space="preserve">Our </w:t>
      </w:r>
      <w:r w:rsidRPr="00B03ADB">
        <w:t>Approach</w:t>
      </w:r>
      <w:bookmarkEnd w:id="502"/>
      <w:bookmarkEnd w:id="503"/>
      <w:bookmarkEnd w:id="504"/>
    </w:p>
    <w:p w14:paraId="5DCCBA86" w14:textId="73BDAAE7" w:rsidR="00B03ADB" w:rsidRDefault="00B03ADB" w:rsidP="00B03ADB">
      <w:pPr>
        <w:pStyle w:val="BodyText"/>
        <w:rPr>
          <w:lang w:eastAsia="en-US"/>
        </w:rPr>
      </w:pPr>
      <w:r>
        <w:rPr>
          <w:lang w:eastAsia="en-US"/>
        </w:rPr>
        <w:t xml:space="preserve">Attracting and retaining talent, enabling diverse and effective learning experiences, and building employee </w:t>
      </w:r>
      <w:r w:rsidRPr="00AC6E26">
        <w:rPr>
          <w:lang w:eastAsia="en-US"/>
        </w:rPr>
        <w:t>engagement and satisfaction are critical to our success. Our strong culture and solid foundation of flexible</w:t>
      </w:r>
      <w:r>
        <w:rPr>
          <w:lang w:eastAsia="en-US"/>
        </w:rPr>
        <w:t xml:space="preserve"> working and commitment to being a learning organisation held us in good stead throughout the </w:t>
      </w:r>
      <w:r w:rsidR="0030196D">
        <w:t>COVID</w:t>
      </w:r>
      <w:r w:rsidR="0030196D">
        <w:noBreakHyphen/>
        <w:t>19</w:t>
      </w:r>
      <w:r>
        <w:rPr>
          <w:lang w:eastAsia="en-US"/>
        </w:rPr>
        <w:t xml:space="preserve"> pandemic. As we look ahead, we have committed to making flexible working our new normal and will be enabling teams to self-organise around the work to be done. We have embarked on a project to demonstrate the benefits of flexibility to enhance life and liveability for everyone.</w:t>
      </w:r>
    </w:p>
    <w:p w14:paraId="214C6005" w14:textId="0AFC1240" w:rsidR="00B03ADB" w:rsidRDefault="00B03ADB" w:rsidP="00B03ADB">
      <w:pPr>
        <w:pStyle w:val="BodyText"/>
        <w:rPr>
          <w:lang w:eastAsia="en-US"/>
        </w:rPr>
      </w:pPr>
      <w:r>
        <w:rPr>
          <w:lang w:eastAsia="en-US"/>
        </w:rPr>
        <w:t>Melbourne Water and its employees are committed to growing the diversity of our workforce and fostering an inclusive workplace culture. We recognise that actively creating and supporting diversity and inclusion not only enables us to attract, retain and develop diverse talent, it also contributes to a safer and more engaged workforce, increases our capacity for high performance, and enables us to better understand and respond to the needs of the community we serve.</w:t>
      </w:r>
    </w:p>
    <w:p w14:paraId="2D8DD020" w14:textId="20771685" w:rsidR="00B03ADB" w:rsidRDefault="00B03ADB" w:rsidP="00B03ADB">
      <w:pPr>
        <w:pStyle w:val="Heading3"/>
      </w:pPr>
      <w:bookmarkStart w:id="505" w:name="_Toc89723054"/>
      <w:bookmarkStart w:id="506" w:name="_Toc90325997"/>
      <w:bookmarkStart w:id="507" w:name="_Toc93659403"/>
      <w:r>
        <w:t>Culture and engagement</w:t>
      </w:r>
      <w:bookmarkEnd w:id="505"/>
      <w:bookmarkEnd w:id="506"/>
      <w:bookmarkEnd w:id="507"/>
    </w:p>
    <w:p w14:paraId="36A8B500" w14:textId="5507DAAC" w:rsidR="00B03ADB" w:rsidRDefault="00B03ADB" w:rsidP="00B03ADB">
      <w:pPr>
        <w:pStyle w:val="BodyText"/>
        <w:rPr>
          <w:lang w:eastAsia="en-US"/>
        </w:rPr>
      </w:pPr>
      <w:r>
        <w:rPr>
          <w:lang w:eastAsia="en-US"/>
        </w:rPr>
        <w:t>Organisational culture and employee engagement are directly related to performance, productivity, retention, advocacy and wellbeing.</w:t>
      </w:r>
    </w:p>
    <w:p w14:paraId="43BCD216" w14:textId="09EDB544" w:rsidR="00B03ADB" w:rsidRDefault="00B03ADB" w:rsidP="00B03ADB">
      <w:pPr>
        <w:pStyle w:val="BodyText"/>
        <w:rPr>
          <w:lang w:eastAsia="en-US"/>
        </w:rPr>
      </w:pPr>
      <w:r>
        <w:rPr>
          <w:lang w:eastAsia="en-US"/>
        </w:rPr>
        <w:t>This year, 80 per cent of our staff (1123 people) participated in our employee engagement survey. Overall employee engagement was 77 per cent which, while lower than last year’s result of 80, is considered strong and above the Australian benchmark. Local and global industry trends for 2020-21 reflect slight engagement increases in 2020 during the height of the pandemic attributed to a general sense of gratitude for stable employment during a highly uncertain and turbulent time. As things shift to the new normal in 2021, engagement levels are trending to pre-pandemic results. The comparative data has highlighted our organisation’s resilience and commitment to purpose despite the ongoing disruptions over the past 12 months.</w:t>
      </w:r>
    </w:p>
    <w:p w14:paraId="0354E849" w14:textId="3B3A2369" w:rsidR="00B03ADB" w:rsidRDefault="00B03ADB" w:rsidP="00B03ADB">
      <w:pPr>
        <w:pStyle w:val="BodyText"/>
        <w:rPr>
          <w:lang w:eastAsia="en-US"/>
        </w:rPr>
      </w:pPr>
      <w:r>
        <w:rPr>
          <w:lang w:eastAsia="en-US"/>
        </w:rPr>
        <w:t xml:space="preserve">We were recognised in the top 10 of Australia and New Zealand’s Best Places to Work on the 2021 </w:t>
      </w:r>
      <w:r w:rsidRPr="00B03ADB">
        <w:rPr>
          <w:rStyle w:val="ItalicText"/>
          <w:lang w:eastAsia="en-US"/>
        </w:rPr>
        <w:t>Australian Financial</w:t>
      </w:r>
      <w:r w:rsidRPr="00B03ADB">
        <w:rPr>
          <w:rStyle w:val="ItalicText"/>
        </w:rPr>
        <w:t xml:space="preserve"> </w:t>
      </w:r>
      <w:r w:rsidRPr="00B03ADB">
        <w:rPr>
          <w:rStyle w:val="ItalicText"/>
          <w:lang w:eastAsia="en-US"/>
        </w:rPr>
        <w:t>Review</w:t>
      </w:r>
      <w:r>
        <w:rPr>
          <w:lang w:eastAsia="en-US"/>
        </w:rPr>
        <w:t xml:space="preserve"> BOSS Best Places to Work list. Together we have created a business that really cares about people – both within our teams and in the community.</w:t>
      </w:r>
    </w:p>
    <w:p w14:paraId="389DE70B" w14:textId="77777777" w:rsidR="00B03ADB" w:rsidRDefault="00B03ADB" w:rsidP="00B03ADB">
      <w:pPr>
        <w:pStyle w:val="Heading3"/>
      </w:pPr>
      <w:bookmarkStart w:id="508" w:name="_Toc89723055"/>
      <w:bookmarkStart w:id="509" w:name="_Toc90325998"/>
      <w:bookmarkStart w:id="510" w:name="_Toc93659404"/>
      <w:r>
        <w:t>Learning organisation</w:t>
      </w:r>
      <w:bookmarkEnd w:id="508"/>
      <w:bookmarkEnd w:id="509"/>
      <w:bookmarkEnd w:id="510"/>
    </w:p>
    <w:p w14:paraId="7CD4162F" w14:textId="1151641C" w:rsidR="00B03ADB" w:rsidRDefault="00B03ADB" w:rsidP="00B03ADB">
      <w:pPr>
        <w:pStyle w:val="BodyText"/>
        <w:rPr>
          <w:lang w:eastAsia="en-US"/>
        </w:rPr>
      </w:pPr>
      <w:r>
        <w:rPr>
          <w:lang w:eastAsia="en-US"/>
        </w:rPr>
        <w:t>Our ambition to be a learning organisation remains one of our biggest priorities. Our focus now is to shift the perception of learning as scheduled training to a culture integrated into the flow of our work.</w:t>
      </w:r>
    </w:p>
    <w:p w14:paraId="4363EBE8" w14:textId="074D25BC" w:rsidR="00B03ADB" w:rsidRDefault="00B03ADB" w:rsidP="00B03ADB">
      <w:pPr>
        <w:pStyle w:val="BodyText"/>
        <w:rPr>
          <w:lang w:eastAsia="en-US"/>
        </w:rPr>
      </w:pPr>
      <w:r>
        <w:rPr>
          <w:lang w:eastAsia="en-US"/>
        </w:rPr>
        <w:lastRenderedPageBreak/>
        <w:t>Creating a culture of learning requires a shift in mindsets and behaviours to support our people to be curious to learn, grow and be resilient to change. To support this, we engaged champions throughout the business to identify the habits our organisation needs to embed at scale, to bring a culture of learning to life. Our learning organisation framework was officially launched in May 2021, in front of 280 employees and broadcasting to 100 online attendees.</w:t>
      </w:r>
    </w:p>
    <w:p w14:paraId="406D50CE" w14:textId="21DF351B" w:rsidR="00B03ADB" w:rsidRDefault="00B03ADB" w:rsidP="00B03ADB">
      <w:pPr>
        <w:pStyle w:val="BodyText"/>
        <w:rPr>
          <w:lang w:eastAsia="en-US"/>
        </w:rPr>
      </w:pPr>
      <w:r>
        <w:rPr>
          <w:lang w:eastAsia="en-US"/>
        </w:rPr>
        <w:t>We refreshed the approach to our learning and development offering, launching a LinkedIn Learning partnership with curated content on building awareness of our core capabilities and mindsets. Available on desktop and mobile, this is helping our people learn on demand and in a self-directed way, as well as getting involved in stretch experiences and development programs which include over 16,000 short videos and 9000 courses from global thought leaders.</w:t>
      </w:r>
    </w:p>
    <w:p w14:paraId="1FA80488" w14:textId="77777777" w:rsidR="00B03ADB" w:rsidRDefault="00B03ADB" w:rsidP="00B03ADB">
      <w:pPr>
        <w:pStyle w:val="Heading3"/>
      </w:pPr>
      <w:bookmarkStart w:id="511" w:name="_Toc89723056"/>
      <w:bookmarkStart w:id="512" w:name="_Ref89808025"/>
      <w:bookmarkStart w:id="513" w:name="_Ref89811508"/>
      <w:bookmarkStart w:id="514" w:name="_Toc90325999"/>
      <w:bookmarkStart w:id="515" w:name="NewWaysofWorking"/>
      <w:bookmarkStart w:id="516" w:name="_Toc93659405"/>
      <w:r>
        <w:t>New ways of working</w:t>
      </w:r>
      <w:bookmarkEnd w:id="511"/>
      <w:bookmarkEnd w:id="512"/>
      <w:bookmarkEnd w:id="513"/>
      <w:bookmarkEnd w:id="514"/>
      <w:bookmarkEnd w:id="516"/>
    </w:p>
    <w:bookmarkEnd w:id="515"/>
    <w:p w14:paraId="35AFC5A5" w14:textId="411E3165" w:rsidR="00B03ADB" w:rsidRDefault="00B03ADB" w:rsidP="00B03ADB">
      <w:pPr>
        <w:pStyle w:val="BodyText"/>
        <w:rPr>
          <w:lang w:eastAsia="en-US"/>
        </w:rPr>
      </w:pPr>
      <w:r>
        <w:rPr>
          <w:lang w:eastAsia="en-US"/>
        </w:rPr>
        <w:t>The coronavirus pandemic has changed the way we work — both now and into the future. We are in the process of an ambitious program to design the future of work at Melbourne Water that supports our people and our business. We are embracing flexibility and collaboration with the vision to prove that flexible and blended work enhances life and liveability for us all. A number of activities underpin this work, including:</w:t>
      </w:r>
    </w:p>
    <w:p w14:paraId="459A6F65" w14:textId="628D5D9B" w:rsidR="00B03ADB" w:rsidRDefault="00B03ADB" w:rsidP="00C778D6">
      <w:pPr>
        <w:pStyle w:val="ListBullet"/>
        <w:rPr>
          <w:lang w:eastAsia="en-US"/>
        </w:rPr>
      </w:pPr>
      <w:r>
        <w:rPr>
          <w:lang w:eastAsia="en-US"/>
        </w:rPr>
        <w:t>partnering with Monash BehaviourWorks to develop behavioural trials and interventions that will enable our employees to approach the work they do in a different way. The research will result in two academic papers that contribute to the theory of blended working in a wider workforce</w:t>
      </w:r>
    </w:p>
    <w:p w14:paraId="33DA1C29" w14:textId="05550B8B" w:rsidR="00B03ADB" w:rsidRDefault="00B03ADB" w:rsidP="00C778D6">
      <w:pPr>
        <w:pStyle w:val="ListBullet"/>
        <w:rPr>
          <w:lang w:eastAsia="en-US"/>
        </w:rPr>
      </w:pPr>
      <w:r>
        <w:rPr>
          <w:lang w:eastAsia="en-US"/>
        </w:rPr>
        <w:t xml:space="preserve">defining a list of anticipated benefits at individual, organisational and societal levels, that we will track, measure and report against </w:t>
      </w:r>
    </w:p>
    <w:p w14:paraId="27195B5B" w14:textId="042EC2AF" w:rsidR="00B03ADB" w:rsidRDefault="00B03ADB" w:rsidP="00C778D6">
      <w:pPr>
        <w:pStyle w:val="ListBullet"/>
        <w:rPr>
          <w:lang w:eastAsia="en-US"/>
        </w:rPr>
      </w:pPr>
      <w:r>
        <w:rPr>
          <w:lang w:eastAsia="en-US"/>
        </w:rPr>
        <w:t>reimagining our policies, procedures, systems and processes to empower our people leaders to deliver blended work in a formal and consistent way</w:t>
      </w:r>
    </w:p>
    <w:p w14:paraId="74736234" w14:textId="50EAC5B3" w:rsidR="00B03ADB" w:rsidRDefault="00B03ADB" w:rsidP="00C778D6">
      <w:pPr>
        <w:pStyle w:val="ListBullet"/>
        <w:rPr>
          <w:lang w:eastAsia="en-US"/>
        </w:rPr>
      </w:pPr>
      <w:r>
        <w:rPr>
          <w:lang w:eastAsia="en-US"/>
        </w:rPr>
        <w:t>collaborating with industry to explore co-work spaces, projects and thought leadership opportunities together that deliver better outcomes for customers and community</w:t>
      </w:r>
    </w:p>
    <w:p w14:paraId="74130E31" w14:textId="1700CADF" w:rsidR="00B03ADB" w:rsidRDefault="00B03ADB" w:rsidP="00C778D6">
      <w:pPr>
        <w:pStyle w:val="ListBullet"/>
        <w:rPr>
          <w:lang w:eastAsia="en-US"/>
        </w:rPr>
      </w:pPr>
      <w:r>
        <w:rPr>
          <w:lang w:eastAsia="en-US"/>
        </w:rPr>
        <w:t>keeping our people engaged on how new ways of working impacts them through storytelling and a clear roadmap that articulates what changes will be happening across people, process and technology, and when.</w:t>
      </w:r>
    </w:p>
    <w:p w14:paraId="1A145AE6" w14:textId="77777777" w:rsidR="00B03ADB" w:rsidRDefault="00B03ADB" w:rsidP="00B03ADB">
      <w:pPr>
        <w:pStyle w:val="Heading3"/>
      </w:pPr>
      <w:bookmarkStart w:id="517" w:name="_Toc89723057"/>
      <w:bookmarkStart w:id="518" w:name="_Toc90326000"/>
      <w:bookmarkStart w:id="519" w:name="_Toc93659406"/>
      <w:r>
        <w:t>Building workforce capability</w:t>
      </w:r>
      <w:bookmarkEnd w:id="517"/>
      <w:bookmarkEnd w:id="518"/>
      <w:bookmarkEnd w:id="519"/>
    </w:p>
    <w:p w14:paraId="2A8AA45A" w14:textId="38D4A5D9" w:rsidR="00B03ADB" w:rsidRDefault="00B03ADB" w:rsidP="00B03ADB">
      <w:pPr>
        <w:pStyle w:val="BodyText"/>
        <w:rPr>
          <w:lang w:eastAsia="en-US"/>
        </w:rPr>
      </w:pPr>
      <w:r>
        <w:rPr>
          <w:lang w:eastAsia="en-US"/>
        </w:rPr>
        <w:t>Building a strong talent pipeline is fundamental to ensuring that Melbourne Water has a workforce that is ready to meet current and future business needs. Our Women’s Development Program ‘Unite’ continued in its third year, resulting in 40 per cent promotion rate for participants. Our operational and strategic leadership certifications programs continued, and more than 12 per cent of our employees now have a Diploma or Graduate Certificate through Melbourne Water.</w:t>
      </w:r>
    </w:p>
    <w:p w14:paraId="309118B1" w14:textId="7A923577" w:rsidR="00B1494B" w:rsidRDefault="00B03ADB" w:rsidP="00B03ADB">
      <w:pPr>
        <w:pStyle w:val="BodyText"/>
        <w:rPr>
          <w:lang w:eastAsia="en-US"/>
        </w:rPr>
      </w:pPr>
      <w:r>
        <w:rPr>
          <w:lang w:eastAsia="en-US"/>
        </w:rPr>
        <w:t>We delivered new ‘Compass’ leadership programs for all people leaders across the organisation to upskill in critical people leader skills and delivered a number of high potential programs to our ‘next step’ leaders at all levels. Our coaching and mentoring programs continued as part of our learning culture habit to seek and embed feedback, supported with a refreshed performance management process to empower our leaders and employees on their career path.</w:t>
      </w:r>
    </w:p>
    <w:p w14:paraId="13A1DB8C" w14:textId="77777777" w:rsidR="00FA3C1F" w:rsidRDefault="00FA3C1F" w:rsidP="00FA3C1F">
      <w:pPr>
        <w:pStyle w:val="Heading3"/>
      </w:pPr>
      <w:bookmarkStart w:id="520" w:name="_Toc89723058"/>
      <w:bookmarkStart w:id="521" w:name="_Ref89799913"/>
      <w:bookmarkStart w:id="522" w:name="_Toc90326001"/>
      <w:bookmarkStart w:id="523" w:name="_Toc93659407"/>
      <w:r>
        <w:t>Diversity and inclusion</w:t>
      </w:r>
      <w:bookmarkEnd w:id="520"/>
      <w:bookmarkEnd w:id="521"/>
      <w:bookmarkEnd w:id="522"/>
      <w:bookmarkEnd w:id="523"/>
    </w:p>
    <w:p w14:paraId="1B64B62D" w14:textId="0FC76AF1" w:rsidR="00FA3C1F" w:rsidRDefault="00FA3C1F" w:rsidP="00FA3C1F">
      <w:pPr>
        <w:pStyle w:val="BodyText"/>
        <w:rPr>
          <w:lang w:eastAsia="en-US"/>
        </w:rPr>
      </w:pPr>
      <w:r>
        <w:rPr>
          <w:lang w:eastAsia="en-US"/>
        </w:rPr>
        <w:t xml:space="preserve">We finalised our next </w:t>
      </w:r>
      <w:r w:rsidRPr="00FA3C1F">
        <w:rPr>
          <w:rStyle w:val="ItalicText"/>
          <w:lang w:eastAsia="en-US"/>
        </w:rPr>
        <w:t>Diversity and Inclusion Strategy (2020–2025)</w:t>
      </w:r>
      <w:r>
        <w:rPr>
          <w:lang w:eastAsia="en-US"/>
        </w:rPr>
        <w:t xml:space="preserve"> which reflects a maturing approach to diversity and inclusion for Melbourne Water in two ways: it expands our focus areas to include culturally and linguistically diverse and socially disadvantaged communities, and advances us further towards adopting a holistic approach that influences our work both internally and externally, embedding diversity and inclusion in all that we do.</w:t>
      </w:r>
    </w:p>
    <w:p w14:paraId="64D31D93" w14:textId="53C6F6BB" w:rsidR="00FA3C1F" w:rsidRDefault="00FA3C1F" w:rsidP="00FA3C1F">
      <w:pPr>
        <w:pStyle w:val="BodyText"/>
        <w:rPr>
          <w:lang w:eastAsia="en-US"/>
        </w:rPr>
      </w:pPr>
      <w:r>
        <w:rPr>
          <w:lang w:eastAsia="en-US"/>
        </w:rPr>
        <w:lastRenderedPageBreak/>
        <w:t xml:space="preserve">Melbourne Water has had an active </w:t>
      </w:r>
      <w:r w:rsidRPr="00FA3C1F">
        <w:rPr>
          <w:rStyle w:val="ItalicText"/>
          <w:lang w:eastAsia="en-US"/>
        </w:rPr>
        <w:t>Gender Equity Plan</w:t>
      </w:r>
      <w:r>
        <w:rPr>
          <w:lang w:eastAsia="en-US"/>
        </w:rPr>
        <w:t xml:space="preserve"> in place since 2016 which drives our commitment to achieving gender balance and equity both for our workforce and in the provision of services we provide to the community. Female representation of our workforce increased to 40.2 per cent over 2020-21, up from 38.9 per cent in June 2020. Females now represent 50 per cent of our senior leadership team roles, and an external audit of our remuneration over the financial year demonstrated a zero per cent pay gap.</w:t>
      </w:r>
    </w:p>
    <w:p w14:paraId="760EF5A2" w14:textId="5E1D3969" w:rsidR="00FA3C1F" w:rsidRDefault="00FA3C1F" w:rsidP="00FA3C1F">
      <w:pPr>
        <w:pStyle w:val="BodyText"/>
        <w:rPr>
          <w:lang w:eastAsia="en-US"/>
        </w:rPr>
      </w:pPr>
      <w:r>
        <w:rPr>
          <w:lang w:eastAsia="en-US"/>
        </w:rPr>
        <w:t>Our effort to address gender balance over the past year has included a strong focus on female representation in male-dominated areas. We delivered several targeted campaigns to increase the representation of women, including a seasonal firefighters recruitment campaign featuring women in firefighting roles. This resulted in increased applications, greater talent diversity and women representing 25 per cent of the firefighters recruited. Within our operations, we have undertaken a number of initiatives to increase diversity and staff retention, including trialling part-time operator arrangements for backfill positions and short-term contracts. Building on our strong foundation of flexible work arrangements, a revised water operations structure is making concrete changes to team configurations, enabling shared shifts and hours across the week.</w:t>
      </w:r>
    </w:p>
    <w:p w14:paraId="01DDCE4D" w14:textId="0F1ECC31" w:rsidR="00FA3C1F" w:rsidRDefault="00FA3C1F" w:rsidP="00FA3C1F">
      <w:pPr>
        <w:pStyle w:val="BodyText"/>
        <w:rPr>
          <w:lang w:eastAsia="en-US"/>
        </w:rPr>
      </w:pPr>
      <w:r>
        <w:rPr>
          <w:lang w:eastAsia="en-US"/>
        </w:rPr>
        <w:t xml:space="preserve">We are developing a new </w:t>
      </w:r>
      <w:r w:rsidRPr="00FA3C1F">
        <w:rPr>
          <w:rStyle w:val="ItalicText"/>
          <w:lang w:eastAsia="en-US"/>
        </w:rPr>
        <w:t>Gender Equality Action Plan</w:t>
      </w:r>
      <w:r>
        <w:rPr>
          <w:lang w:eastAsia="en-US"/>
        </w:rPr>
        <w:t xml:space="preserve"> and a </w:t>
      </w:r>
      <w:r w:rsidRPr="00FA3C1F">
        <w:rPr>
          <w:rStyle w:val="ItalicText"/>
          <w:lang w:eastAsia="en-US"/>
        </w:rPr>
        <w:t>Preventing and Responding to Sexual Harassment Plan</w:t>
      </w:r>
      <w:r>
        <w:rPr>
          <w:lang w:eastAsia="en-US"/>
        </w:rPr>
        <w:t xml:space="preserve">, that further builds on our commitment to this agenda and will be in line with guidance and legislative obligations under the new </w:t>
      </w:r>
      <w:r w:rsidRPr="00FA3C1F">
        <w:rPr>
          <w:rStyle w:val="ItalicText"/>
          <w:lang w:eastAsia="en-US"/>
        </w:rPr>
        <w:t>Victorian Gender Equality Act (2020)</w:t>
      </w:r>
      <w:r>
        <w:rPr>
          <w:lang w:eastAsia="en-US"/>
        </w:rPr>
        <w:t>.</w:t>
      </w:r>
    </w:p>
    <w:p w14:paraId="1053FD8E" w14:textId="77777777" w:rsidR="00FA3C1F" w:rsidRDefault="00FA3C1F" w:rsidP="00FA3C1F">
      <w:pPr>
        <w:pStyle w:val="BodyText"/>
        <w:rPr>
          <w:lang w:eastAsia="en-US"/>
        </w:rPr>
      </w:pPr>
      <w:r>
        <w:rPr>
          <w:lang w:eastAsia="en-US"/>
        </w:rPr>
        <w:t>Internships were an important feature in this year’s diversity and inclusion program and focus on building further the diversity of our talent pipeline. Participants include students and recent graduates with a lived experience of disability, social disadvantage and culturally diverse backgrounds.</w:t>
      </w:r>
    </w:p>
    <w:p w14:paraId="561A0965" w14:textId="2FB12839" w:rsidR="00B03ADB" w:rsidRDefault="00FA3C1F" w:rsidP="00FA3C1F">
      <w:pPr>
        <w:pStyle w:val="BodyText"/>
        <w:rPr>
          <w:lang w:eastAsia="en-US"/>
        </w:rPr>
      </w:pPr>
      <w:r>
        <w:rPr>
          <w:lang w:eastAsia="en-US"/>
        </w:rPr>
        <w:t>Over the last five years, Melbourne Water has increased representation of women (32.8 per cent to 40.2 per cent), Aboriginal and Torres Strait Islander people (0.4 per cent in June 2016 to 1 per cent in June 2021), people with disability (voluntarily self-reporting a type of disability 1.9 per cent to 10.7 per cent), and members of the LGBTIQ+ community (3.2 per cent to 4.2 per cent).</w:t>
      </w:r>
    </w:p>
    <w:p w14:paraId="18BBB193" w14:textId="77777777" w:rsidR="00FA3C1F" w:rsidRDefault="00FA3C1F" w:rsidP="00FA3C1F">
      <w:pPr>
        <w:pStyle w:val="Heading3"/>
      </w:pPr>
      <w:bookmarkStart w:id="524" w:name="_Toc89723059"/>
      <w:bookmarkStart w:id="525" w:name="_Ref89797218"/>
      <w:bookmarkStart w:id="526" w:name="_Ref89799922"/>
      <w:bookmarkStart w:id="527" w:name="_Ref89800098"/>
      <w:bookmarkStart w:id="528" w:name="_Ref89805202"/>
      <w:bookmarkStart w:id="529" w:name="_Ref89808035"/>
      <w:bookmarkStart w:id="530" w:name="_Ref89808569"/>
      <w:bookmarkStart w:id="531" w:name="_Ref89811516"/>
      <w:bookmarkStart w:id="532" w:name="_Toc90326002"/>
      <w:bookmarkStart w:id="533" w:name="_Toc93659408"/>
      <w:r>
        <w:t>Accessibility Inclusion Plan</w:t>
      </w:r>
      <w:bookmarkEnd w:id="524"/>
      <w:bookmarkEnd w:id="525"/>
      <w:bookmarkEnd w:id="526"/>
      <w:bookmarkEnd w:id="527"/>
      <w:bookmarkEnd w:id="528"/>
      <w:bookmarkEnd w:id="529"/>
      <w:bookmarkEnd w:id="530"/>
      <w:bookmarkEnd w:id="531"/>
      <w:bookmarkEnd w:id="532"/>
      <w:bookmarkEnd w:id="533"/>
    </w:p>
    <w:p w14:paraId="11883C21" w14:textId="4D5DA4E4" w:rsidR="00FA3C1F" w:rsidRDefault="00FA3C1F" w:rsidP="00FA3C1F">
      <w:pPr>
        <w:pStyle w:val="BodyText"/>
        <w:rPr>
          <w:lang w:eastAsia="en-US"/>
        </w:rPr>
      </w:pPr>
      <w:r>
        <w:rPr>
          <w:lang w:eastAsia="en-US"/>
        </w:rPr>
        <w:t xml:space="preserve">The inclusion of people with disability continues to be an important part of our inclusion strategy. Our </w:t>
      </w:r>
      <w:r w:rsidRPr="00FA3C1F">
        <w:rPr>
          <w:rStyle w:val="ItalicText"/>
          <w:lang w:eastAsia="en-US"/>
        </w:rPr>
        <w:t>Accessibility</w:t>
      </w:r>
      <w:r w:rsidRPr="00FA3C1F">
        <w:rPr>
          <w:rStyle w:val="ItalicText"/>
        </w:rPr>
        <w:t xml:space="preserve"> </w:t>
      </w:r>
      <w:r w:rsidRPr="00FA3C1F">
        <w:rPr>
          <w:rStyle w:val="ItalicText"/>
          <w:lang w:eastAsia="en-US"/>
        </w:rPr>
        <w:t>Inclusion Plan (2018-2021)</w:t>
      </w:r>
      <w:r>
        <w:rPr>
          <w:lang w:eastAsia="en-US"/>
        </w:rPr>
        <w:t xml:space="preserve"> is leading our efforts to create a more accessible and inclusive work environment for people with disability, including creating opportunities for participation within the Melbourne Water workforce and removing barriers that prevent people with disability from participating in and accessing Melbourne Water’s services. The delivery of this plan also supports Melbourne Water’s compliance with the </w:t>
      </w:r>
      <w:r w:rsidRPr="00FA3C1F">
        <w:rPr>
          <w:rStyle w:val="ItalicText"/>
          <w:lang w:eastAsia="en-US"/>
        </w:rPr>
        <w:t>Disability Act (2006)</w:t>
      </w:r>
      <w:r>
        <w:rPr>
          <w:lang w:eastAsia="en-US"/>
        </w:rPr>
        <w:t>. Some of the activities delivered this year include improving digital accessibility, a Carers Week event featuring Jennifer Daddow from Carers Victoria and celebrations for International Day of People with Disability.</w:t>
      </w:r>
    </w:p>
    <w:p w14:paraId="26D803EC" w14:textId="2AF899DF" w:rsidR="00B03ADB" w:rsidRDefault="00FA3C1F" w:rsidP="00FA3C1F">
      <w:pPr>
        <w:pStyle w:val="BodyText"/>
        <w:rPr>
          <w:lang w:eastAsia="en-US"/>
        </w:rPr>
      </w:pPr>
      <w:r>
        <w:rPr>
          <w:lang w:eastAsia="en-US"/>
        </w:rPr>
        <w:t>Now in its third year, Melbourne Water’s Disability Employee Network Kaleidoscope was recognised as an example of a best practice approach to supporting employees with disabilities, through a benchmarking process on the Australian Network on Disability’s 2020 Access and Inclusion Index. Melbourne Water scored 65/100 in the Access and Inclusion Index and ranked 8th overall, well above the average 44/100 score for participating organisations. Scoring 65 per cent in the Index as a first-time participant is exceptional and rarely achieved.</w:t>
      </w:r>
    </w:p>
    <w:p w14:paraId="5EBD5579" w14:textId="15D0FC91" w:rsidR="00FA3C1F" w:rsidRDefault="00FA3C1F" w:rsidP="00FA3C1F">
      <w:pPr>
        <w:pStyle w:val="BodyText"/>
        <w:rPr>
          <w:lang w:eastAsia="en-US"/>
        </w:rPr>
      </w:pPr>
      <w:r>
        <w:rPr>
          <w:lang w:eastAsia="en-US"/>
        </w:rPr>
        <w:t>In further recognition, Erin Beel (Kaleidoscope chair and Melbourne Water Lead User Experience Designer) was presented with the Individual Change Maker Award by The Victorian Public Sector Enablers Network in 2020 in acknowledgment of her work in digital accessibly, including creating accessible content, design and educating staff on developing for accessibility.</w:t>
      </w:r>
    </w:p>
    <w:p w14:paraId="10B31759" w14:textId="50DB23E2" w:rsidR="00FA3C1F" w:rsidRDefault="00FA3C1F" w:rsidP="00FA3C1F">
      <w:pPr>
        <w:pStyle w:val="BodyText"/>
        <w:rPr>
          <w:lang w:eastAsia="en-US"/>
        </w:rPr>
      </w:pPr>
      <w:r>
        <w:rPr>
          <w:lang w:eastAsia="en-US"/>
        </w:rPr>
        <w:t>With a continued focus on building an inclusive culture, we experienced an increase in voluntary self-reporting of type of disability from 9.7 per cent in 2019-20 to 10.7 per cent in 2020-21.</w:t>
      </w:r>
    </w:p>
    <w:p w14:paraId="419370A6" w14:textId="77777777" w:rsidR="00FA3C1F" w:rsidRDefault="00FA3C1F" w:rsidP="00FA3C1F">
      <w:pPr>
        <w:pStyle w:val="Heading4"/>
      </w:pPr>
      <w:r>
        <w:lastRenderedPageBreak/>
        <w:t>Our workforce in numbers</w:t>
      </w:r>
    </w:p>
    <w:p w14:paraId="50555670" w14:textId="77777777" w:rsidR="00FA3C1F" w:rsidRDefault="00FA3C1F" w:rsidP="00FA3C1F">
      <w:pPr>
        <w:pStyle w:val="BodyText"/>
        <w:rPr>
          <w:lang w:eastAsia="en-US"/>
        </w:rPr>
      </w:pPr>
      <w:r>
        <w:rPr>
          <w:lang w:eastAsia="en-US"/>
        </w:rPr>
        <w:t>In 2020-21 Melbourne Water:</w:t>
      </w:r>
    </w:p>
    <w:p w14:paraId="74E1E11F" w14:textId="6840DF4A" w:rsidR="00FA3C1F" w:rsidRDefault="00FA3C1F" w:rsidP="00FA3C1F">
      <w:pPr>
        <w:pStyle w:val="ListBullet"/>
        <w:rPr>
          <w:lang w:eastAsia="en-US"/>
        </w:rPr>
      </w:pPr>
      <w:r>
        <w:rPr>
          <w:lang w:eastAsia="en-US"/>
        </w:rPr>
        <w:t>employed 1223 people compared to 1198 in 2019-20</w:t>
      </w:r>
    </w:p>
    <w:p w14:paraId="13AD579A" w14:textId="4531F16F" w:rsidR="00FA3C1F" w:rsidRDefault="00FA3C1F" w:rsidP="00C778D6">
      <w:pPr>
        <w:pStyle w:val="ListBullet"/>
        <w:rPr>
          <w:lang w:eastAsia="en-US"/>
        </w:rPr>
      </w:pPr>
      <w:r>
        <w:rPr>
          <w:lang w:eastAsia="en-US"/>
        </w:rPr>
        <w:t>continued to actively support greater diversity in our workforce. Females now comprise 40 per cent of our workforce compared to 39 per cent in 2019-20</w:t>
      </w:r>
    </w:p>
    <w:p w14:paraId="1FEE6D63" w14:textId="455653D5" w:rsidR="00FA3C1F" w:rsidRDefault="00FA3C1F" w:rsidP="00C778D6">
      <w:pPr>
        <w:pStyle w:val="ListBullet"/>
        <w:rPr>
          <w:lang w:eastAsia="en-US"/>
        </w:rPr>
      </w:pPr>
      <w:r>
        <w:rPr>
          <w:lang w:eastAsia="en-US"/>
        </w:rPr>
        <w:t>has 62 per cent of employees covered by the Enterprise Agreement</w:t>
      </w:r>
    </w:p>
    <w:p w14:paraId="5A013651" w14:textId="531FCC43" w:rsidR="00B03ADB" w:rsidRDefault="00FA3C1F" w:rsidP="00C778D6">
      <w:pPr>
        <w:pStyle w:val="ListBullet"/>
        <w:rPr>
          <w:lang w:eastAsia="en-US"/>
        </w:rPr>
      </w:pPr>
      <w:r>
        <w:rPr>
          <w:lang w:eastAsia="en-US"/>
        </w:rPr>
        <w:t>filled 35 per cent of our vacant roles via internal candidates, consistent with our focus on career development.</w:t>
      </w:r>
    </w:p>
    <w:p w14:paraId="68E7ADB1" w14:textId="77777777" w:rsidR="00FA3C1F" w:rsidRDefault="00FA3C1F" w:rsidP="00FA3C1F">
      <w:pPr>
        <w:pStyle w:val="Heading3"/>
      </w:pPr>
      <w:bookmarkStart w:id="534" w:name="_Toc89723060"/>
      <w:bookmarkStart w:id="535" w:name="_Toc90326003"/>
      <w:bookmarkStart w:id="536" w:name="_Toc93659409"/>
      <w:r>
        <w:t>Employment Data</w:t>
      </w:r>
      <w:bookmarkEnd w:id="534"/>
      <w:bookmarkEnd w:id="535"/>
      <w:bookmarkEnd w:id="536"/>
    </w:p>
    <w:p w14:paraId="4F81863F" w14:textId="35791A4F" w:rsidR="00FA3C1F" w:rsidRDefault="00FA3C1F" w:rsidP="00FA3C1F">
      <w:pPr>
        <w:pStyle w:val="BodyText"/>
        <w:rPr>
          <w:lang w:eastAsia="en-US"/>
        </w:rPr>
      </w:pPr>
      <w:r>
        <w:rPr>
          <w:lang w:eastAsia="en-US"/>
        </w:rPr>
        <w:t xml:space="preserve">The following employee-related statistics are provided as additional information in support of statutory reporting and other obligations. Employees have been correctly classified in workforce data collections and are presented in </w:t>
      </w:r>
      <w:r w:rsidR="0010793A">
        <w:rPr>
          <w:lang w:eastAsia="en-US"/>
        </w:rPr>
        <w:fldChar w:fldCharType="begin"/>
      </w:r>
      <w:r w:rsidR="0010793A">
        <w:rPr>
          <w:lang w:eastAsia="en-US"/>
        </w:rPr>
        <w:instrText xml:space="preserve"> REF _Ref89644323 \h </w:instrText>
      </w:r>
      <w:r w:rsidR="0010793A">
        <w:rPr>
          <w:lang w:eastAsia="en-US"/>
        </w:rPr>
      </w:r>
      <w:r w:rsidR="0010793A">
        <w:rPr>
          <w:lang w:eastAsia="en-US"/>
        </w:rPr>
        <w:fldChar w:fldCharType="separate"/>
      </w:r>
      <w:r w:rsidR="00472151">
        <w:rPr>
          <w:lang w:eastAsia="en-US"/>
        </w:rPr>
        <w:t xml:space="preserve">Table </w:t>
      </w:r>
      <w:r w:rsidR="00472151">
        <w:rPr>
          <w:noProof/>
          <w:lang w:eastAsia="en-US"/>
        </w:rPr>
        <w:t>8</w:t>
      </w:r>
      <w:r w:rsidR="0010793A">
        <w:rPr>
          <w:lang w:eastAsia="en-US"/>
        </w:rPr>
        <w:fldChar w:fldCharType="end"/>
      </w:r>
      <w:r>
        <w:rPr>
          <w:lang w:eastAsia="en-US"/>
        </w:rPr>
        <w:t>.</w:t>
      </w:r>
    </w:p>
    <w:p w14:paraId="0290111F" w14:textId="4FDDBD8E" w:rsidR="00B03ADB" w:rsidRDefault="00FA3C1F" w:rsidP="00FA3C1F">
      <w:pPr>
        <w:pStyle w:val="Caption"/>
        <w:rPr>
          <w:lang w:eastAsia="en-US"/>
        </w:rPr>
      </w:pPr>
      <w:bookmarkStart w:id="537" w:name="_Ref89644323"/>
      <w:r>
        <w:rPr>
          <w:lang w:eastAsia="en-US"/>
        </w:rPr>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8</w:t>
      </w:r>
      <w:r>
        <w:rPr>
          <w:lang w:eastAsia="en-US"/>
        </w:rPr>
        <w:fldChar w:fldCharType="end"/>
      </w:r>
      <w:bookmarkEnd w:id="537"/>
      <w:r>
        <w:rPr>
          <w:lang w:eastAsia="en-US"/>
        </w:rPr>
        <w:t>: Employee profile data by type for the past two years</w:t>
      </w:r>
    </w:p>
    <w:p w14:paraId="20C32223" w14:textId="6F3E0C5B" w:rsidR="00493A7B" w:rsidRPr="00493A7B" w:rsidRDefault="00493A7B" w:rsidP="00493A7B">
      <w:pPr>
        <w:pStyle w:val="BodyText"/>
        <w:rPr>
          <w:lang w:eastAsia="en-US"/>
        </w:rPr>
      </w:pPr>
      <w:r>
        <w:rPr>
          <w:lang w:eastAsia="en-US"/>
        </w:rPr>
        <w:t>June 2021</w:t>
      </w:r>
    </w:p>
    <w:tbl>
      <w:tblPr>
        <w:tblStyle w:val="TableGrid"/>
        <w:tblW w:w="5000" w:type="pct"/>
        <w:tblLook w:val="04A0" w:firstRow="1" w:lastRow="0" w:firstColumn="1" w:lastColumn="0" w:noHBand="0" w:noVBand="1"/>
      </w:tblPr>
      <w:tblGrid>
        <w:gridCol w:w="1632"/>
        <w:gridCol w:w="1202"/>
        <w:gridCol w:w="1113"/>
        <w:gridCol w:w="1202"/>
        <w:gridCol w:w="1202"/>
        <w:gridCol w:w="878"/>
        <w:gridCol w:w="1202"/>
        <w:gridCol w:w="1200"/>
      </w:tblGrid>
      <w:tr w:rsidR="00D46D79" w:rsidRPr="007D2017" w14:paraId="1EFCE4E6" w14:textId="77777777" w:rsidTr="00A54B77">
        <w:trPr>
          <w:cnfStyle w:val="100000000000" w:firstRow="1" w:lastRow="0" w:firstColumn="0" w:lastColumn="0" w:oddVBand="0" w:evenVBand="0" w:oddHBand="0" w:evenHBand="0" w:firstRowFirstColumn="0" w:firstRowLastColumn="0" w:lastRowFirstColumn="0" w:lastRowLastColumn="0"/>
          <w:trHeight w:val="20"/>
          <w:tblHeader/>
        </w:trPr>
        <w:tc>
          <w:tcPr>
            <w:tcW w:w="847" w:type="pct"/>
            <w:vAlign w:val="bottom"/>
          </w:tcPr>
          <w:p w14:paraId="25F37144" w14:textId="439951DF" w:rsidR="00493A7B" w:rsidRPr="007D2017" w:rsidRDefault="00493A7B" w:rsidP="004033CA">
            <w:pPr>
              <w:pStyle w:val="TableBodyText"/>
            </w:pPr>
            <w:bookmarkStart w:id="538" w:name="ColumnTitle_20"/>
            <w:r>
              <w:t>Employee Type</w:t>
            </w:r>
          </w:p>
        </w:tc>
        <w:tc>
          <w:tcPr>
            <w:tcW w:w="624" w:type="pct"/>
            <w:vAlign w:val="bottom"/>
          </w:tcPr>
          <w:p w14:paraId="7595C423" w14:textId="77777777" w:rsidR="00493A7B" w:rsidRDefault="00493A7B" w:rsidP="004033CA">
            <w:pPr>
              <w:pStyle w:val="TableBodyText"/>
              <w:jc w:val="right"/>
            </w:pPr>
            <w:r>
              <w:t>All Employees</w:t>
            </w:r>
          </w:p>
          <w:p w14:paraId="074CFAA0" w14:textId="62AC66A3" w:rsidR="00493A7B" w:rsidRPr="007D2017" w:rsidRDefault="00493A7B" w:rsidP="004033CA">
            <w:pPr>
              <w:pStyle w:val="TableBodyText"/>
              <w:jc w:val="right"/>
            </w:pPr>
            <w:r>
              <w:t>Number (headcount)</w:t>
            </w:r>
          </w:p>
        </w:tc>
        <w:tc>
          <w:tcPr>
            <w:tcW w:w="578" w:type="pct"/>
            <w:vAlign w:val="bottom"/>
          </w:tcPr>
          <w:p w14:paraId="25CFB1A3" w14:textId="77777777" w:rsidR="00493A7B" w:rsidRDefault="00493A7B" w:rsidP="004033CA">
            <w:pPr>
              <w:pStyle w:val="TableBodyText"/>
              <w:jc w:val="right"/>
            </w:pPr>
            <w:r>
              <w:t>All Employees</w:t>
            </w:r>
          </w:p>
          <w:p w14:paraId="2F377317" w14:textId="6BB24AAE" w:rsidR="00493A7B" w:rsidRPr="007D2017" w:rsidRDefault="00493A7B" w:rsidP="004033CA">
            <w:pPr>
              <w:pStyle w:val="TableBodyText"/>
              <w:jc w:val="right"/>
            </w:pPr>
            <w:r>
              <w:t>FTE</w:t>
            </w:r>
          </w:p>
        </w:tc>
        <w:tc>
          <w:tcPr>
            <w:tcW w:w="624" w:type="pct"/>
            <w:vAlign w:val="bottom"/>
          </w:tcPr>
          <w:p w14:paraId="7BED8CAA" w14:textId="77777777" w:rsidR="00493A7B" w:rsidRDefault="00493A7B" w:rsidP="004033CA">
            <w:pPr>
              <w:pStyle w:val="TableBodyText"/>
              <w:jc w:val="right"/>
            </w:pPr>
            <w:r>
              <w:t>Ongoing</w:t>
            </w:r>
          </w:p>
          <w:p w14:paraId="7D46FE36" w14:textId="7C09902B" w:rsidR="00493A7B" w:rsidRPr="007D2017" w:rsidRDefault="00493A7B" w:rsidP="002715CB">
            <w:pPr>
              <w:pStyle w:val="TableBodyText"/>
              <w:jc w:val="right"/>
            </w:pPr>
            <w:r>
              <w:t>Full time</w:t>
            </w:r>
            <w:r w:rsidR="002715CB">
              <w:t xml:space="preserve"> </w:t>
            </w:r>
            <w:r>
              <w:t>(headcount)</w:t>
            </w:r>
          </w:p>
        </w:tc>
        <w:tc>
          <w:tcPr>
            <w:tcW w:w="624" w:type="pct"/>
            <w:vAlign w:val="bottom"/>
          </w:tcPr>
          <w:p w14:paraId="68E0C4E2" w14:textId="77777777" w:rsidR="00493A7B" w:rsidRDefault="00493A7B" w:rsidP="004033CA">
            <w:pPr>
              <w:pStyle w:val="TableBodyText"/>
              <w:jc w:val="right"/>
            </w:pPr>
            <w:r>
              <w:t>Ongoing</w:t>
            </w:r>
          </w:p>
          <w:p w14:paraId="27935B0D" w14:textId="4F42171C" w:rsidR="00493A7B" w:rsidRPr="007D2017" w:rsidRDefault="00493A7B" w:rsidP="002715CB">
            <w:pPr>
              <w:pStyle w:val="TableBodyText"/>
              <w:jc w:val="right"/>
            </w:pPr>
            <w:r>
              <w:t>Part time</w:t>
            </w:r>
            <w:r w:rsidR="002715CB">
              <w:t xml:space="preserve"> </w:t>
            </w:r>
            <w:r>
              <w:t>(headcount)</w:t>
            </w:r>
          </w:p>
        </w:tc>
        <w:tc>
          <w:tcPr>
            <w:tcW w:w="456" w:type="pct"/>
            <w:vAlign w:val="bottom"/>
          </w:tcPr>
          <w:p w14:paraId="7F79A82E" w14:textId="77777777" w:rsidR="00493A7B" w:rsidRDefault="00493A7B" w:rsidP="004033CA">
            <w:pPr>
              <w:pStyle w:val="TableBodyText"/>
              <w:jc w:val="right"/>
            </w:pPr>
            <w:r>
              <w:t>Ongoing</w:t>
            </w:r>
          </w:p>
          <w:p w14:paraId="5B18B7E5" w14:textId="2958FDB3" w:rsidR="00493A7B" w:rsidRPr="007D2017" w:rsidRDefault="00493A7B" w:rsidP="004033CA">
            <w:pPr>
              <w:pStyle w:val="TableBodyText"/>
              <w:jc w:val="right"/>
            </w:pPr>
            <w:r>
              <w:t>FTE</w:t>
            </w:r>
          </w:p>
        </w:tc>
        <w:tc>
          <w:tcPr>
            <w:tcW w:w="624" w:type="pct"/>
            <w:vAlign w:val="bottom"/>
          </w:tcPr>
          <w:p w14:paraId="1C6A815A" w14:textId="77777777" w:rsidR="00493A7B" w:rsidRDefault="00493A7B" w:rsidP="004033CA">
            <w:pPr>
              <w:pStyle w:val="TableBodyText"/>
              <w:jc w:val="right"/>
            </w:pPr>
            <w:r>
              <w:t>Fixed term and casual</w:t>
            </w:r>
          </w:p>
          <w:p w14:paraId="5E53B28B" w14:textId="6080810E" w:rsidR="00493A7B" w:rsidRPr="007D2017" w:rsidRDefault="00493A7B" w:rsidP="004033CA">
            <w:pPr>
              <w:pStyle w:val="TableBodyText"/>
              <w:jc w:val="right"/>
            </w:pPr>
            <w:r>
              <w:t>Number (headcount)</w:t>
            </w:r>
          </w:p>
        </w:tc>
        <w:tc>
          <w:tcPr>
            <w:tcW w:w="624" w:type="pct"/>
            <w:vAlign w:val="bottom"/>
          </w:tcPr>
          <w:p w14:paraId="02D8B583" w14:textId="77777777" w:rsidR="00493A7B" w:rsidRDefault="00493A7B" w:rsidP="004033CA">
            <w:pPr>
              <w:pStyle w:val="TableBodyText"/>
              <w:jc w:val="right"/>
            </w:pPr>
            <w:r>
              <w:t>Fixed term and casual</w:t>
            </w:r>
          </w:p>
          <w:p w14:paraId="4BF55CFB" w14:textId="6ECD896E" w:rsidR="00493A7B" w:rsidRPr="007D2017" w:rsidRDefault="00493A7B" w:rsidP="004033CA">
            <w:pPr>
              <w:pStyle w:val="TableBodyText"/>
              <w:jc w:val="right"/>
            </w:pPr>
            <w:r>
              <w:t>FTE (headcount)</w:t>
            </w:r>
          </w:p>
        </w:tc>
      </w:tr>
      <w:bookmarkEnd w:id="538"/>
      <w:tr w:rsidR="007E689B" w:rsidRPr="007D2017" w14:paraId="635B48F8" w14:textId="77777777" w:rsidTr="004033CA">
        <w:trPr>
          <w:trHeight w:val="20"/>
        </w:trPr>
        <w:tc>
          <w:tcPr>
            <w:tcW w:w="847" w:type="pct"/>
          </w:tcPr>
          <w:p w14:paraId="0502D7B7" w14:textId="78DDF669" w:rsidR="007E689B" w:rsidRPr="00493A7B" w:rsidRDefault="007E689B" w:rsidP="007E689B">
            <w:pPr>
              <w:pStyle w:val="TableBodyText"/>
              <w:rPr>
                <w:rStyle w:val="Bold"/>
              </w:rPr>
            </w:pPr>
            <w:r>
              <w:rPr>
                <w:rStyle w:val="Bold"/>
              </w:rPr>
              <w:t xml:space="preserve">Demographic Data - </w:t>
            </w:r>
            <w:r w:rsidRPr="00493A7B">
              <w:rPr>
                <w:rStyle w:val="Bold"/>
              </w:rPr>
              <w:t>Gender</w:t>
            </w:r>
          </w:p>
        </w:tc>
        <w:tc>
          <w:tcPr>
            <w:tcW w:w="624" w:type="pct"/>
          </w:tcPr>
          <w:p w14:paraId="591A491E" w14:textId="186FE481" w:rsidR="007E689B" w:rsidRPr="007D2017" w:rsidRDefault="007E689B" w:rsidP="004033CA">
            <w:pPr>
              <w:pStyle w:val="TableBodyText"/>
              <w:jc w:val="right"/>
            </w:pPr>
            <w:r>
              <w:t>N/A</w:t>
            </w:r>
          </w:p>
        </w:tc>
        <w:tc>
          <w:tcPr>
            <w:tcW w:w="578" w:type="pct"/>
          </w:tcPr>
          <w:p w14:paraId="6073E23B" w14:textId="39C8D341" w:rsidR="007E689B" w:rsidRPr="007D2017" w:rsidRDefault="007E689B" w:rsidP="004033CA">
            <w:pPr>
              <w:pStyle w:val="TableBodyText"/>
              <w:jc w:val="right"/>
            </w:pPr>
            <w:r w:rsidRPr="0052367D">
              <w:t>N/A</w:t>
            </w:r>
          </w:p>
        </w:tc>
        <w:tc>
          <w:tcPr>
            <w:tcW w:w="624" w:type="pct"/>
          </w:tcPr>
          <w:p w14:paraId="58BAE592" w14:textId="685D2CC4" w:rsidR="007E689B" w:rsidRPr="007D2017" w:rsidRDefault="007E689B" w:rsidP="004033CA">
            <w:pPr>
              <w:pStyle w:val="TableBodyText"/>
              <w:jc w:val="right"/>
            </w:pPr>
            <w:r w:rsidRPr="0052367D">
              <w:t>N/A</w:t>
            </w:r>
          </w:p>
        </w:tc>
        <w:tc>
          <w:tcPr>
            <w:tcW w:w="624" w:type="pct"/>
          </w:tcPr>
          <w:p w14:paraId="150600B6" w14:textId="598B5855" w:rsidR="007E689B" w:rsidRPr="007D2017" w:rsidRDefault="007E689B" w:rsidP="004033CA">
            <w:pPr>
              <w:pStyle w:val="TableBodyText"/>
              <w:jc w:val="right"/>
            </w:pPr>
            <w:r w:rsidRPr="0052367D">
              <w:t>N/A</w:t>
            </w:r>
          </w:p>
        </w:tc>
        <w:tc>
          <w:tcPr>
            <w:tcW w:w="456" w:type="pct"/>
          </w:tcPr>
          <w:p w14:paraId="22560476" w14:textId="51C89BC1" w:rsidR="007E689B" w:rsidRPr="007D2017" w:rsidRDefault="007E689B" w:rsidP="004033CA">
            <w:pPr>
              <w:pStyle w:val="TableBodyText"/>
              <w:jc w:val="right"/>
            </w:pPr>
            <w:r w:rsidRPr="0052367D">
              <w:t>N/A</w:t>
            </w:r>
          </w:p>
        </w:tc>
        <w:tc>
          <w:tcPr>
            <w:tcW w:w="624" w:type="pct"/>
          </w:tcPr>
          <w:p w14:paraId="58F5DB23" w14:textId="180C2404" w:rsidR="007E689B" w:rsidRPr="007D2017" w:rsidRDefault="007E689B" w:rsidP="004033CA">
            <w:pPr>
              <w:pStyle w:val="TableBodyText"/>
              <w:jc w:val="right"/>
            </w:pPr>
            <w:r w:rsidRPr="0052367D">
              <w:t>N/A</w:t>
            </w:r>
          </w:p>
        </w:tc>
        <w:tc>
          <w:tcPr>
            <w:tcW w:w="624" w:type="pct"/>
          </w:tcPr>
          <w:p w14:paraId="6AE4B75D" w14:textId="24CE6C52" w:rsidR="007E689B" w:rsidRPr="007D2017" w:rsidRDefault="007E689B" w:rsidP="004033CA">
            <w:pPr>
              <w:pStyle w:val="TableBodyText"/>
              <w:jc w:val="right"/>
            </w:pPr>
            <w:r w:rsidRPr="0052367D">
              <w:t>N/A</w:t>
            </w:r>
          </w:p>
        </w:tc>
      </w:tr>
      <w:tr w:rsidR="00D46D79" w:rsidRPr="007D2017" w14:paraId="2577102D" w14:textId="77777777" w:rsidTr="004033CA">
        <w:trPr>
          <w:trHeight w:val="20"/>
        </w:trPr>
        <w:tc>
          <w:tcPr>
            <w:tcW w:w="847" w:type="pct"/>
          </w:tcPr>
          <w:p w14:paraId="400B385F" w14:textId="77777777" w:rsidR="00493A7B" w:rsidRPr="007D2017" w:rsidRDefault="00493A7B" w:rsidP="00493A7B">
            <w:pPr>
              <w:pStyle w:val="TableBodyText"/>
            </w:pPr>
            <w:r w:rsidRPr="007D2017">
              <w:t>Male</w:t>
            </w:r>
          </w:p>
        </w:tc>
        <w:tc>
          <w:tcPr>
            <w:tcW w:w="624" w:type="pct"/>
          </w:tcPr>
          <w:p w14:paraId="097E6C08" w14:textId="77777777" w:rsidR="00493A7B" w:rsidRPr="007D2017" w:rsidRDefault="00493A7B" w:rsidP="004033CA">
            <w:pPr>
              <w:pStyle w:val="TableBodyText"/>
              <w:jc w:val="right"/>
            </w:pPr>
            <w:r w:rsidRPr="007D2017">
              <w:t>730</w:t>
            </w:r>
          </w:p>
        </w:tc>
        <w:tc>
          <w:tcPr>
            <w:tcW w:w="578" w:type="pct"/>
          </w:tcPr>
          <w:p w14:paraId="52032860" w14:textId="77777777" w:rsidR="00493A7B" w:rsidRPr="007D2017" w:rsidRDefault="00493A7B" w:rsidP="004033CA">
            <w:pPr>
              <w:pStyle w:val="TableBodyText"/>
              <w:jc w:val="right"/>
            </w:pPr>
            <w:r w:rsidRPr="007D2017">
              <w:t>716</w:t>
            </w:r>
          </w:p>
        </w:tc>
        <w:tc>
          <w:tcPr>
            <w:tcW w:w="624" w:type="pct"/>
          </w:tcPr>
          <w:p w14:paraId="5E30D0ED" w14:textId="77777777" w:rsidR="00493A7B" w:rsidRPr="007D2017" w:rsidRDefault="00493A7B" w:rsidP="004033CA">
            <w:pPr>
              <w:pStyle w:val="TableBodyText"/>
              <w:jc w:val="right"/>
            </w:pPr>
            <w:r w:rsidRPr="007D2017">
              <w:t>632</w:t>
            </w:r>
          </w:p>
        </w:tc>
        <w:tc>
          <w:tcPr>
            <w:tcW w:w="624" w:type="pct"/>
          </w:tcPr>
          <w:p w14:paraId="11CBFD13" w14:textId="77777777" w:rsidR="00493A7B" w:rsidRPr="007D2017" w:rsidRDefault="00493A7B" w:rsidP="004033CA">
            <w:pPr>
              <w:pStyle w:val="TableBodyText"/>
              <w:jc w:val="right"/>
            </w:pPr>
            <w:r w:rsidRPr="007D2017">
              <w:t>49</w:t>
            </w:r>
          </w:p>
        </w:tc>
        <w:tc>
          <w:tcPr>
            <w:tcW w:w="456" w:type="pct"/>
          </w:tcPr>
          <w:p w14:paraId="59B887BC" w14:textId="77777777" w:rsidR="00493A7B" w:rsidRPr="007D2017" w:rsidRDefault="00493A7B" w:rsidP="004033CA">
            <w:pPr>
              <w:pStyle w:val="TableBodyText"/>
              <w:jc w:val="right"/>
            </w:pPr>
            <w:r w:rsidRPr="007D2017">
              <w:t>675</w:t>
            </w:r>
          </w:p>
        </w:tc>
        <w:tc>
          <w:tcPr>
            <w:tcW w:w="624" w:type="pct"/>
          </w:tcPr>
          <w:p w14:paraId="173C1C3A" w14:textId="77777777" w:rsidR="00493A7B" w:rsidRPr="007D2017" w:rsidRDefault="00493A7B" w:rsidP="004033CA">
            <w:pPr>
              <w:pStyle w:val="TableBodyText"/>
              <w:jc w:val="right"/>
            </w:pPr>
            <w:r w:rsidRPr="007D2017">
              <w:t>49</w:t>
            </w:r>
          </w:p>
        </w:tc>
        <w:tc>
          <w:tcPr>
            <w:tcW w:w="624" w:type="pct"/>
          </w:tcPr>
          <w:p w14:paraId="7813AA3E" w14:textId="77777777" w:rsidR="00493A7B" w:rsidRPr="007D2017" w:rsidRDefault="00493A7B" w:rsidP="004033CA">
            <w:pPr>
              <w:pStyle w:val="TableBodyText"/>
              <w:jc w:val="right"/>
            </w:pPr>
            <w:r w:rsidRPr="007D2017">
              <w:t>41</w:t>
            </w:r>
          </w:p>
        </w:tc>
      </w:tr>
      <w:tr w:rsidR="00D46D79" w:rsidRPr="007D2017" w14:paraId="34279F2A" w14:textId="77777777" w:rsidTr="004033CA">
        <w:trPr>
          <w:trHeight w:val="20"/>
        </w:trPr>
        <w:tc>
          <w:tcPr>
            <w:tcW w:w="847" w:type="pct"/>
          </w:tcPr>
          <w:p w14:paraId="63B4475E" w14:textId="77777777" w:rsidR="00493A7B" w:rsidRPr="007D2017" w:rsidRDefault="00493A7B" w:rsidP="00493A7B">
            <w:pPr>
              <w:pStyle w:val="TableBodyText"/>
            </w:pPr>
            <w:r w:rsidRPr="007D2017">
              <w:t>Female</w:t>
            </w:r>
          </w:p>
        </w:tc>
        <w:tc>
          <w:tcPr>
            <w:tcW w:w="624" w:type="pct"/>
          </w:tcPr>
          <w:p w14:paraId="1622C3C2" w14:textId="77777777" w:rsidR="00493A7B" w:rsidRPr="007D2017" w:rsidRDefault="00493A7B" w:rsidP="004033CA">
            <w:pPr>
              <w:pStyle w:val="TableBodyText"/>
              <w:jc w:val="right"/>
            </w:pPr>
            <w:r w:rsidRPr="007D2017">
              <w:t>492</w:t>
            </w:r>
          </w:p>
        </w:tc>
        <w:tc>
          <w:tcPr>
            <w:tcW w:w="578" w:type="pct"/>
          </w:tcPr>
          <w:p w14:paraId="4EBC9E73" w14:textId="77777777" w:rsidR="00493A7B" w:rsidRPr="007D2017" w:rsidRDefault="00493A7B" w:rsidP="004033CA">
            <w:pPr>
              <w:pStyle w:val="TableBodyText"/>
              <w:jc w:val="right"/>
            </w:pPr>
            <w:r w:rsidRPr="007D2017">
              <w:t>447</w:t>
            </w:r>
          </w:p>
        </w:tc>
        <w:tc>
          <w:tcPr>
            <w:tcW w:w="624" w:type="pct"/>
          </w:tcPr>
          <w:p w14:paraId="35178BBA" w14:textId="77777777" w:rsidR="00493A7B" w:rsidRPr="007D2017" w:rsidRDefault="00493A7B" w:rsidP="004033CA">
            <w:pPr>
              <w:pStyle w:val="TableBodyText"/>
              <w:jc w:val="right"/>
            </w:pPr>
            <w:r w:rsidRPr="007D2017">
              <w:t>302</w:t>
            </w:r>
          </w:p>
        </w:tc>
        <w:tc>
          <w:tcPr>
            <w:tcW w:w="624" w:type="pct"/>
          </w:tcPr>
          <w:p w14:paraId="63583243" w14:textId="77777777" w:rsidR="00493A7B" w:rsidRPr="007D2017" w:rsidRDefault="00493A7B" w:rsidP="004033CA">
            <w:pPr>
              <w:pStyle w:val="TableBodyText"/>
              <w:jc w:val="right"/>
            </w:pPr>
            <w:r w:rsidRPr="007D2017">
              <w:t>139</w:t>
            </w:r>
          </w:p>
        </w:tc>
        <w:tc>
          <w:tcPr>
            <w:tcW w:w="456" w:type="pct"/>
          </w:tcPr>
          <w:p w14:paraId="498D306C" w14:textId="77777777" w:rsidR="00493A7B" w:rsidRPr="007D2017" w:rsidRDefault="00493A7B" w:rsidP="004033CA">
            <w:pPr>
              <w:pStyle w:val="TableBodyText"/>
              <w:jc w:val="right"/>
            </w:pPr>
            <w:r w:rsidRPr="007D2017">
              <w:t>406</w:t>
            </w:r>
          </w:p>
        </w:tc>
        <w:tc>
          <w:tcPr>
            <w:tcW w:w="624" w:type="pct"/>
          </w:tcPr>
          <w:p w14:paraId="48877148" w14:textId="77777777" w:rsidR="00493A7B" w:rsidRPr="007D2017" w:rsidRDefault="00493A7B" w:rsidP="004033CA">
            <w:pPr>
              <w:pStyle w:val="TableBodyText"/>
              <w:jc w:val="right"/>
            </w:pPr>
            <w:r w:rsidRPr="007D2017">
              <w:t>51</w:t>
            </w:r>
          </w:p>
        </w:tc>
        <w:tc>
          <w:tcPr>
            <w:tcW w:w="624" w:type="pct"/>
          </w:tcPr>
          <w:p w14:paraId="0F11AD07" w14:textId="77777777" w:rsidR="00493A7B" w:rsidRPr="007D2017" w:rsidRDefault="00493A7B" w:rsidP="004033CA">
            <w:pPr>
              <w:pStyle w:val="TableBodyText"/>
              <w:jc w:val="right"/>
            </w:pPr>
            <w:r w:rsidRPr="007D2017">
              <w:t>41</w:t>
            </w:r>
          </w:p>
        </w:tc>
      </w:tr>
      <w:tr w:rsidR="00D46D79" w:rsidRPr="007D2017" w14:paraId="13C24342" w14:textId="77777777" w:rsidTr="004033CA">
        <w:trPr>
          <w:trHeight w:val="20"/>
        </w:trPr>
        <w:tc>
          <w:tcPr>
            <w:tcW w:w="847" w:type="pct"/>
          </w:tcPr>
          <w:p w14:paraId="6F11DBE2" w14:textId="77777777" w:rsidR="00493A7B" w:rsidRPr="007D2017" w:rsidRDefault="00493A7B" w:rsidP="00493A7B">
            <w:pPr>
              <w:pStyle w:val="TableBodyText"/>
            </w:pPr>
            <w:r w:rsidRPr="007D2017">
              <w:t>Self described</w:t>
            </w:r>
          </w:p>
        </w:tc>
        <w:tc>
          <w:tcPr>
            <w:tcW w:w="624" w:type="pct"/>
          </w:tcPr>
          <w:p w14:paraId="1B2D4DD6" w14:textId="77777777" w:rsidR="00493A7B" w:rsidRPr="007D2017" w:rsidRDefault="00493A7B" w:rsidP="004033CA">
            <w:pPr>
              <w:pStyle w:val="TableBodyText"/>
              <w:jc w:val="right"/>
            </w:pPr>
            <w:r w:rsidRPr="007D2017">
              <w:t>1</w:t>
            </w:r>
          </w:p>
        </w:tc>
        <w:tc>
          <w:tcPr>
            <w:tcW w:w="578" w:type="pct"/>
          </w:tcPr>
          <w:p w14:paraId="340FD167" w14:textId="77777777" w:rsidR="00493A7B" w:rsidRPr="007D2017" w:rsidRDefault="00493A7B" w:rsidP="004033CA">
            <w:pPr>
              <w:pStyle w:val="TableBodyText"/>
              <w:jc w:val="right"/>
            </w:pPr>
            <w:r w:rsidRPr="007D2017">
              <w:t>1</w:t>
            </w:r>
          </w:p>
        </w:tc>
        <w:tc>
          <w:tcPr>
            <w:tcW w:w="624" w:type="pct"/>
          </w:tcPr>
          <w:p w14:paraId="5DE11AE8" w14:textId="77777777" w:rsidR="00493A7B" w:rsidRPr="007D2017" w:rsidRDefault="00493A7B" w:rsidP="004033CA">
            <w:pPr>
              <w:pStyle w:val="TableBodyText"/>
              <w:jc w:val="right"/>
            </w:pPr>
            <w:r w:rsidRPr="007D2017">
              <w:t>1</w:t>
            </w:r>
          </w:p>
        </w:tc>
        <w:tc>
          <w:tcPr>
            <w:tcW w:w="624" w:type="pct"/>
          </w:tcPr>
          <w:p w14:paraId="1FD222DB" w14:textId="77777777" w:rsidR="00493A7B" w:rsidRPr="007D2017" w:rsidRDefault="00493A7B" w:rsidP="004033CA">
            <w:pPr>
              <w:pStyle w:val="TableBodyText"/>
              <w:jc w:val="right"/>
            </w:pPr>
            <w:r w:rsidRPr="007D2017">
              <w:t>0</w:t>
            </w:r>
          </w:p>
        </w:tc>
        <w:tc>
          <w:tcPr>
            <w:tcW w:w="456" w:type="pct"/>
          </w:tcPr>
          <w:p w14:paraId="5B8FE69A" w14:textId="77777777" w:rsidR="00493A7B" w:rsidRPr="007D2017" w:rsidRDefault="00493A7B" w:rsidP="004033CA">
            <w:pPr>
              <w:pStyle w:val="TableBodyText"/>
              <w:jc w:val="right"/>
            </w:pPr>
            <w:r w:rsidRPr="007D2017">
              <w:t>1</w:t>
            </w:r>
          </w:p>
        </w:tc>
        <w:tc>
          <w:tcPr>
            <w:tcW w:w="624" w:type="pct"/>
          </w:tcPr>
          <w:p w14:paraId="3A8E80E1" w14:textId="707ABED1" w:rsidR="00493A7B" w:rsidRPr="007D2017" w:rsidRDefault="00493A7B" w:rsidP="004033CA">
            <w:pPr>
              <w:pStyle w:val="TableBodyText"/>
              <w:jc w:val="right"/>
            </w:pPr>
            <w:r>
              <w:t>N/A</w:t>
            </w:r>
          </w:p>
        </w:tc>
        <w:tc>
          <w:tcPr>
            <w:tcW w:w="624" w:type="pct"/>
          </w:tcPr>
          <w:p w14:paraId="07F316E7" w14:textId="66A2984A" w:rsidR="00493A7B" w:rsidRPr="007D2017" w:rsidRDefault="00493A7B" w:rsidP="004033CA">
            <w:pPr>
              <w:pStyle w:val="TableBodyText"/>
              <w:jc w:val="right"/>
            </w:pPr>
            <w:r>
              <w:t>N/A</w:t>
            </w:r>
          </w:p>
        </w:tc>
      </w:tr>
      <w:tr w:rsidR="007E689B" w:rsidRPr="007D2017" w14:paraId="33A7A9CE" w14:textId="77777777" w:rsidTr="004033CA">
        <w:trPr>
          <w:trHeight w:val="20"/>
        </w:trPr>
        <w:tc>
          <w:tcPr>
            <w:tcW w:w="847" w:type="pct"/>
          </w:tcPr>
          <w:p w14:paraId="53CA3B82" w14:textId="5E9BC4EE" w:rsidR="007E689B" w:rsidRPr="00D46D79" w:rsidRDefault="007E689B" w:rsidP="007E689B">
            <w:pPr>
              <w:pStyle w:val="TableBodyText"/>
              <w:rPr>
                <w:rStyle w:val="Bold"/>
              </w:rPr>
            </w:pPr>
            <w:r w:rsidRPr="00D46D79">
              <w:rPr>
                <w:rStyle w:val="Bold"/>
              </w:rPr>
              <w:t>Demographic Data – Age</w:t>
            </w:r>
          </w:p>
        </w:tc>
        <w:tc>
          <w:tcPr>
            <w:tcW w:w="624" w:type="pct"/>
          </w:tcPr>
          <w:p w14:paraId="1059D0BB" w14:textId="000C28E7" w:rsidR="007E689B" w:rsidRPr="007D2017" w:rsidRDefault="007E689B" w:rsidP="004033CA">
            <w:pPr>
              <w:pStyle w:val="TableBodyText"/>
              <w:jc w:val="right"/>
            </w:pPr>
            <w:r w:rsidRPr="002F3045">
              <w:t>N/A</w:t>
            </w:r>
          </w:p>
        </w:tc>
        <w:tc>
          <w:tcPr>
            <w:tcW w:w="578" w:type="pct"/>
          </w:tcPr>
          <w:p w14:paraId="60A95BFD" w14:textId="6D89E8FA" w:rsidR="007E689B" w:rsidRPr="007D2017" w:rsidRDefault="007E689B" w:rsidP="004033CA">
            <w:pPr>
              <w:pStyle w:val="TableBodyText"/>
              <w:jc w:val="right"/>
            </w:pPr>
            <w:r w:rsidRPr="002F3045">
              <w:t>N/A</w:t>
            </w:r>
          </w:p>
        </w:tc>
        <w:tc>
          <w:tcPr>
            <w:tcW w:w="624" w:type="pct"/>
          </w:tcPr>
          <w:p w14:paraId="5C3AF2BE" w14:textId="5EBBAE77" w:rsidR="007E689B" w:rsidRPr="007D2017" w:rsidRDefault="007E689B" w:rsidP="004033CA">
            <w:pPr>
              <w:pStyle w:val="TableBodyText"/>
              <w:jc w:val="right"/>
            </w:pPr>
            <w:r w:rsidRPr="002F3045">
              <w:t>N/A</w:t>
            </w:r>
          </w:p>
        </w:tc>
        <w:tc>
          <w:tcPr>
            <w:tcW w:w="624" w:type="pct"/>
          </w:tcPr>
          <w:p w14:paraId="5C7F4A33" w14:textId="6120E538" w:rsidR="007E689B" w:rsidRPr="007D2017" w:rsidRDefault="007E689B" w:rsidP="004033CA">
            <w:pPr>
              <w:pStyle w:val="TableBodyText"/>
              <w:jc w:val="right"/>
            </w:pPr>
            <w:r w:rsidRPr="002F3045">
              <w:t>N/A</w:t>
            </w:r>
          </w:p>
        </w:tc>
        <w:tc>
          <w:tcPr>
            <w:tcW w:w="456" w:type="pct"/>
          </w:tcPr>
          <w:p w14:paraId="1A4E64F1" w14:textId="460674F4" w:rsidR="007E689B" w:rsidRPr="007D2017" w:rsidRDefault="007E689B" w:rsidP="004033CA">
            <w:pPr>
              <w:pStyle w:val="TableBodyText"/>
              <w:jc w:val="right"/>
            </w:pPr>
            <w:r w:rsidRPr="002F3045">
              <w:t>N/A</w:t>
            </w:r>
          </w:p>
        </w:tc>
        <w:tc>
          <w:tcPr>
            <w:tcW w:w="624" w:type="pct"/>
          </w:tcPr>
          <w:p w14:paraId="4C831FEE" w14:textId="00C185CB" w:rsidR="007E689B" w:rsidRPr="007D2017" w:rsidRDefault="007E689B" w:rsidP="004033CA">
            <w:pPr>
              <w:pStyle w:val="TableBodyText"/>
              <w:jc w:val="right"/>
            </w:pPr>
            <w:r w:rsidRPr="002F3045">
              <w:t>N/A</w:t>
            </w:r>
          </w:p>
        </w:tc>
        <w:tc>
          <w:tcPr>
            <w:tcW w:w="624" w:type="pct"/>
          </w:tcPr>
          <w:p w14:paraId="5D6CD802" w14:textId="1B36655C" w:rsidR="007E689B" w:rsidRPr="007D2017" w:rsidRDefault="007E689B" w:rsidP="004033CA">
            <w:pPr>
              <w:pStyle w:val="TableBodyText"/>
              <w:jc w:val="right"/>
            </w:pPr>
            <w:r w:rsidRPr="002F3045">
              <w:t>N/A</w:t>
            </w:r>
          </w:p>
        </w:tc>
      </w:tr>
      <w:tr w:rsidR="00D46D79" w:rsidRPr="007D2017" w14:paraId="2B29D905" w14:textId="77777777" w:rsidTr="004033CA">
        <w:trPr>
          <w:trHeight w:val="20"/>
        </w:trPr>
        <w:tc>
          <w:tcPr>
            <w:tcW w:w="847" w:type="pct"/>
          </w:tcPr>
          <w:p w14:paraId="3ACE71E3" w14:textId="77777777" w:rsidR="00493A7B" w:rsidRPr="007D2017" w:rsidRDefault="00493A7B" w:rsidP="00493A7B">
            <w:pPr>
              <w:pStyle w:val="TableBodyText"/>
            </w:pPr>
            <w:r w:rsidRPr="007D2017">
              <w:t>Under 25</w:t>
            </w:r>
          </w:p>
        </w:tc>
        <w:tc>
          <w:tcPr>
            <w:tcW w:w="624" w:type="pct"/>
          </w:tcPr>
          <w:p w14:paraId="55407960" w14:textId="77777777" w:rsidR="00493A7B" w:rsidRPr="007D2017" w:rsidRDefault="00493A7B" w:rsidP="004033CA">
            <w:pPr>
              <w:pStyle w:val="TableBodyText"/>
              <w:jc w:val="right"/>
            </w:pPr>
            <w:r w:rsidRPr="007D2017">
              <w:t>36</w:t>
            </w:r>
          </w:p>
        </w:tc>
        <w:tc>
          <w:tcPr>
            <w:tcW w:w="578" w:type="pct"/>
          </w:tcPr>
          <w:p w14:paraId="52A64016" w14:textId="77777777" w:rsidR="00493A7B" w:rsidRPr="007D2017" w:rsidRDefault="00493A7B" w:rsidP="004033CA">
            <w:pPr>
              <w:pStyle w:val="TableBodyText"/>
              <w:jc w:val="right"/>
            </w:pPr>
            <w:r w:rsidRPr="007D2017">
              <w:t>32</w:t>
            </w:r>
          </w:p>
        </w:tc>
        <w:tc>
          <w:tcPr>
            <w:tcW w:w="624" w:type="pct"/>
          </w:tcPr>
          <w:p w14:paraId="388F7FB2" w14:textId="77777777" w:rsidR="00493A7B" w:rsidRPr="007D2017" w:rsidRDefault="00493A7B" w:rsidP="004033CA">
            <w:pPr>
              <w:pStyle w:val="TableBodyText"/>
              <w:jc w:val="right"/>
            </w:pPr>
            <w:r w:rsidRPr="007D2017">
              <w:t>23</w:t>
            </w:r>
          </w:p>
        </w:tc>
        <w:tc>
          <w:tcPr>
            <w:tcW w:w="624" w:type="pct"/>
          </w:tcPr>
          <w:p w14:paraId="712C6744" w14:textId="77777777" w:rsidR="00493A7B" w:rsidRPr="007D2017" w:rsidRDefault="00493A7B" w:rsidP="004033CA">
            <w:pPr>
              <w:pStyle w:val="TableBodyText"/>
              <w:jc w:val="right"/>
            </w:pPr>
            <w:r w:rsidRPr="007D2017">
              <w:t>0</w:t>
            </w:r>
          </w:p>
        </w:tc>
        <w:tc>
          <w:tcPr>
            <w:tcW w:w="456" w:type="pct"/>
          </w:tcPr>
          <w:p w14:paraId="5D7389C1" w14:textId="77777777" w:rsidR="00493A7B" w:rsidRPr="007D2017" w:rsidRDefault="00493A7B" w:rsidP="004033CA">
            <w:pPr>
              <w:pStyle w:val="TableBodyText"/>
              <w:jc w:val="right"/>
            </w:pPr>
            <w:r w:rsidRPr="007D2017">
              <w:t>23</w:t>
            </w:r>
          </w:p>
        </w:tc>
        <w:tc>
          <w:tcPr>
            <w:tcW w:w="624" w:type="pct"/>
          </w:tcPr>
          <w:p w14:paraId="135CF770" w14:textId="77777777" w:rsidR="00493A7B" w:rsidRPr="007D2017" w:rsidRDefault="00493A7B" w:rsidP="004033CA">
            <w:pPr>
              <w:pStyle w:val="TableBodyText"/>
              <w:jc w:val="right"/>
            </w:pPr>
            <w:r w:rsidRPr="007D2017">
              <w:t>13</w:t>
            </w:r>
          </w:p>
        </w:tc>
        <w:tc>
          <w:tcPr>
            <w:tcW w:w="624" w:type="pct"/>
          </w:tcPr>
          <w:p w14:paraId="78A348B9" w14:textId="77777777" w:rsidR="00493A7B" w:rsidRPr="007D2017" w:rsidRDefault="00493A7B" w:rsidP="004033CA">
            <w:pPr>
              <w:pStyle w:val="TableBodyText"/>
              <w:jc w:val="right"/>
            </w:pPr>
            <w:r w:rsidRPr="007D2017">
              <w:t>9</w:t>
            </w:r>
          </w:p>
        </w:tc>
      </w:tr>
      <w:tr w:rsidR="00D46D79" w:rsidRPr="007D2017" w14:paraId="1D07ADCF" w14:textId="77777777" w:rsidTr="004033CA">
        <w:trPr>
          <w:trHeight w:val="20"/>
        </w:trPr>
        <w:tc>
          <w:tcPr>
            <w:tcW w:w="847" w:type="pct"/>
          </w:tcPr>
          <w:p w14:paraId="7F77595F" w14:textId="77777777" w:rsidR="00493A7B" w:rsidRPr="007D2017" w:rsidRDefault="00493A7B" w:rsidP="00493A7B">
            <w:pPr>
              <w:pStyle w:val="TableBodyText"/>
            </w:pPr>
            <w:r w:rsidRPr="007D2017">
              <w:t>25-34</w:t>
            </w:r>
          </w:p>
        </w:tc>
        <w:tc>
          <w:tcPr>
            <w:tcW w:w="624" w:type="pct"/>
          </w:tcPr>
          <w:p w14:paraId="20AC996F" w14:textId="77777777" w:rsidR="00493A7B" w:rsidRPr="007D2017" w:rsidRDefault="00493A7B" w:rsidP="004033CA">
            <w:pPr>
              <w:pStyle w:val="TableBodyText"/>
              <w:jc w:val="right"/>
            </w:pPr>
            <w:r w:rsidRPr="007D2017">
              <w:t>283</w:t>
            </w:r>
          </w:p>
        </w:tc>
        <w:tc>
          <w:tcPr>
            <w:tcW w:w="578" w:type="pct"/>
          </w:tcPr>
          <w:p w14:paraId="1886FDFC" w14:textId="77777777" w:rsidR="00493A7B" w:rsidRPr="007D2017" w:rsidRDefault="00493A7B" w:rsidP="004033CA">
            <w:pPr>
              <w:pStyle w:val="TableBodyText"/>
              <w:jc w:val="right"/>
            </w:pPr>
            <w:r w:rsidRPr="007D2017">
              <w:t>278</w:t>
            </w:r>
          </w:p>
        </w:tc>
        <w:tc>
          <w:tcPr>
            <w:tcW w:w="624" w:type="pct"/>
          </w:tcPr>
          <w:p w14:paraId="0DCA6B0A" w14:textId="77777777" w:rsidR="00493A7B" w:rsidRPr="007D2017" w:rsidRDefault="00493A7B" w:rsidP="004033CA">
            <w:pPr>
              <w:pStyle w:val="TableBodyText"/>
              <w:jc w:val="right"/>
            </w:pPr>
            <w:r w:rsidRPr="007D2017">
              <w:t>237</w:t>
            </w:r>
          </w:p>
        </w:tc>
        <w:tc>
          <w:tcPr>
            <w:tcW w:w="624" w:type="pct"/>
          </w:tcPr>
          <w:p w14:paraId="297924D8" w14:textId="77777777" w:rsidR="00493A7B" w:rsidRPr="007D2017" w:rsidRDefault="00493A7B" w:rsidP="004033CA">
            <w:pPr>
              <w:pStyle w:val="TableBodyText"/>
              <w:jc w:val="right"/>
            </w:pPr>
            <w:r w:rsidRPr="007D2017">
              <w:t>19</w:t>
            </w:r>
          </w:p>
        </w:tc>
        <w:tc>
          <w:tcPr>
            <w:tcW w:w="456" w:type="pct"/>
          </w:tcPr>
          <w:p w14:paraId="27872D84" w14:textId="77777777" w:rsidR="00493A7B" w:rsidRPr="007D2017" w:rsidRDefault="00493A7B" w:rsidP="004033CA">
            <w:pPr>
              <w:pStyle w:val="TableBodyText"/>
              <w:jc w:val="right"/>
            </w:pPr>
            <w:r w:rsidRPr="007D2017">
              <w:t>253</w:t>
            </w:r>
          </w:p>
        </w:tc>
        <w:tc>
          <w:tcPr>
            <w:tcW w:w="624" w:type="pct"/>
          </w:tcPr>
          <w:p w14:paraId="07E9D987" w14:textId="77777777" w:rsidR="00493A7B" w:rsidRPr="007D2017" w:rsidRDefault="00493A7B" w:rsidP="004033CA">
            <w:pPr>
              <w:pStyle w:val="TableBodyText"/>
              <w:jc w:val="right"/>
            </w:pPr>
            <w:r w:rsidRPr="007D2017">
              <w:t>27</w:t>
            </w:r>
          </w:p>
        </w:tc>
        <w:tc>
          <w:tcPr>
            <w:tcW w:w="624" w:type="pct"/>
          </w:tcPr>
          <w:p w14:paraId="314AC8D7" w14:textId="77777777" w:rsidR="00493A7B" w:rsidRPr="007D2017" w:rsidRDefault="00493A7B" w:rsidP="004033CA">
            <w:pPr>
              <w:pStyle w:val="TableBodyText"/>
              <w:jc w:val="right"/>
            </w:pPr>
            <w:r w:rsidRPr="007D2017">
              <w:t>25</w:t>
            </w:r>
          </w:p>
        </w:tc>
      </w:tr>
      <w:tr w:rsidR="00D46D79" w:rsidRPr="007D2017" w14:paraId="648984E2" w14:textId="77777777" w:rsidTr="004033CA">
        <w:trPr>
          <w:trHeight w:val="20"/>
        </w:trPr>
        <w:tc>
          <w:tcPr>
            <w:tcW w:w="847" w:type="pct"/>
          </w:tcPr>
          <w:p w14:paraId="4AA39F89" w14:textId="77777777" w:rsidR="00493A7B" w:rsidRPr="007D2017" w:rsidRDefault="00493A7B" w:rsidP="00493A7B">
            <w:pPr>
              <w:pStyle w:val="TableBodyText"/>
            </w:pPr>
            <w:r w:rsidRPr="007D2017">
              <w:t>35-44</w:t>
            </w:r>
          </w:p>
        </w:tc>
        <w:tc>
          <w:tcPr>
            <w:tcW w:w="624" w:type="pct"/>
          </w:tcPr>
          <w:p w14:paraId="022C3399" w14:textId="77777777" w:rsidR="00493A7B" w:rsidRPr="007D2017" w:rsidRDefault="00493A7B" w:rsidP="004033CA">
            <w:pPr>
              <w:pStyle w:val="TableBodyText"/>
              <w:jc w:val="right"/>
            </w:pPr>
            <w:r w:rsidRPr="007D2017">
              <w:t>444</w:t>
            </w:r>
          </w:p>
        </w:tc>
        <w:tc>
          <w:tcPr>
            <w:tcW w:w="578" w:type="pct"/>
          </w:tcPr>
          <w:p w14:paraId="74C42C7A" w14:textId="77777777" w:rsidR="00493A7B" w:rsidRPr="007D2017" w:rsidRDefault="00493A7B" w:rsidP="004033CA">
            <w:pPr>
              <w:pStyle w:val="TableBodyText"/>
              <w:jc w:val="right"/>
            </w:pPr>
            <w:r w:rsidRPr="007D2017">
              <w:t>413</w:t>
            </w:r>
          </w:p>
        </w:tc>
        <w:tc>
          <w:tcPr>
            <w:tcW w:w="624" w:type="pct"/>
          </w:tcPr>
          <w:p w14:paraId="24EB317F" w14:textId="77777777" w:rsidR="00493A7B" w:rsidRPr="007D2017" w:rsidRDefault="00493A7B" w:rsidP="004033CA">
            <w:pPr>
              <w:pStyle w:val="TableBodyText"/>
              <w:jc w:val="right"/>
            </w:pPr>
            <w:r w:rsidRPr="007D2017">
              <w:t>304</w:t>
            </w:r>
          </w:p>
        </w:tc>
        <w:tc>
          <w:tcPr>
            <w:tcW w:w="624" w:type="pct"/>
          </w:tcPr>
          <w:p w14:paraId="6DD69233" w14:textId="77777777" w:rsidR="00493A7B" w:rsidRPr="007D2017" w:rsidRDefault="00493A7B" w:rsidP="004033CA">
            <w:pPr>
              <w:pStyle w:val="TableBodyText"/>
              <w:jc w:val="right"/>
            </w:pPr>
            <w:r w:rsidRPr="007D2017">
              <w:t>105</w:t>
            </w:r>
          </w:p>
        </w:tc>
        <w:tc>
          <w:tcPr>
            <w:tcW w:w="456" w:type="pct"/>
          </w:tcPr>
          <w:p w14:paraId="5BB3B027" w14:textId="77777777" w:rsidR="00493A7B" w:rsidRPr="007D2017" w:rsidRDefault="00493A7B" w:rsidP="004033CA">
            <w:pPr>
              <w:pStyle w:val="TableBodyText"/>
              <w:jc w:val="right"/>
            </w:pPr>
            <w:r w:rsidRPr="007D2017">
              <w:t>384</w:t>
            </w:r>
          </w:p>
        </w:tc>
        <w:tc>
          <w:tcPr>
            <w:tcW w:w="624" w:type="pct"/>
          </w:tcPr>
          <w:p w14:paraId="1779AB4D" w14:textId="77777777" w:rsidR="00493A7B" w:rsidRPr="007D2017" w:rsidRDefault="00493A7B" w:rsidP="004033CA">
            <w:pPr>
              <w:pStyle w:val="TableBodyText"/>
              <w:jc w:val="right"/>
            </w:pPr>
            <w:r w:rsidRPr="007D2017">
              <w:t>35</w:t>
            </w:r>
          </w:p>
        </w:tc>
        <w:tc>
          <w:tcPr>
            <w:tcW w:w="624" w:type="pct"/>
          </w:tcPr>
          <w:p w14:paraId="31AD685D" w14:textId="77777777" w:rsidR="00493A7B" w:rsidRPr="007D2017" w:rsidRDefault="00493A7B" w:rsidP="004033CA">
            <w:pPr>
              <w:pStyle w:val="TableBodyText"/>
              <w:jc w:val="right"/>
            </w:pPr>
            <w:r w:rsidRPr="007D2017">
              <w:t>29</w:t>
            </w:r>
          </w:p>
        </w:tc>
      </w:tr>
      <w:tr w:rsidR="00D46D79" w:rsidRPr="007D2017" w14:paraId="2BF210E0" w14:textId="77777777" w:rsidTr="004033CA">
        <w:trPr>
          <w:trHeight w:val="20"/>
        </w:trPr>
        <w:tc>
          <w:tcPr>
            <w:tcW w:w="847" w:type="pct"/>
          </w:tcPr>
          <w:p w14:paraId="0ABBCEC9" w14:textId="77777777" w:rsidR="00493A7B" w:rsidRPr="007D2017" w:rsidRDefault="00493A7B" w:rsidP="00493A7B">
            <w:pPr>
              <w:pStyle w:val="TableBodyText"/>
            </w:pPr>
            <w:r w:rsidRPr="007D2017">
              <w:t>45-54</w:t>
            </w:r>
          </w:p>
        </w:tc>
        <w:tc>
          <w:tcPr>
            <w:tcW w:w="624" w:type="pct"/>
          </w:tcPr>
          <w:p w14:paraId="61F8B216" w14:textId="77777777" w:rsidR="00493A7B" w:rsidRPr="007D2017" w:rsidRDefault="00493A7B" w:rsidP="004033CA">
            <w:pPr>
              <w:pStyle w:val="TableBodyText"/>
              <w:jc w:val="right"/>
            </w:pPr>
            <w:r w:rsidRPr="007D2017">
              <w:t>288</w:t>
            </w:r>
          </w:p>
        </w:tc>
        <w:tc>
          <w:tcPr>
            <w:tcW w:w="578" w:type="pct"/>
          </w:tcPr>
          <w:p w14:paraId="1CD4D142" w14:textId="77777777" w:rsidR="00493A7B" w:rsidRPr="007D2017" w:rsidRDefault="00493A7B" w:rsidP="004033CA">
            <w:pPr>
              <w:pStyle w:val="TableBodyText"/>
              <w:jc w:val="right"/>
            </w:pPr>
            <w:r w:rsidRPr="007D2017">
              <w:t>277</w:t>
            </w:r>
          </w:p>
        </w:tc>
        <w:tc>
          <w:tcPr>
            <w:tcW w:w="624" w:type="pct"/>
          </w:tcPr>
          <w:p w14:paraId="2B6C8D98" w14:textId="77777777" w:rsidR="00493A7B" w:rsidRPr="007D2017" w:rsidRDefault="00493A7B" w:rsidP="004033CA">
            <w:pPr>
              <w:pStyle w:val="TableBodyText"/>
              <w:jc w:val="right"/>
            </w:pPr>
            <w:r w:rsidRPr="007D2017">
              <w:t>231</w:t>
            </w:r>
          </w:p>
        </w:tc>
        <w:tc>
          <w:tcPr>
            <w:tcW w:w="624" w:type="pct"/>
          </w:tcPr>
          <w:p w14:paraId="7E80D808" w14:textId="77777777" w:rsidR="00493A7B" w:rsidRPr="007D2017" w:rsidRDefault="00493A7B" w:rsidP="004033CA">
            <w:pPr>
              <w:pStyle w:val="TableBodyText"/>
              <w:jc w:val="right"/>
            </w:pPr>
            <w:r w:rsidRPr="007D2017">
              <w:t>45</w:t>
            </w:r>
          </w:p>
        </w:tc>
        <w:tc>
          <w:tcPr>
            <w:tcW w:w="456" w:type="pct"/>
          </w:tcPr>
          <w:p w14:paraId="2FECA69D" w14:textId="77777777" w:rsidR="00493A7B" w:rsidRPr="007D2017" w:rsidRDefault="00493A7B" w:rsidP="004033CA">
            <w:pPr>
              <w:pStyle w:val="TableBodyText"/>
              <w:jc w:val="right"/>
            </w:pPr>
            <w:r w:rsidRPr="007D2017">
              <w:t>267</w:t>
            </w:r>
          </w:p>
        </w:tc>
        <w:tc>
          <w:tcPr>
            <w:tcW w:w="624" w:type="pct"/>
          </w:tcPr>
          <w:p w14:paraId="24C0AAAE" w14:textId="77777777" w:rsidR="00493A7B" w:rsidRPr="007D2017" w:rsidRDefault="00493A7B" w:rsidP="004033CA">
            <w:pPr>
              <w:pStyle w:val="TableBodyText"/>
              <w:jc w:val="right"/>
            </w:pPr>
            <w:r w:rsidRPr="007D2017">
              <w:t>12</w:t>
            </w:r>
          </w:p>
        </w:tc>
        <w:tc>
          <w:tcPr>
            <w:tcW w:w="624" w:type="pct"/>
          </w:tcPr>
          <w:p w14:paraId="0E60A04B" w14:textId="77777777" w:rsidR="00493A7B" w:rsidRPr="007D2017" w:rsidRDefault="00493A7B" w:rsidP="004033CA">
            <w:pPr>
              <w:pStyle w:val="TableBodyText"/>
              <w:jc w:val="right"/>
            </w:pPr>
            <w:r w:rsidRPr="007D2017">
              <w:t>10</w:t>
            </w:r>
          </w:p>
        </w:tc>
      </w:tr>
      <w:tr w:rsidR="00D46D79" w:rsidRPr="007D2017" w14:paraId="126833A7" w14:textId="77777777" w:rsidTr="004033CA">
        <w:trPr>
          <w:trHeight w:val="20"/>
        </w:trPr>
        <w:tc>
          <w:tcPr>
            <w:tcW w:w="847" w:type="pct"/>
          </w:tcPr>
          <w:p w14:paraId="007E1AA0" w14:textId="77777777" w:rsidR="00493A7B" w:rsidRPr="007D2017" w:rsidRDefault="00493A7B" w:rsidP="00493A7B">
            <w:pPr>
              <w:pStyle w:val="TableBodyText"/>
            </w:pPr>
            <w:r w:rsidRPr="007D2017">
              <w:t>55-64</w:t>
            </w:r>
          </w:p>
        </w:tc>
        <w:tc>
          <w:tcPr>
            <w:tcW w:w="624" w:type="pct"/>
          </w:tcPr>
          <w:p w14:paraId="00D016EA" w14:textId="77777777" w:rsidR="00493A7B" w:rsidRPr="007D2017" w:rsidRDefault="00493A7B" w:rsidP="004033CA">
            <w:pPr>
              <w:pStyle w:val="TableBodyText"/>
              <w:jc w:val="right"/>
            </w:pPr>
            <w:r w:rsidRPr="007D2017">
              <w:t>146</w:t>
            </w:r>
          </w:p>
        </w:tc>
        <w:tc>
          <w:tcPr>
            <w:tcW w:w="578" w:type="pct"/>
          </w:tcPr>
          <w:p w14:paraId="4A0BB79F" w14:textId="77777777" w:rsidR="00493A7B" w:rsidRPr="007D2017" w:rsidRDefault="00493A7B" w:rsidP="004033CA">
            <w:pPr>
              <w:pStyle w:val="TableBodyText"/>
              <w:jc w:val="right"/>
            </w:pPr>
            <w:r w:rsidRPr="007D2017">
              <w:t>140</w:t>
            </w:r>
          </w:p>
        </w:tc>
        <w:tc>
          <w:tcPr>
            <w:tcW w:w="624" w:type="pct"/>
          </w:tcPr>
          <w:p w14:paraId="3E901EF8" w14:textId="77777777" w:rsidR="00493A7B" w:rsidRPr="007D2017" w:rsidRDefault="00493A7B" w:rsidP="004033CA">
            <w:pPr>
              <w:pStyle w:val="TableBodyText"/>
              <w:jc w:val="right"/>
            </w:pPr>
            <w:r w:rsidRPr="007D2017">
              <w:t>119</w:t>
            </w:r>
          </w:p>
        </w:tc>
        <w:tc>
          <w:tcPr>
            <w:tcW w:w="624" w:type="pct"/>
          </w:tcPr>
          <w:p w14:paraId="3A00F745" w14:textId="77777777" w:rsidR="00493A7B" w:rsidRPr="007D2017" w:rsidRDefault="00493A7B" w:rsidP="004033CA">
            <w:pPr>
              <w:pStyle w:val="TableBodyText"/>
              <w:jc w:val="right"/>
            </w:pPr>
            <w:r w:rsidRPr="007D2017">
              <w:t>16</w:t>
            </w:r>
          </w:p>
        </w:tc>
        <w:tc>
          <w:tcPr>
            <w:tcW w:w="456" w:type="pct"/>
          </w:tcPr>
          <w:p w14:paraId="521AF07A" w14:textId="77777777" w:rsidR="00493A7B" w:rsidRPr="007D2017" w:rsidRDefault="00493A7B" w:rsidP="004033CA">
            <w:pPr>
              <w:pStyle w:val="TableBodyText"/>
              <w:jc w:val="right"/>
            </w:pPr>
            <w:r w:rsidRPr="007D2017">
              <w:t>132</w:t>
            </w:r>
          </w:p>
        </w:tc>
        <w:tc>
          <w:tcPr>
            <w:tcW w:w="624" w:type="pct"/>
          </w:tcPr>
          <w:p w14:paraId="6E884D10" w14:textId="77777777" w:rsidR="00493A7B" w:rsidRPr="007D2017" w:rsidRDefault="00493A7B" w:rsidP="004033CA">
            <w:pPr>
              <w:pStyle w:val="TableBodyText"/>
              <w:jc w:val="right"/>
            </w:pPr>
            <w:r w:rsidRPr="007D2017">
              <w:t>11</w:t>
            </w:r>
          </w:p>
        </w:tc>
        <w:tc>
          <w:tcPr>
            <w:tcW w:w="624" w:type="pct"/>
          </w:tcPr>
          <w:p w14:paraId="7E01495B" w14:textId="77777777" w:rsidR="00493A7B" w:rsidRPr="007D2017" w:rsidRDefault="00493A7B" w:rsidP="004033CA">
            <w:pPr>
              <w:pStyle w:val="TableBodyText"/>
              <w:jc w:val="right"/>
            </w:pPr>
            <w:r w:rsidRPr="007D2017">
              <w:t>8</w:t>
            </w:r>
          </w:p>
        </w:tc>
      </w:tr>
      <w:tr w:rsidR="00D46D79" w:rsidRPr="007D2017" w14:paraId="375BFA24" w14:textId="77777777" w:rsidTr="004033CA">
        <w:trPr>
          <w:trHeight w:val="20"/>
        </w:trPr>
        <w:tc>
          <w:tcPr>
            <w:tcW w:w="847" w:type="pct"/>
          </w:tcPr>
          <w:p w14:paraId="4292506E" w14:textId="77777777" w:rsidR="00493A7B" w:rsidRPr="007D2017" w:rsidRDefault="00493A7B" w:rsidP="00493A7B">
            <w:pPr>
              <w:pStyle w:val="TableBodyText"/>
            </w:pPr>
            <w:r w:rsidRPr="007D2017">
              <w:t>Over 65</w:t>
            </w:r>
          </w:p>
        </w:tc>
        <w:tc>
          <w:tcPr>
            <w:tcW w:w="624" w:type="pct"/>
          </w:tcPr>
          <w:p w14:paraId="02245FBC" w14:textId="77777777" w:rsidR="00493A7B" w:rsidRPr="007D2017" w:rsidRDefault="00493A7B" w:rsidP="004033CA">
            <w:pPr>
              <w:pStyle w:val="TableBodyText"/>
              <w:jc w:val="right"/>
            </w:pPr>
            <w:r w:rsidRPr="007D2017">
              <w:t>26</w:t>
            </w:r>
          </w:p>
        </w:tc>
        <w:tc>
          <w:tcPr>
            <w:tcW w:w="578" w:type="pct"/>
          </w:tcPr>
          <w:p w14:paraId="4879659F" w14:textId="77777777" w:rsidR="00493A7B" w:rsidRPr="007D2017" w:rsidRDefault="00493A7B" w:rsidP="004033CA">
            <w:pPr>
              <w:pStyle w:val="TableBodyText"/>
              <w:jc w:val="right"/>
            </w:pPr>
            <w:r w:rsidRPr="007D2017">
              <w:t>24</w:t>
            </w:r>
          </w:p>
        </w:tc>
        <w:tc>
          <w:tcPr>
            <w:tcW w:w="624" w:type="pct"/>
          </w:tcPr>
          <w:p w14:paraId="743C52B0" w14:textId="77777777" w:rsidR="00493A7B" w:rsidRPr="007D2017" w:rsidRDefault="00493A7B" w:rsidP="004033CA">
            <w:pPr>
              <w:pStyle w:val="TableBodyText"/>
              <w:jc w:val="right"/>
            </w:pPr>
            <w:r w:rsidRPr="007D2017">
              <w:t>21</w:t>
            </w:r>
          </w:p>
        </w:tc>
        <w:tc>
          <w:tcPr>
            <w:tcW w:w="624" w:type="pct"/>
          </w:tcPr>
          <w:p w14:paraId="493D172F" w14:textId="77777777" w:rsidR="00493A7B" w:rsidRPr="007D2017" w:rsidRDefault="00493A7B" w:rsidP="004033CA">
            <w:pPr>
              <w:pStyle w:val="TableBodyText"/>
              <w:jc w:val="right"/>
            </w:pPr>
            <w:r w:rsidRPr="007D2017">
              <w:t>3</w:t>
            </w:r>
          </w:p>
        </w:tc>
        <w:tc>
          <w:tcPr>
            <w:tcW w:w="456" w:type="pct"/>
          </w:tcPr>
          <w:p w14:paraId="47AF399E" w14:textId="77777777" w:rsidR="00493A7B" w:rsidRPr="007D2017" w:rsidRDefault="00493A7B" w:rsidP="004033CA">
            <w:pPr>
              <w:pStyle w:val="TableBodyText"/>
              <w:jc w:val="right"/>
            </w:pPr>
            <w:r w:rsidRPr="007D2017">
              <w:t>23</w:t>
            </w:r>
          </w:p>
        </w:tc>
        <w:tc>
          <w:tcPr>
            <w:tcW w:w="624" w:type="pct"/>
          </w:tcPr>
          <w:p w14:paraId="2842508B" w14:textId="77777777" w:rsidR="00493A7B" w:rsidRPr="007D2017" w:rsidRDefault="00493A7B" w:rsidP="004033CA">
            <w:pPr>
              <w:pStyle w:val="TableBodyText"/>
              <w:jc w:val="right"/>
            </w:pPr>
            <w:r w:rsidRPr="007D2017">
              <w:t>2</w:t>
            </w:r>
          </w:p>
        </w:tc>
        <w:tc>
          <w:tcPr>
            <w:tcW w:w="624" w:type="pct"/>
          </w:tcPr>
          <w:p w14:paraId="1318BECA" w14:textId="77777777" w:rsidR="00493A7B" w:rsidRPr="007D2017" w:rsidRDefault="00493A7B" w:rsidP="004033CA">
            <w:pPr>
              <w:pStyle w:val="TableBodyText"/>
              <w:jc w:val="right"/>
            </w:pPr>
            <w:r w:rsidRPr="007D2017">
              <w:t>1</w:t>
            </w:r>
          </w:p>
        </w:tc>
      </w:tr>
      <w:tr w:rsidR="007E689B" w:rsidRPr="007D2017" w14:paraId="7345E813" w14:textId="77777777" w:rsidTr="004033CA">
        <w:trPr>
          <w:trHeight w:val="20"/>
        </w:trPr>
        <w:tc>
          <w:tcPr>
            <w:tcW w:w="847" w:type="pct"/>
          </w:tcPr>
          <w:p w14:paraId="5E97F7BD" w14:textId="598E5826" w:rsidR="007E689B" w:rsidRPr="00D46D79" w:rsidRDefault="007E689B" w:rsidP="007E689B">
            <w:pPr>
              <w:pStyle w:val="TableBodyText"/>
              <w:rPr>
                <w:rStyle w:val="Bold"/>
              </w:rPr>
            </w:pPr>
            <w:r w:rsidRPr="00D46D79">
              <w:rPr>
                <w:rStyle w:val="Bold"/>
              </w:rPr>
              <w:t>Classification Data – Classification</w:t>
            </w:r>
          </w:p>
        </w:tc>
        <w:tc>
          <w:tcPr>
            <w:tcW w:w="624" w:type="pct"/>
          </w:tcPr>
          <w:p w14:paraId="07080480" w14:textId="53E7BAE0" w:rsidR="007E689B" w:rsidRPr="007D2017" w:rsidRDefault="007E689B" w:rsidP="004033CA">
            <w:pPr>
              <w:pStyle w:val="TableBodyText"/>
              <w:jc w:val="right"/>
            </w:pPr>
            <w:r w:rsidRPr="007379BF">
              <w:t>N/A</w:t>
            </w:r>
          </w:p>
        </w:tc>
        <w:tc>
          <w:tcPr>
            <w:tcW w:w="578" w:type="pct"/>
          </w:tcPr>
          <w:p w14:paraId="59A1591F" w14:textId="7BF90B72" w:rsidR="007E689B" w:rsidRPr="007D2017" w:rsidRDefault="007E689B" w:rsidP="004033CA">
            <w:pPr>
              <w:pStyle w:val="TableBodyText"/>
              <w:jc w:val="right"/>
            </w:pPr>
            <w:r w:rsidRPr="007379BF">
              <w:t>N/A</w:t>
            </w:r>
          </w:p>
        </w:tc>
        <w:tc>
          <w:tcPr>
            <w:tcW w:w="624" w:type="pct"/>
          </w:tcPr>
          <w:p w14:paraId="1DE4E410" w14:textId="1C392015" w:rsidR="007E689B" w:rsidRPr="007D2017" w:rsidRDefault="007E689B" w:rsidP="004033CA">
            <w:pPr>
              <w:pStyle w:val="TableBodyText"/>
              <w:jc w:val="right"/>
            </w:pPr>
            <w:r w:rsidRPr="007379BF">
              <w:t>N/A</w:t>
            </w:r>
          </w:p>
        </w:tc>
        <w:tc>
          <w:tcPr>
            <w:tcW w:w="624" w:type="pct"/>
          </w:tcPr>
          <w:p w14:paraId="710DFF91" w14:textId="56908F48" w:rsidR="007E689B" w:rsidRPr="007D2017" w:rsidRDefault="007E689B" w:rsidP="004033CA">
            <w:pPr>
              <w:pStyle w:val="TableBodyText"/>
              <w:jc w:val="right"/>
            </w:pPr>
            <w:r w:rsidRPr="007379BF">
              <w:t>N/A</w:t>
            </w:r>
          </w:p>
        </w:tc>
        <w:tc>
          <w:tcPr>
            <w:tcW w:w="456" w:type="pct"/>
          </w:tcPr>
          <w:p w14:paraId="41126200" w14:textId="02D5AC34" w:rsidR="007E689B" w:rsidRPr="007D2017" w:rsidRDefault="007E689B" w:rsidP="004033CA">
            <w:pPr>
              <w:pStyle w:val="TableBodyText"/>
              <w:jc w:val="right"/>
            </w:pPr>
            <w:r w:rsidRPr="007379BF">
              <w:t>N/A</w:t>
            </w:r>
          </w:p>
        </w:tc>
        <w:tc>
          <w:tcPr>
            <w:tcW w:w="624" w:type="pct"/>
          </w:tcPr>
          <w:p w14:paraId="79466B72" w14:textId="5A3C01B5" w:rsidR="007E689B" w:rsidRPr="007D2017" w:rsidRDefault="007E689B" w:rsidP="004033CA">
            <w:pPr>
              <w:pStyle w:val="TableBodyText"/>
              <w:jc w:val="right"/>
            </w:pPr>
            <w:r w:rsidRPr="007379BF">
              <w:t>N/A</w:t>
            </w:r>
          </w:p>
        </w:tc>
        <w:tc>
          <w:tcPr>
            <w:tcW w:w="624" w:type="pct"/>
          </w:tcPr>
          <w:p w14:paraId="1D94DF44" w14:textId="4B1A6D26" w:rsidR="007E689B" w:rsidRPr="007D2017" w:rsidRDefault="007E689B" w:rsidP="004033CA">
            <w:pPr>
              <w:pStyle w:val="TableBodyText"/>
              <w:jc w:val="right"/>
            </w:pPr>
            <w:r w:rsidRPr="007379BF">
              <w:t>N/A</w:t>
            </w:r>
          </w:p>
        </w:tc>
      </w:tr>
      <w:tr w:rsidR="007E689B" w:rsidRPr="007D2017" w14:paraId="54FBD55E" w14:textId="77777777" w:rsidTr="004033CA">
        <w:trPr>
          <w:trHeight w:val="20"/>
        </w:trPr>
        <w:tc>
          <w:tcPr>
            <w:tcW w:w="847" w:type="pct"/>
          </w:tcPr>
          <w:p w14:paraId="5BE51FD4" w14:textId="77777777" w:rsidR="007E689B" w:rsidRPr="007D2017" w:rsidRDefault="007E689B" w:rsidP="007E689B">
            <w:pPr>
              <w:pStyle w:val="TableBodyText"/>
            </w:pPr>
            <w:r w:rsidRPr="007D2017">
              <w:t>Casual</w:t>
            </w:r>
          </w:p>
        </w:tc>
        <w:tc>
          <w:tcPr>
            <w:tcW w:w="624" w:type="pct"/>
          </w:tcPr>
          <w:p w14:paraId="0002FCD5" w14:textId="77777777" w:rsidR="007E689B" w:rsidRPr="007D2017" w:rsidRDefault="007E689B" w:rsidP="004033CA">
            <w:pPr>
              <w:pStyle w:val="TableBodyText"/>
              <w:jc w:val="right"/>
            </w:pPr>
            <w:r w:rsidRPr="007D2017">
              <w:t>21</w:t>
            </w:r>
          </w:p>
        </w:tc>
        <w:tc>
          <w:tcPr>
            <w:tcW w:w="578" w:type="pct"/>
          </w:tcPr>
          <w:p w14:paraId="0DAA31AD" w14:textId="77777777" w:rsidR="007E689B" w:rsidRPr="007D2017" w:rsidRDefault="007E689B" w:rsidP="004033CA">
            <w:pPr>
              <w:pStyle w:val="TableBodyText"/>
              <w:jc w:val="right"/>
            </w:pPr>
            <w:r w:rsidRPr="007D2017">
              <w:t>9</w:t>
            </w:r>
          </w:p>
        </w:tc>
        <w:tc>
          <w:tcPr>
            <w:tcW w:w="624" w:type="pct"/>
          </w:tcPr>
          <w:p w14:paraId="55407976" w14:textId="008ABCAC" w:rsidR="007E689B" w:rsidRPr="007D2017" w:rsidRDefault="007E689B" w:rsidP="004033CA">
            <w:pPr>
              <w:pStyle w:val="TableBodyText"/>
              <w:jc w:val="right"/>
            </w:pPr>
            <w:r w:rsidRPr="00BA055A">
              <w:t>N/A</w:t>
            </w:r>
          </w:p>
        </w:tc>
        <w:tc>
          <w:tcPr>
            <w:tcW w:w="624" w:type="pct"/>
          </w:tcPr>
          <w:p w14:paraId="258093B3" w14:textId="6574B660" w:rsidR="007E689B" w:rsidRPr="007D2017" w:rsidRDefault="007E689B" w:rsidP="004033CA">
            <w:pPr>
              <w:pStyle w:val="TableBodyText"/>
              <w:jc w:val="right"/>
            </w:pPr>
            <w:r w:rsidRPr="00BA055A">
              <w:t>N/A</w:t>
            </w:r>
          </w:p>
        </w:tc>
        <w:tc>
          <w:tcPr>
            <w:tcW w:w="456" w:type="pct"/>
          </w:tcPr>
          <w:p w14:paraId="50AF0481" w14:textId="49855AF1" w:rsidR="007E689B" w:rsidRPr="007D2017" w:rsidRDefault="007E689B" w:rsidP="004033CA">
            <w:pPr>
              <w:pStyle w:val="TableBodyText"/>
              <w:jc w:val="right"/>
            </w:pPr>
            <w:r w:rsidRPr="00BA055A">
              <w:t>N/A</w:t>
            </w:r>
          </w:p>
        </w:tc>
        <w:tc>
          <w:tcPr>
            <w:tcW w:w="624" w:type="pct"/>
          </w:tcPr>
          <w:p w14:paraId="654CB7D5" w14:textId="77777777" w:rsidR="007E689B" w:rsidRPr="007D2017" w:rsidRDefault="007E689B" w:rsidP="004033CA">
            <w:pPr>
              <w:pStyle w:val="TableBodyText"/>
              <w:jc w:val="right"/>
            </w:pPr>
            <w:r w:rsidRPr="007D2017">
              <w:t>21</w:t>
            </w:r>
          </w:p>
        </w:tc>
        <w:tc>
          <w:tcPr>
            <w:tcW w:w="624" w:type="pct"/>
          </w:tcPr>
          <w:p w14:paraId="4B354098" w14:textId="77777777" w:rsidR="007E689B" w:rsidRPr="007D2017" w:rsidRDefault="007E689B" w:rsidP="004033CA">
            <w:pPr>
              <w:pStyle w:val="TableBodyText"/>
              <w:jc w:val="right"/>
            </w:pPr>
            <w:r w:rsidRPr="007D2017">
              <w:t>9</w:t>
            </w:r>
          </w:p>
        </w:tc>
      </w:tr>
      <w:tr w:rsidR="00D46D79" w:rsidRPr="00D46D79" w14:paraId="35543E14" w14:textId="77777777" w:rsidTr="004033CA">
        <w:trPr>
          <w:trHeight w:val="20"/>
        </w:trPr>
        <w:tc>
          <w:tcPr>
            <w:tcW w:w="847" w:type="pct"/>
          </w:tcPr>
          <w:p w14:paraId="5C35624B" w14:textId="28997073" w:rsidR="00493A7B" w:rsidRPr="00D46D79" w:rsidRDefault="00493A7B" w:rsidP="00493A7B">
            <w:pPr>
              <w:pStyle w:val="TableBodyText"/>
              <w:rPr>
                <w:rStyle w:val="Bold"/>
              </w:rPr>
            </w:pPr>
            <w:r w:rsidRPr="00D46D79">
              <w:rPr>
                <w:rStyle w:val="Bold"/>
              </w:rPr>
              <w:t>Enterprise Agreement (EA) Total</w:t>
            </w:r>
          </w:p>
        </w:tc>
        <w:tc>
          <w:tcPr>
            <w:tcW w:w="624" w:type="pct"/>
          </w:tcPr>
          <w:p w14:paraId="0708CDB6" w14:textId="77777777" w:rsidR="00493A7B" w:rsidRPr="00D46D79" w:rsidRDefault="00493A7B" w:rsidP="004033CA">
            <w:pPr>
              <w:pStyle w:val="TableBodyText"/>
              <w:jc w:val="right"/>
              <w:rPr>
                <w:rStyle w:val="Bold"/>
              </w:rPr>
            </w:pPr>
            <w:r w:rsidRPr="00D46D79">
              <w:rPr>
                <w:rStyle w:val="Bold"/>
              </w:rPr>
              <w:t>756</w:t>
            </w:r>
          </w:p>
        </w:tc>
        <w:tc>
          <w:tcPr>
            <w:tcW w:w="578" w:type="pct"/>
          </w:tcPr>
          <w:p w14:paraId="77C87942" w14:textId="77777777" w:rsidR="00493A7B" w:rsidRPr="00D46D79" w:rsidRDefault="00493A7B" w:rsidP="004033CA">
            <w:pPr>
              <w:pStyle w:val="TableBodyText"/>
              <w:jc w:val="right"/>
              <w:rPr>
                <w:rStyle w:val="Bold"/>
              </w:rPr>
            </w:pPr>
            <w:r w:rsidRPr="00D46D79">
              <w:rPr>
                <w:rStyle w:val="Bold"/>
              </w:rPr>
              <w:t>724</w:t>
            </w:r>
          </w:p>
        </w:tc>
        <w:tc>
          <w:tcPr>
            <w:tcW w:w="624" w:type="pct"/>
          </w:tcPr>
          <w:p w14:paraId="60E0D761" w14:textId="77777777" w:rsidR="00493A7B" w:rsidRPr="00D46D79" w:rsidRDefault="00493A7B" w:rsidP="004033CA">
            <w:pPr>
              <w:pStyle w:val="TableBodyText"/>
              <w:jc w:val="right"/>
              <w:rPr>
                <w:rStyle w:val="Bold"/>
              </w:rPr>
            </w:pPr>
            <w:r w:rsidRPr="00D46D79">
              <w:rPr>
                <w:rStyle w:val="Bold"/>
              </w:rPr>
              <w:t>577</w:t>
            </w:r>
          </w:p>
        </w:tc>
        <w:tc>
          <w:tcPr>
            <w:tcW w:w="624" w:type="pct"/>
          </w:tcPr>
          <w:p w14:paraId="2CB38E90" w14:textId="77777777" w:rsidR="00493A7B" w:rsidRPr="00D46D79" w:rsidRDefault="00493A7B" w:rsidP="004033CA">
            <w:pPr>
              <w:pStyle w:val="TableBodyText"/>
              <w:jc w:val="right"/>
              <w:rPr>
                <w:rStyle w:val="Bold"/>
              </w:rPr>
            </w:pPr>
            <w:r w:rsidRPr="00D46D79">
              <w:rPr>
                <w:rStyle w:val="Bold"/>
              </w:rPr>
              <w:t>111</w:t>
            </w:r>
          </w:p>
        </w:tc>
        <w:tc>
          <w:tcPr>
            <w:tcW w:w="456" w:type="pct"/>
          </w:tcPr>
          <w:p w14:paraId="7F70FA7B" w14:textId="77777777" w:rsidR="00493A7B" w:rsidRPr="00D46D79" w:rsidRDefault="00493A7B" w:rsidP="004033CA">
            <w:pPr>
              <w:pStyle w:val="TableBodyText"/>
              <w:jc w:val="right"/>
              <w:rPr>
                <w:rStyle w:val="Bold"/>
              </w:rPr>
            </w:pPr>
            <w:r w:rsidRPr="00D46D79">
              <w:rPr>
                <w:rStyle w:val="Bold"/>
              </w:rPr>
              <w:t>661</w:t>
            </w:r>
          </w:p>
        </w:tc>
        <w:tc>
          <w:tcPr>
            <w:tcW w:w="624" w:type="pct"/>
          </w:tcPr>
          <w:p w14:paraId="2C464E86" w14:textId="77777777" w:rsidR="00493A7B" w:rsidRPr="00D46D79" w:rsidRDefault="00493A7B" w:rsidP="004033CA">
            <w:pPr>
              <w:pStyle w:val="TableBodyText"/>
              <w:jc w:val="right"/>
              <w:rPr>
                <w:rStyle w:val="Bold"/>
              </w:rPr>
            </w:pPr>
            <w:r w:rsidRPr="00D46D79">
              <w:rPr>
                <w:rStyle w:val="Bold"/>
              </w:rPr>
              <w:t>68</w:t>
            </w:r>
          </w:p>
        </w:tc>
        <w:tc>
          <w:tcPr>
            <w:tcW w:w="624" w:type="pct"/>
          </w:tcPr>
          <w:p w14:paraId="203F3EAD" w14:textId="77777777" w:rsidR="00493A7B" w:rsidRPr="00D46D79" w:rsidRDefault="00493A7B" w:rsidP="004033CA">
            <w:pPr>
              <w:pStyle w:val="TableBodyText"/>
              <w:jc w:val="right"/>
              <w:rPr>
                <w:rStyle w:val="Bold"/>
              </w:rPr>
            </w:pPr>
            <w:r w:rsidRPr="00D46D79">
              <w:rPr>
                <w:rStyle w:val="Bold"/>
              </w:rPr>
              <w:t>62</w:t>
            </w:r>
          </w:p>
        </w:tc>
      </w:tr>
      <w:tr w:rsidR="00D46D79" w:rsidRPr="007D2017" w14:paraId="6E69566B" w14:textId="77777777" w:rsidTr="004033CA">
        <w:trPr>
          <w:trHeight w:val="20"/>
        </w:trPr>
        <w:tc>
          <w:tcPr>
            <w:tcW w:w="847" w:type="pct"/>
          </w:tcPr>
          <w:p w14:paraId="7BDE46D3" w14:textId="77777777" w:rsidR="00493A7B" w:rsidRPr="007D2017" w:rsidRDefault="00493A7B" w:rsidP="00493A7B">
            <w:pPr>
              <w:pStyle w:val="TableBodyText"/>
            </w:pPr>
            <w:r w:rsidRPr="007D2017">
              <w:lastRenderedPageBreak/>
              <w:t>EA Level 1</w:t>
            </w:r>
          </w:p>
        </w:tc>
        <w:tc>
          <w:tcPr>
            <w:tcW w:w="624" w:type="pct"/>
          </w:tcPr>
          <w:p w14:paraId="19500A62" w14:textId="77777777" w:rsidR="00493A7B" w:rsidRPr="007D2017" w:rsidRDefault="00493A7B" w:rsidP="004033CA">
            <w:pPr>
              <w:pStyle w:val="TableBodyText"/>
              <w:jc w:val="right"/>
            </w:pPr>
            <w:r w:rsidRPr="007D2017">
              <w:t>7</w:t>
            </w:r>
          </w:p>
        </w:tc>
        <w:tc>
          <w:tcPr>
            <w:tcW w:w="578" w:type="pct"/>
          </w:tcPr>
          <w:p w14:paraId="2EAB23A6" w14:textId="77777777" w:rsidR="00493A7B" w:rsidRPr="007D2017" w:rsidRDefault="00493A7B" w:rsidP="004033CA">
            <w:pPr>
              <w:pStyle w:val="TableBodyText"/>
              <w:jc w:val="right"/>
            </w:pPr>
            <w:r w:rsidRPr="007D2017">
              <w:t>7</w:t>
            </w:r>
          </w:p>
        </w:tc>
        <w:tc>
          <w:tcPr>
            <w:tcW w:w="624" w:type="pct"/>
          </w:tcPr>
          <w:p w14:paraId="76836D2B" w14:textId="77777777" w:rsidR="00493A7B" w:rsidRPr="007D2017" w:rsidRDefault="00493A7B" w:rsidP="004033CA">
            <w:pPr>
              <w:pStyle w:val="TableBodyText"/>
              <w:jc w:val="right"/>
            </w:pPr>
            <w:r w:rsidRPr="007D2017">
              <w:t>3</w:t>
            </w:r>
          </w:p>
        </w:tc>
        <w:tc>
          <w:tcPr>
            <w:tcW w:w="624" w:type="pct"/>
          </w:tcPr>
          <w:p w14:paraId="2B0010F8" w14:textId="77777777" w:rsidR="00493A7B" w:rsidRPr="007D2017" w:rsidRDefault="00493A7B" w:rsidP="004033CA">
            <w:pPr>
              <w:pStyle w:val="TableBodyText"/>
              <w:jc w:val="right"/>
            </w:pPr>
            <w:r w:rsidRPr="007D2017">
              <w:t>0</w:t>
            </w:r>
          </w:p>
        </w:tc>
        <w:tc>
          <w:tcPr>
            <w:tcW w:w="456" w:type="pct"/>
          </w:tcPr>
          <w:p w14:paraId="3C97C7CC" w14:textId="77777777" w:rsidR="00493A7B" w:rsidRPr="007D2017" w:rsidRDefault="00493A7B" w:rsidP="004033CA">
            <w:pPr>
              <w:pStyle w:val="TableBodyText"/>
              <w:jc w:val="right"/>
            </w:pPr>
            <w:r w:rsidRPr="007D2017">
              <w:t>3</w:t>
            </w:r>
          </w:p>
        </w:tc>
        <w:tc>
          <w:tcPr>
            <w:tcW w:w="624" w:type="pct"/>
          </w:tcPr>
          <w:p w14:paraId="25D89E73" w14:textId="77777777" w:rsidR="00493A7B" w:rsidRPr="007D2017" w:rsidRDefault="00493A7B" w:rsidP="004033CA">
            <w:pPr>
              <w:pStyle w:val="TableBodyText"/>
              <w:jc w:val="right"/>
            </w:pPr>
            <w:r w:rsidRPr="007D2017">
              <w:t>4</w:t>
            </w:r>
          </w:p>
        </w:tc>
        <w:tc>
          <w:tcPr>
            <w:tcW w:w="624" w:type="pct"/>
          </w:tcPr>
          <w:p w14:paraId="0243643E" w14:textId="77777777" w:rsidR="00493A7B" w:rsidRPr="007D2017" w:rsidRDefault="00493A7B" w:rsidP="004033CA">
            <w:pPr>
              <w:pStyle w:val="TableBodyText"/>
              <w:jc w:val="right"/>
            </w:pPr>
            <w:r w:rsidRPr="007D2017">
              <w:t>4</w:t>
            </w:r>
          </w:p>
        </w:tc>
      </w:tr>
      <w:tr w:rsidR="00D46D79" w:rsidRPr="007D2017" w14:paraId="6DB59DDB" w14:textId="77777777" w:rsidTr="004033CA">
        <w:trPr>
          <w:trHeight w:val="20"/>
        </w:trPr>
        <w:tc>
          <w:tcPr>
            <w:tcW w:w="847" w:type="pct"/>
          </w:tcPr>
          <w:p w14:paraId="5A25340B" w14:textId="77777777" w:rsidR="00493A7B" w:rsidRPr="007D2017" w:rsidRDefault="00493A7B" w:rsidP="00493A7B">
            <w:pPr>
              <w:pStyle w:val="TableBodyText"/>
            </w:pPr>
            <w:r w:rsidRPr="007D2017">
              <w:t>EA Level 2</w:t>
            </w:r>
          </w:p>
        </w:tc>
        <w:tc>
          <w:tcPr>
            <w:tcW w:w="624" w:type="pct"/>
          </w:tcPr>
          <w:p w14:paraId="604A6D6D" w14:textId="77777777" w:rsidR="00493A7B" w:rsidRPr="007D2017" w:rsidRDefault="00493A7B" w:rsidP="004033CA">
            <w:pPr>
              <w:pStyle w:val="TableBodyText"/>
              <w:jc w:val="right"/>
            </w:pPr>
            <w:r w:rsidRPr="007D2017">
              <w:t>72</w:t>
            </w:r>
          </w:p>
        </w:tc>
        <w:tc>
          <w:tcPr>
            <w:tcW w:w="578" w:type="pct"/>
          </w:tcPr>
          <w:p w14:paraId="2254C9DD" w14:textId="77777777" w:rsidR="00493A7B" w:rsidRPr="007D2017" w:rsidRDefault="00493A7B" w:rsidP="004033CA">
            <w:pPr>
              <w:pStyle w:val="TableBodyText"/>
              <w:jc w:val="right"/>
            </w:pPr>
            <w:r w:rsidRPr="007D2017">
              <w:t>70</w:t>
            </w:r>
          </w:p>
        </w:tc>
        <w:tc>
          <w:tcPr>
            <w:tcW w:w="624" w:type="pct"/>
          </w:tcPr>
          <w:p w14:paraId="29D0DFE7" w14:textId="77777777" w:rsidR="00493A7B" w:rsidRPr="007D2017" w:rsidRDefault="00493A7B" w:rsidP="004033CA">
            <w:pPr>
              <w:pStyle w:val="TableBodyText"/>
              <w:jc w:val="right"/>
            </w:pPr>
            <w:r w:rsidRPr="007D2017">
              <w:t>61</w:t>
            </w:r>
          </w:p>
        </w:tc>
        <w:tc>
          <w:tcPr>
            <w:tcW w:w="624" w:type="pct"/>
          </w:tcPr>
          <w:p w14:paraId="4D2A78BC" w14:textId="77777777" w:rsidR="00493A7B" w:rsidRPr="007D2017" w:rsidRDefault="00493A7B" w:rsidP="004033CA">
            <w:pPr>
              <w:pStyle w:val="TableBodyText"/>
              <w:jc w:val="right"/>
            </w:pPr>
            <w:r w:rsidRPr="007D2017">
              <w:t>4</w:t>
            </w:r>
          </w:p>
        </w:tc>
        <w:tc>
          <w:tcPr>
            <w:tcW w:w="456" w:type="pct"/>
          </w:tcPr>
          <w:p w14:paraId="716699A3" w14:textId="77777777" w:rsidR="00493A7B" w:rsidRPr="007D2017" w:rsidRDefault="00493A7B" w:rsidP="004033CA">
            <w:pPr>
              <w:pStyle w:val="TableBodyText"/>
              <w:jc w:val="right"/>
            </w:pPr>
            <w:r w:rsidRPr="007D2017">
              <w:t>64</w:t>
            </w:r>
          </w:p>
        </w:tc>
        <w:tc>
          <w:tcPr>
            <w:tcW w:w="624" w:type="pct"/>
          </w:tcPr>
          <w:p w14:paraId="0820FE26" w14:textId="77777777" w:rsidR="00493A7B" w:rsidRPr="007D2017" w:rsidRDefault="00493A7B" w:rsidP="004033CA">
            <w:pPr>
              <w:pStyle w:val="TableBodyText"/>
              <w:jc w:val="right"/>
            </w:pPr>
            <w:r w:rsidRPr="007D2017">
              <w:t>7</w:t>
            </w:r>
          </w:p>
        </w:tc>
        <w:tc>
          <w:tcPr>
            <w:tcW w:w="624" w:type="pct"/>
          </w:tcPr>
          <w:p w14:paraId="74C2BC10" w14:textId="77777777" w:rsidR="00493A7B" w:rsidRPr="007D2017" w:rsidRDefault="00493A7B" w:rsidP="004033CA">
            <w:pPr>
              <w:pStyle w:val="TableBodyText"/>
              <w:jc w:val="right"/>
            </w:pPr>
            <w:r w:rsidRPr="007D2017">
              <w:t>6</w:t>
            </w:r>
          </w:p>
        </w:tc>
      </w:tr>
      <w:tr w:rsidR="00D46D79" w:rsidRPr="007D2017" w14:paraId="7AE94DB1" w14:textId="77777777" w:rsidTr="004033CA">
        <w:trPr>
          <w:trHeight w:val="20"/>
        </w:trPr>
        <w:tc>
          <w:tcPr>
            <w:tcW w:w="847" w:type="pct"/>
          </w:tcPr>
          <w:p w14:paraId="6B75D810" w14:textId="77777777" w:rsidR="00493A7B" w:rsidRPr="007D2017" w:rsidRDefault="00493A7B" w:rsidP="00493A7B">
            <w:pPr>
              <w:pStyle w:val="TableBodyText"/>
            </w:pPr>
            <w:r w:rsidRPr="007D2017">
              <w:t>EA Level 3</w:t>
            </w:r>
          </w:p>
        </w:tc>
        <w:tc>
          <w:tcPr>
            <w:tcW w:w="624" w:type="pct"/>
          </w:tcPr>
          <w:p w14:paraId="22EEC13F" w14:textId="77777777" w:rsidR="00493A7B" w:rsidRPr="007D2017" w:rsidRDefault="00493A7B" w:rsidP="004033CA">
            <w:pPr>
              <w:pStyle w:val="TableBodyText"/>
              <w:jc w:val="right"/>
            </w:pPr>
            <w:r w:rsidRPr="007D2017">
              <w:t>86</w:t>
            </w:r>
          </w:p>
        </w:tc>
        <w:tc>
          <w:tcPr>
            <w:tcW w:w="578" w:type="pct"/>
          </w:tcPr>
          <w:p w14:paraId="3C7842DD" w14:textId="77777777" w:rsidR="00493A7B" w:rsidRPr="007D2017" w:rsidRDefault="00493A7B" w:rsidP="004033CA">
            <w:pPr>
              <w:pStyle w:val="TableBodyText"/>
              <w:jc w:val="right"/>
            </w:pPr>
            <w:r w:rsidRPr="007D2017">
              <w:t>85</w:t>
            </w:r>
          </w:p>
        </w:tc>
        <w:tc>
          <w:tcPr>
            <w:tcW w:w="624" w:type="pct"/>
          </w:tcPr>
          <w:p w14:paraId="6CA9DBDE" w14:textId="77777777" w:rsidR="00493A7B" w:rsidRPr="007D2017" w:rsidRDefault="00493A7B" w:rsidP="004033CA">
            <w:pPr>
              <w:pStyle w:val="TableBodyText"/>
              <w:jc w:val="right"/>
            </w:pPr>
            <w:r w:rsidRPr="007D2017">
              <w:t>83</w:t>
            </w:r>
          </w:p>
        </w:tc>
        <w:tc>
          <w:tcPr>
            <w:tcW w:w="624" w:type="pct"/>
          </w:tcPr>
          <w:p w14:paraId="4B64CDB5" w14:textId="77777777" w:rsidR="00493A7B" w:rsidRPr="007D2017" w:rsidRDefault="00493A7B" w:rsidP="004033CA">
            <w:pPr>
              <w:pStyle w:val="TableBodyText"/>
              <w:jc w:val="right"/>
            </w:pPr>
            <w:r w:rsidRPr="007D2017">
              <w:t>0</w:t>
            </w:r>
          </w:p>
        </w:tc>
        <w:tc>
          <w:tcPr>
            <w:tcW w:w="456" w:type="pct"/>
          </w:tcPr>
          <w:p w14:paraId="75346E8B" w14:textId="77777777" w:rsidR="00493A7B" w:rsidRPr="007D2017" w:rsidRDefault="00493A7B" w:rsidP="004033CA">
            <w:pPr>
              <w:pStyle w:val="TableBodyText"/>
              <w:jc w:val="right"/>
            </w:pPr>
            <w:r w:rsidRPr="007D2017">
              <w:t>83</w:t>
            </w:r>
          </w:p>
        </w:tc>
        <w:tc>
          <w:tcPr>
            <w:tcW w:w="624" w:type="pct"/>
          </w:tcPr>
          <w:p w14:paraId="7781C9DF" w14:textId="77777777" w:rsidR="00493A7B" w:rsidRPr="007D2017" w:rsidRDefault="00493A7B" w:rsidP="004033CA">
            <w:pPr>
              <w:pStyle w:val="TableBodyText"/>
              <w:jc w:val="right"/>
            </w:pPr>
            <w:r w:rsidRPr="007D2017">
              <w:t>3</w:t>
            </w:r>
          </w:p>
        </w:tc>
        <w:tc>
          <w:tcPr>
            <w:tcW w:w="624" w:type="pct"/>
          </w:tcPr>
          <w:p w14:paraId="492A681F" w14:textId="77777777" w:rsidR="00493A7B" w:rsidRPr="007D2017" w:rsidRDefault="00493A7B" w:rsidP="004033CA">
            <w:pPr>
              <w:pStyle w:val="TableBodyText"/>
              <w:jc w:val="right"/>
            </w:pPr>
            <w:r w:rsidRPr="007D2017">
              <w:t>2</w:t>
            </w:r>
          </w:p>
        </w:tc>
      </w:tr>
      <w:tr w:rsidR="00D46D79" w:rsidRPr="007D2017" w14:paraId="5029F792" w14:textId="77777777" w:rsidTr="004033CA">
        <w:trPr>
          <w:trHeight w:val="20"/>
        </w:trPr>
        <w:tc>
          <w:tcPr>
            <w:tcW w:w="847" w:type="pct"/>
          </w:tcPr>
          <w:p w14:paraId="635676BC" w14:textId="77777777" w:rsidR="00493A7B" w:rsidRPr="007D2017" w:rsidRDefault="00493A7B" w:rsidP="00493A7B">
            <w:pPr>
              <w:pStyle w:val="TableBodyText"/>
            </w:pPr>
            <w:r w:rsidRPr="007D2017">
              <w:t>EA Level 4</w:t>
            </w:r>
          </w:p>
        </w:tc>
        <w:tc>
          <w:tcPr>
            <w:tcW w:w="624" w:type="pct"/>
          </w:tcPr>
          <w:p w14:paraId="0715F8D2" w14:textId="77777777" w:rsidR="00493A7B" w:rsidRPr="007D2017" w:rsidRDefault="00493A7B" w:rsidP="004033CA">
            <w:pPr>
              <w:pStyle w:val="TableBodyText"/>
              <w:jc w:val="right"/>
            </w:pPr>
            <w:r w:rsidRPr="007D2017">
              <w:t>50</w:t>
            </w:r>
          </w:p>
        </w:tc>
        <w:tc>
          <w:tcPr>
            <w:tcW w:w="578" w:type="pct"/>
          </w:tcPr>
          <w:p w14:paraId="70F740B1" w14:textId="77777777" w:rsidR="00493A7B" w:rsidRPr="007D2017" w:rsidRDefault="00493A7B" w:rsidP="004033CA">
            <w:pPr>
              <w:pStyle w:val="TableBodyText"/>
              <w:jc w:val="right"/>
            </w:pPr>
            <w:r w:rsidRPr="007D2017">
              <w:t>45</w:t>
            </w:r>
          </w:p>
        </w:tc>
        <w:tc>
          <w:tcPr>
            <w:tcW w:w="624" w:type="pct"/>
          </w:tcPr>
          <w:p w14:paraId="5879AD2D" w14:textId="77777777" w:rsidR="00493A7B" w:rsidRPr="007D2017" w:rsidRDefault="00493A7B" w:rsidP="004033CA">
            <w:pPr>
              <w:pStyle w:val="TableBodyText"/>
              <w:jc w:val="right"/>
            </w:pPr>
            <w:r w:rsidRPr="007D2017">
              <w:t>35</w:t>
            </w:r>
          </w:p>
        </w:tc>
        <w:tc>
          <w:tcPr>
            <w:tcW w:w="624" w:type="pct"/>
          </w:tcPr>
          <w:p w14:paraId="4EF58052" w14:textId="77777777" w:rsidR="00493A7B" w:rsidRPr="007D2017" w:rsidRDefault="00493A7B" w:rsidP="004033CA">
            <w:pPr>
              <w:pStyle w:val="TableBodyText"/>
              <w:jc w:val="right"/>
            </w:pPr>
            <w:r w:rsidRPr="007D2017">
              <w:t>9</w:t>
            </w:r>
          </w:p>
        </w:tc>
        <w:tc>
          <w:tcPr>
            <w:tcW w:w="456" w:type="pct"/>
          </w:tcPr>
          <w:p w14:paraId="3B48B5FC" w14:textId="77777777" w:rsidR="00493A7B" w:rsidRPr="007D2017" w:rsidRDefault="00493A7B" w:rsidP="004033CA">
            <w:pPr>
              <w:pStyle w:val="TableBodyText"/>
              <w:jc w:val="right"/>
            </w:pPr>
            <w:r w:rsidRPr="007D2017">
              <w:t>41</w:t>
            </w:r>
          </w:p>
        </w:tc>
        <w:tc>
          <w:tcPr>
            <w:tcW w:w="624" w:type="pct"/>
          </w:tcPr>
          <w:p w14:paraId="6F7A6979" w14:textId="77777777" w:rsidR="00493A7B" w:rsidRPr="007D2017" w:rsidRDefault="00493A7B" w:rsidP="004033CA">
            <w:pPr>
              <w:pStyle w:val="TableBodyText"/>
              <w:jc w:val="right"/>
            </w:pPr>
            <w:r w:rsidRPr="007D2017">
              <w:t>6</w:t>
            </w:r>
          </w:p>
        </w:tc>
        <w:tc>
          <w:tcPr>
            <w:tcW w:w="624" w:type="pct"/>
          </w:tcPr>
          <w:p w14:paraId="462D3A7F" w14:textId="77777777" w:rsidR="00493A7B" w:rsidRPr="007D2017" w:rsidRDefault="00493A7B" w:rsidP="004033CA">
            <w:pPr>
              <w:pStyle w:val="TableBodyText"/>
              <w:jc w:val="right"/>
            </w:pPr>
            <w:r w:rsidRPr="007D2017">
              <w:t>5</w:t>
            </w:r>
          </w:p>
        </w:tc>
      </w:tr>
      <w:tr w:rsidR="00D46D79" w:rsidRPr="007D2017" w14:paraId="10FFFCBA" w14:textId="77777777" w:rsidTr="004033CA">
        <w:trPr>
          <w:trHeight w:val="20"/>
        </w:trPr>
        <w:tc>
          <w:tcPr>
            <w:tcW w:w="847" w:type="pct"/>
          </w:tcPr>
          <w:p w14:paraId="750B8948" w14:textId="77777777" w:rsidR="00493A7B" w:rsidRPr="007D2017" w:rsidRDefault="00493A7B" w:rsidP="00493A7B">
            <w:pPr>
              <w:pStyle w:val="TableBodyText"/>
            </w:pPr>
            <w:r w:rsidRPr="007D2017">
              <w:t>EA Level 5</w:t>
            </w:r>
          </w:p>
        </w:tc>
        <w:tc>
          <w:tcPr>
            <w:tcW w:w="624" w:type="pct"/>
          </w:tcPr>
          <w:p w14:paraId="569E88EA" w14:textId="77777777" w:rsidR="00493A7B" w:rsidRPr="007D2017" w:rsidRDefault="00493A7B" w:rsidP="004033CA">
            <w:pPr>
              <w:pStyle w:val="TableBodyText"/>
              <w:jc w:val="right"/>
            </w:pPr>
            <w:r w:rsidRPr="007D2017">
              <w:t>102</w:t>
            </w:r>
          </w:p>
        </w:tc>
        <w:tc>
          <w:tcPr>
            <w:tcW w:w="578" w:type="pct"/>
          </w:tcPr>
          <w:p w14:paraId="1AF7594B" w14:textId="77777777" w:rsidR="00493A7B" w:rsidRPr="007D2017" w:rsidRDefault="00493A7B" w:rsidP="004033CA">
            <w:pPr>
              <w:pStyle w:val="TableBodyText"/>
              <w:jc w:val="right"/>
            </w:pPr>
            <w:r w:rsidRPr="007D2017">
              <w:t>98</w:t>
            </w:r>
          </w:p>
        </w:tc>
        <w:tc>
          <w:tcPr>
            <w:tcW w:w="624" w:type="pct"/>
          </w:tcPr>
          <w:p w14:paraId="1E295562" w14:textId="77777777" w:rsidR="00493A7B" w:rsidRPr="007D2017" w:rsidRDefault="00493A7B" w:rsidP="004033CA">
            <w:pPr>
              <w:pStyle w:val="TableBodyText"/>
              <w:jc w:val="right"/>
            </w:pPr>
            <w:r w:rsidRPr="007D2017">
              <w:t>77</w:t>
            </w:r>
          </w:p>
        </w:tc>
        <w:tc>
          <w:tcPr>
            <w:tcW w:w="624" w:type="pct"/>
          </w:tcPr>
          <w:p w14:paraId="32BD60DA" w14:textId="77777777" w:rsidR="00493A7B" w:rsidRPr="007D2017" w:rsidRDefault="00493A7B" w:rsidP="004033CA">
            <w:pPr>
              <w:pStyle w:val="TableBodyText"/>
              <w:jc w:val="right"/>
            </w:pPr>
            <w:r w:rsidRPr="007D2017">
              <w:t>11</w:t>
            </w:r>
          </w:p>
        </w:tc>
        <w:tc>
          <w:tcPr>
            <w:tcW w:w="456" w:type="pct"/>
          </w:tcPr>
          <w:p w14:paraId="26395347" w14:textId="77777777" w:rsidR="00493A7B" w:rsidRPr="007D2017" w:rsidRDefault="00493A7B" w:rsidP="004033CA">
            <w:pPr>
              <w:pStyle w:val="TableBodyText"/>
              <w:jc w:val="right"/>
            </w:pPr>
            <w:r w:rsidRPr="007D2017">
              <w:t>86</w:t>
            </w:r>
          </w:p>
        </w:tc>
        <w:tc>
          <w:tcPr>
            <w:tcW w:w="624" w:type="pct"/>
          </w:tcPr>
          <w:p w14:paraId="003C9A99" w14:textId="77777777" w:rsidR="00493A7B" w:rsidRPr="007D2017" w:rsidRDefault="00493A7B" w:rsidP="004033CA">
            <w:pPr>
              <w:pStyle w:val="TableBodyText"/>
              <w:jc w:val="right"/>
            </w:pPr>
            <w:r w:rsidRPr="007D2017">
              <w:t>14</w:t>
            </w:r>
          </w:p>
        </w:tc>
        <w:tc>
          <w:tcPr>
            <w:tcW w:w="624" w:type="pct"/>
          </w:tcPr>
          <w:p w14:paraId="30037DDB" w14:textId="77777777" w:rsidR="00493A7B" w:rsidRPr="007D2017" w:rsidRDefault="00493A7B" w:rsidP="004033CA">
            <w:pPr>
              <w:pStyle w:val="TableBodyText"/>
              <w:jc w:val="right"/>
            </w:pPr>
            <w:r w:rsidRPr="007D2017">
              <w:t>13</w:t>
            </w:r>
          </w:p>
        </w:tc>
      </w:tr>
      <w:tr w:rsidR="00D46D79" w:rsidRPr="007D2017" w14:paraId="7323A4CD" w14:textId="77777777" w:rsidTr="004033CA">
        <w:trPr>
          <w:trHeight w:val="20"/>
        </w:trPr>
        <w:tc>
          <w:tcPr>
            <w:tcW w:w="847" w:type="pct"/>
          </w:tcPr>
          <w:p w14:paraId="478F15FB" w14:textId="77777777" w:rsidR="00493A7B" w:rsidRPr="007D2017" w:rsidRDefault="00493A7B" w:rsidP="00493A7B">
            <w:pPr>
              <w:pStyle w:val="TableBodyText"/>
            </w:pPr>
            <w:r w:rsidRPr="007D2017">
              <w:t>EA Level 6</w:t>
            </w:r>
          </w:p>
        </w:tc>
        <w:tc>
          <w:tcPr>
            <w:tcW w:w="624" w:type="pct"/>
          </w:tcPr>
          <w:p w14:paraId="574B10AE" w14:textId="77777777" w:rsidR="00493A7B" w:rsidRPr="007D2017" w:rsidRDefault="00493A7B" w:rsidP="004033CA">
            <w:pPr>
              <w:pStyle w:val="TableBodyText"/>
              <w:jc w:val="right"/>
            </w:pPr>
            <w:r w:rsidRPr="007D2017">
              <w:t>139</w:t>
            </w:r>
          </w:p>
        </w:tc>
        <w:tc>
          <w:tcPr>
            <w:tcW w:w="578" w:type="pct"/>
          </w:tcPr>
          <w:p w14:paraId="75CBBC86" w14:textId="77777777" w:rsidR="00493A7B" w:rsidRPr="007D2017" w:rsidRDefault="00493A7B" w:rsidP="004033CA">
            <w:pPr>
              <w:pStyle w:val="TableBodyText"/>
              <w:jc w:val="right"/>
            </w:pPr>
            <w:r w:rsidRPr="007D2017">
              <w:t>135</w:t>
            </w:r>
          </w:p>
        </w:tc>
        <w:tc>
          <w:tcPr>
            <w:tcW w:w="624" w:type="pct"/>
          </w:tcPr>
          <w:p w14:paraId="240C4E4D" w14:textId="77777777" w:rsidR="00493A7B" w:rsidRPr="007D2017" w:rsidRDefault="00493A7B" w:rsidP="004033CA">
            <w:pPr>
              <w:pStyle w:val="TableBodyText"/>
              <w:jc w:val="right"/>
            </w:pPr>
            <w:r w:rsidRPr="007D2017">
              <w:t>109</w:t>
            </w:r>
          </w:p>
        </w:tc>
        <w:tc>
          <w:tcPr>
            <w:tcW w:w="624" w:type="pct"/>
          </w:tcPr>
          <w:p w14:paraId="0724AFED" w14:textId="77777777" w:rsidR="00493A7B" w:rsidRPr="007D2017" w:rsidRDefault="00493A7B" w:rsidP="004033CA">
            <w:pPr>
              <w:pStyle w:val="TableBodyText"/>
              <w:jc w:val="right"/>
            </w:pPr>
            <w:r w:rsidRPr="007D2017">
              <w:t>14</w:t>
            </w:r>
          </w:p>
        </w:tc>
        <w:tc>
          <w:tcPr>
            <w:tcW w:w="456" w:type="pct"/>
          </w:tcPr>
          <w:p w14:paraId="257DC34F" w14:textId="77777777" w:rsidR="00493A7B" w:rsidRPr="007D2017" w:rsidRDefault="00493A7B" w:rsidP="004033CA">
            <w:pPr>
              <w:pStyle w:val="TableBodyText"/>
              <w:jc w:val="right"/>
            </w:pPr>
            <w:r w:rsidRPr="007D2017">
              <w:t>119</w:t>
            </w:r>
          </w:p>
        </w:tc>
        <w:tc>
          <w:tcPr>
            <w:tcW w:w="624" w:type="pct"/>
          </w:tcPr>
          <w:p w14:paraId="64BA679E" w14:textId="77777777" w:rsidR="00493A7B" w:rsidRPr="007D2017" w:rsidRDefault="00493A7B" w:rsidP="004033CA">
            <w:pPr>
              <w:pStyle w:val="TableBodyText"/>
              <w:jc w:val="right"/>
            </w:pPr>
            <w:r w:rsidRPr="007D2017">
              <w:t>16</w:t>
            </w:r>
          </w:p>
        </w:tc>
        <w:tc>
          <w:tcPr>
            <w:tcW w:w="624" w:type="pct"/>
          </w:tcPr>
          <w:p w14:paraId="5E2601E5" w14:textId="77777777" w:rsidR="00493A7B" w:rsidRPr="007D2017" w:rsidRDefault="00493A7B" w:rsidP="004033CA">
            <w:pPr>
              <w:pStyle w:val="TableBodyText"/>
              <w:jc w:val="right"/>
            </w:pPr>
            <w:r w:rsidRPr="007D2017">
              <w:t>16</w:t>
            </w:r>
          </w:p>
        </w:tc>
      </w:tr>
      <w:tr w:rsidR="00D46D79" w:rsidRPr="007D2017" w14:paraId="05669C74" w14:textId="77777777" w:rsidTr="004033CA">
        <w:trPr>
          <w:trHeight w:val="20"/>
        </w:trPr>
        <w:tc>
          <w:tcPr>
            <w:tcW w:w="847" w:type="pct"/>
          </w:tcPr>
          <w:p w14:paraId="39763AEB" w14:textId="77777777" w:rsidR="00493A7B" w:rsidRPr="007D2017" w:rsidRDefault="00493A7B" w:rsidP="00493A7B">
            <w:pPr>
              <w:pStyle w:val="TableBodyText"/>
            </w:pPr>
            <w:r w:rsidRPr="007D2017">
              <w:t>EA Level 7</w:t>
            </w:r>
          </w:p>
        </w:tc>
        <w:tc>
          <w:tcPr>
            <w:tcW w:w="624" w:type="pct"/>
          </w:tcPr>
          <w:p w14:paraId="07BF1953" w14:textId="77777777" w:rsidR="00493A7B" w:rsidRPr="007D2017" w:rsidRDefault="00493A7B" w:rsidP="004033CA">
            <w:pPr>
              <w:pStyle w:val="TableBodyText"/>
              <w:jc w:val="right"/>
            </w:pPr>
            <w:r w:rsidRPr="007D2017">
              <w:t>279</w:t>
            </w:r>
          </w:p>
        </w:tc>
        <w:tc>
          <w:tcPr>
            <w:tcW w:w="578" w:type="pct"/>
          </w:tcPr>
          <w:p w14:paraId="493B315C" w14:textId="77777777" w:rsidR="00493A7B" w:rsidRPr="007D2017" w:rsidRDefault="00493A7B" w:rsidP="004033CA">
            <w:pPr>
              <w:pStyle w:val="TableBodyText"/>
              <w:jc w:val="right"/>
            </w:pPr>
            <w:r w:rsidRPr="007D2017">
              <w:t>263</w:t>
            </w:r>
          </w:p>
        </w:tc>
        <w:tc>
          <w:tcPr>
            <w:tcW w:w="624" w:type="pct"/>
          </w:tcPr>
          <w:p w14:paraId="7EE176B4" w14:textId="77777777" w:rsidR="00493A7B" w:rsidRPr="007D2017" w:rsidRDefault="00493A7B" w:rsidP="004033CA">
            <w:pPr>
              <w:pStyle w:val="TableBodyText"/>
              <w:jc w:val="right"/>
            </w:pPr>
            <w:r w:rsidRPr="007D2017">
              <w:t>194</w:t>
            </w:r>
          </w:p>
        </w:tc>
        <w:tc>
          <w:tcPr>
            <w:tcW w:w="624" w:type="pct"/>
          </w:tcPr>
          <w:p w14:paraId="2A93C0E4" w14:textId="77777777" w:rsidR="00493A7B" w:rsidRPr="007D2017" w:rsidRDefault="00493A7B" w:rsidP="004033CA">
            <w:pPr>
              <w:pStyle w:val="TableBodyText"/>
              <w:jc w:val="right"/>
            </w:pPr>
            <w:r w:rsidRPr="007D2017">
              <w:t>69</w:t>
            </w:r>
          </w:p>
        </w:tc>
        <w:tc>
          <w:tcPr>
            <w:tcW w:w="456" w:type="pct"/>
          </w:tcPr>
          <w:p w14:paraId="015BBB15" w14:textId="77777777" w:rsidR="00493A7B" w:rsidRPr="007D2017" w:rsidRDefault="00493A7B" w:rsidP="004033CA">
            <w:pPr>
              <w:pStyle w:val="TableBodyText"/>
              <w:jc w:val="right"/>
            </w:pPr>
            <w:r w:rsidRPr="007D2017">
              <w:t>248</w:t>
            </w:r>
          </w:p>
        </w:tc>
        <w:tc>
          <w:tcPr>
            <w:tcW w:w="624" w:type="pct"/>
          </w:tcPr>
          <w:p w14:paraId="3724B659" w14:textId="77777777" w:rsidR="00493A7B" w:rsidRPr="007D2017" w:rsidRDefault="00493A7B" w:rsidP="004033CA">
            <w:pPr>
              <w:pStyle w:val="TableBodyText"/>
              <w:jc w:val="right"/>
            </w:pPr>
            <w:r w:rsidRPr="007D2017">
              <w:t>16</w:t>
            </w:r>
          </w:p>
        </w:tc>
        <w:tc>
          <w:tcPr>
            <w:tcW w:w="624" w:type="pct"/>
          </w:tcPr>
          <w:p w14:paraId="16744422" w14:textId="77777777" w:rsidR="00493A7B" w:rsidRPr="007D2017" w:rsidRDefault="00493A7B" w:rsidP="004033CA">
            <w:pPr>
              <w:pStyle w:val="TableBodyText"/>
              <w:jc w:val="right"/>
            </w:pPr>
            <w:r w:rsidRPr="007D2017">
              <w:t>15</w:t>
            </w:r>
          </w:p>
        </w:tc>
      </w:tr>
      <w:tr w:rsidR="00D46D79" w:rsidRPr="007D2017" w14:paraId="402D7C8A" w14:textId="77777777" w:rsidTr="004033CA">
        <w:trPr>
          <w:trHeight w:val="20"/>
        </w:trPr>
        <w:tc>
          <w:tcPr>
            <w:tcW w:w="847" w:type="pct"/>
          </w:tcPr>
          <w:p w14:paraId="4C8CC849" w14:textId="77777777" w:rsidR="00493A7B" w:rsidRPr="007D2017" w:rsidRDefault="00493A7B" w:rsidP="00493A7B">
            <w:pPr>
              <w:pStyle w:val="TableBodyText"/>
            </w:pPr>
            <w:r w:rsidRPr="007D2017">
              <w:t>EA Senior Officer</w:t>
            </w:r>
          </w:p>
        </w:tc>
        <w:tc>
          <w:tcPr>
            <w:tcW w:w="624" w:type="pct"/>
          </w:tcPr>
          <w:p w14:paraId="4FEC708F" w14:textId="77777777" w:rsidR="00493A7B" w:rsidRPr="007D2017" w:rsidRDefault="00493A7B" w:rsidP="004033CA">
            <w:pPr>
              <w:pStyle w:val="TableBodyText"/>
              <w:jc w:val="right"/>
            </w:pPr>
            <w:r w:rsidRPr="007D2017">
              <w:t>21</w:t>
            </w:r>
          </w:p>
        </w:tc>
        <w:tc>
          <w:tcPr>
            <w:tcW w:w="578" w:type="pct"/>
          </w:tcPr>
          <w:p w14:paraId="3CA70833" w14:textId="77777777" w:rsidR="00493A7B" w:rsidRPr="007D2017" w:rsidRDefault="00493A7B" w:rsidP="004033CA">
            <w:pPr>
              <w:pStyle w:val="TableBodyText"/>
              <w:jc w:val="right"/>
            </w:pPr>
            <w:r w:rsidRPr="007D2017">
              <w:t>20</w:t>
            </w:r>
          </w:p>
        </w:tc>
        <w:tc>
          <w:tcPr>
            <w:tcW w:w="624" w:type="pct"/>
          </w:tcPr>
          <w:p w14:paraId="6EF255BB" w14:textId="77777777" w:rsidR="00493A7B" w:rsidRPr="007D2017" w:rsidRDefault="00493A7B" w:rsidP="004033CA">
            <w:pPr>
              <w:pStyle w:val="TableBodyText"/>
              <w:jc w:val="right"/>
            </w:pPr>
            <w:r w:rsidRPr="007D2017">
              <w:t>15</w:t>
            </w:r>
          </w:p>
        </w:tc>
        <w:tc>
          <w:tcPr>
            <w:tcW w:w="624" w:type="pct"/>
          </w:tcPr>
          <w:p w14:paraId="61CFD287" w14:textId="77777777" w:rsidR="00493A7B" w:rsidRPr="007D2017" w:rsidRDefault="00493A7B" w:rsidP="004033CA">
            <w:pPr>
              <w:pStyle w:val="TableBodyText"/>
              <w:jc w:val="right"/>
            </w:pPr>
            <w:r w:rsidRPr="007D2017">
              <w:t>4</w:t>
            </w:r>
          </w:p>
        </w:tc>
        <w:tc>
          <w:tcPr>
            <w:tcW w:w="456" w:type="pct"/>
          </w:tcPr>
          <w:p w14:paraId="7CCC7EF3" w14:textId="77777777" w:rsidR="00493A7B" w:rsidRPr="007D2017" w:rsidRDefault="00493A7B" w:rsidP="004033CA">
            <w:pPr>
              <w:pStyle w:val="TableBodyText"/>
              <w:jc w:val="right"/>
            </w:pPr>
            <w:r w:rsidRPr="007D2017">
              <w:t>18</w:t>
            </w:r>
          </w:p>
        </w:tc>
        <w:tc>
          <w:tcPr>
            <w:tcW w:w="624" w:type="pct"/>
          </w:tcPr>
          <w:p w14:paraId="4C2F1E6C" w14:textId="77777777" w:rsidR="00493A7B" w:rsidRPr="007D2017" w:rsidRDefault="00493A7B" w:rsidP="004033CA">
            <w:pPr>
              <w:pStyle w:val="TableBodyText"/>
              <w:jc w:val="right"/>
            </w:pPr>
            <w:r w:rsidRPr="007D2017">
              <w:t>2</w:t>
            </w:r>
          </w:p>
        </w:tc>
        <w:tc>
          <w:tcPr>
            <w:tcW w:w="624" w:type="pct"/>
          </w:tcPr>
          <w:p w14:paraId="46AEEFAC" w14:textId="77777777" w:rsidR="00493A7B" w:rsidRPr="007D2017" w:rsidRDefault="00493A7B" w:rsidP="004033CA">
            <w:pPr>
              <w:pStyle w:val="TableBodyText"/>
              <w:jc w:val="right"/>
            </w:pPr>
            <w:r w:rsidRPr="007D2017">
              <w:t>2</w:t>
            </w:r>
          </w:p>
        </w:tc>
      </w:tr>
      <w:tr w:rsidR="00D46D79" w:rsidRPr="00D46D79" w14:paraId="719B6D95" w14:textId="77777777" w:rsidTr="004033CA">
        <w:trPr>
          <w:trHeight w:val="20"/>
        </w:trPr>
        <w:tc>
          <w:tcPr>
            <w:tcW w:w="847" w:type="pct"/>
          </w:tcPr>
          <w:p w14:paraId="2C0F98EB" w14:textId="77777777" w:rsidR="00493A7B" w:rsidRPr="00D46D79" w:rsidRDefault="00493A7B" w:rsidP="00493A7B">
            <w:pPr>
              <w:pStyle w:val="TableBodyText"/>
              <w:rPr>
                <w:rStyle w:val="Bold"/>
              </w:rPr>
            </w:pPr>
            <w:r w:rsidRPr="00D46D79">
              <w:rPr>
                <w:rStyle w:val="Bold"/>
              </w:rPr>
              <w:t>Management Contract Total</w:t>
            </w:r>
          </w:p>
        </w:tc>
        <w:tc>
          <w:tcPr>
            <w:tcW w:w="624" w:type="pct"/>
          </w:tcPr>
          <w:p w14:paraId="6D6A4097" w14:textId="77777777" w:rsidR="00493A7B" w:rsidRPr="00D46D79" w:rsidRDefault="00493A7B" w:rsidP="004033CA">
            <w:pPr>
              <w:pStyle w:val="TableBodyText"/>
              <w:jc w:val="right"/>
              <w:rPr>
                <w:rStyle w:val="Bold"/>
              </w:rPr>
            </w:pPr>
            <w:r w:rsidRPr="00D46D79">
              <w:rPr>
                <w:rStyle w:val="Bold"/>
              </w:rPr>
              <w:t>446</w:t>
            </w:r>
          </w:p>
        </w:tc>
        <w:tc>
          <w:tcPr>
            <w:tcW w:w="578" w:type="pct"/>
          </w:tcPr>
          <w:p w14:paraId="203CDD2A" w14:textId="77777777" w:rsidR="00493A7B" w:rsidRPr="00D46D79" w:rsidRDefault="00493A7B" w:rsidP="004033CA">
            <w:pPr>
              <w:pStyle w:val="TableBodyText"/>
              <w:jc w:val="right"/>
              <w:rPr>
                <w:rStyle w:val="Bold"/>
              </w:rPr>
            </w:pPr>
            <w:r w:rsidRPr="00D46D79">
              <w:rPr>
                <w:rStyle w:val="Bold"/>
              </w:rPr>
              <w:t>431</w:t>
            </w:r>
          </w:p>
        </w:tc>
        <w:tc>
          <w:tcPr>
            <w:tcW w:w="624" w:type="pct"/>
          </w:tcPr>
          <w:p w14:paraId="59FD54EB" w14:textId="77777777" w:rsidR="00493A7B" w:rsidRPr="00D46D79" w:rsidRDefault="00493A7B" w:rsidP="004033CA">
            <w:pPr>
              <w:pStyle w:val="TableBodyText"/>
              <w:jc w:val="right"/>
              <w:rPr>
                <w:rStyle w:val="Bold"/>
              </w:rPr>
            </w:pPr>
            <w:r w:rsidRPr="00D46D79">
              <w:rPr>
                <w:rStyle w:val="Bold"/>
              </w:rPr>
              <w:t>358</w:t>
            </w:r>
          </w:p>
        </w:tc>
        <w:tc>
          <w:tcPr>
            <w:tcW w:w="624" w:type="pct"/>
          </w:tcPr>
          <w:p w14:paraId="66AFB235" w14:textId="77777777" w:rsidR="00493A7B" w:rsidRPr="00D46D79" w:rsidRDefault="00493A7B" w:rsidP="004033CA">
            <w:pPr>
              <w:pStyle w:val="TableBodyText"/>
              <w:jc w:val="right"/>
              <w:rPr>
                <w:rStyle w:val="Bold"/>
              </w:rPr>
            </w:pPr>
            <w:r w:rsidRPr="00D46D79">
              <w:rPr>
                <w:rStyle w:val="Bold"/>
              </w:rPr>
              <w:t>77</w:t>
            </w:r>
          </w:p>
        </w:tc>
        <w:tc>
          <w:tcPr>
            <w:tcW w:w="456" w:type="pct"/>
          </w:tcPr>
          <w:p w14:paraId="7D54783D" w14:textId="77777777" w:rsidR="00493A7B" w:rsidRPr="00D46D79" w:rsidRDefault="00493A7B" w:rsidP="004033CA">
            <w:pPr>
              <w:pStyle w:val="TableBodyText"/>
              <w:jc w:val="right"/>
              <w:rPr>
                <w:rStyle w:val="Bold"/>
              </w:rPr>
            </w:pPr>
            <w:r w:rsidRPr="00D46D79">
              <w:rPr>
                <w:rStyle w:val="Bold"/>
              </w:rPr>
              <w:t>421</w:t>
            </w:r>
          </w:p>
        </w:tc>
        <w:tc>
          <w:tcPr>
            <w:tcW w:w="624" w:type="pct"/>
          </w:tcPr>
          <w:p w14:paraId="2C95A5F6" w14:textId="77777777" w:rsidR="00493A7B" w:rsidRPr="00D46D79" w:rsidRDefault="00493A7B" w:rsidP="004033CA">
            <w:pPr>
              <w:pStyle w:val="TableBodyText"/>
              <w:jc w:val="right"/>
              <w:rPr>
                <w:rStyle w:val="Bold"/>
              </w:rPr>
            </w:pPr>
            <w:r w:rsidRPr="00D46D79">
              <w:rPr>
                <w:rStyle w:val="Bold"/>
              </w:rPr>
              <w:t>11</w:t>
            </w:r>
          </w:p>
        </w:tc>
        <w:tc>
          <w:tcPr>
            <w:tcW w:w="624" w:type="pct"/>
          </w:tcPr>
          <w:p w14:paraId="040C9421" w14:textId="77777777" w:rsidR="00493A7B" w:rsidRPr="00D46D79" w:rsidRDefault="00493A7B" w:rsidP="004033CA">
            <w:pPr>
              <w:pStyle w:val="TableBodyText"/>
              <w:jc w:val="right"/>
              <w:rPr>
                <w:rStyle w:val="Bold"/>
              </w:rPr>
            </w:pPr>
            <w:r w:rsidRPr="00D46D79">
              <w:rPr>
                <w:rStyle w:val="Bold"/>
              </w:rPr>
              <w:t>10</w:t>
            </w:r>
          </w:p>
        </w:tc>
      </w:tr>
      <w:tr w:rsidR="00D46D79" w:rsidRPr="007D2017" w14:paraId="50C019EA" w14:textId="77777777" w:rsidTr="004033CA">
        <w:trPr>
          <w:trHeight w:val="20"/>
        </w:trPr>
        <w:tc>
          <w:tcPr>
            <w:tcW w:w="847" w:type="pct"/>
          </w:tcPr>
          <w:p w14:paraId="72C7E4C9" w14:textId="77777777" w:rsidR="00493A7B" w:rsidRPr="007D2017" w:rsidRDefault="00493A7B" w:rsidP="00493A7B">
            <w:pPr>
              <w:pStyle w:val="TableBodyText"/>
            </w:pPr>
            <w:r w:rsidRPr="007D2017">
              <w:t>Senior managers</w:t>
            </w:r>
          </w:p>
        </w:tc>
        <w:tc>
          <w:tcPr>
            <w:tcW w:w="624" w:type="pct"/>
          </w:tcPr>
          <w:p w14:paraId="79A0F65E" w14:textId="77777777" w:rsidR="00493A7B" w:rsidRPr="007D2017" w:rsidRDefault="00493A7B" w:rsidP="004033CA">
            <w:pPr>
              <w:pStyle w:val="TableBodyText"/>
              <w:jc w:val="right"/>
            </w:pPr>
            <w:r w:rsidRPr="007D2017">
              <w:t>433</w:t>
            </w:r>
          </w:p>
        </w:tc>
        <w:tc>
          <w:tcPr>
            <w:tcW w:w="578" w:type="pct"/>
          </w:tcPr>
          <w:p w14:paraId="2F185E06" w14:textId="77777777" w:rsidR="00493A7B" w:rsidRPr="007D2017" w:rsidRDefault="00493A7B" w:rsidP="004033CA">
            <w:pPr>
              <w:pStyle w:val="TableBodyText"/>
              <w:jc w:val="right"/>
            </w:pPr>
            <w:r w:rsidRPr="007D2017">
              <w:t>418</w:t>
            </w:r>
          </w:p>
        </w:tc>
        <w:tc>
          <w:tcPr>
            <w:tcW w:w="624" w:type="pct"/>
          </w:tcPr>
          <w:p w14:paraId="54DBD8FB" w14:textId="77777777" w:rsidR="00493A7B" w:rsidRPr="007D2017" w:rsidRDefault="00493A7B" w:rsidP="004033CA">
            <w:pPr>
              <w:pStyle w:val="TableBodyText"/>
              <w:jc w:val="right"/>
            </w:pPr>
            <w:r w:rsidRPr="007D2017">
              <w:t>345</w:t>
            </w:r>
          </w:p>
        </w:tc>
        <w:tc>
          <w:tcPr>
            <w:tcW w:w="624" w:type="pct"/>
          </w:tcPr>
          <w:p w14:paraId="111FF5FE" w14:textId="77777777" w:rsidR="00493A7B" w:rsidRPr="007D2017" w:rsidRDefault="00493A7B" w:rsidP="004033CA">
            <w:pPr>
              <w:pStyle w:val="TableBodyText"/>
              <w:jc w:val="right"/>
            </w:pPr>
            <w:r w:rsidRPr="007D2017">
              <w:t>77</w:t>
            </w:r>
          </w:p>
        </w:tc>
        <w:tc>
          <w:tcPr>
            <w:tcW w:w="456" w:type="pct"/>
          </w:tcPr>
          <w:p w14:paraId="122CDED4" w14:textId="77777777" w:rsidR="00493A7B" w:rsidRPr="007D2017" w:rsidRDefault="00493A7B" w:rsidP="004033CA">
            <w:pPr>
              <w:pStyle w:val="TableBodyText"/>
              <w:jc w:val="right"/>
            </w:pPr>
            <w:r w:rsidRPr="007D2017">
              <w:t>408</w:t>
            </w:r>
          </w:p>
        </w:tc>
        <w:tc>
          <w:tcPr>
            <w:tcW w:w="624" w:type="pct"/>
          </w:tcPr>
          <w:p w14:paraId="5E6D1E6A" w14:textId="77777777" w:rsidR="00493A7B" w:rsidRPr="007D2017" w:rsidRDefault="00493A7B" w:rsidP="004033CA">
            <w:pPr>
              <w:pStyle w:val="TableBodyText"/>
              <w:jc w:val="right"/>
            </w:pPr>
            <w:r w:rsidRPr="007D2017">
              <w:t>11</w:t>
            </w:r>
          </w:p>
        </w:tc>
        <w:tc>
          <w:tcPr>
            <w:tcW w:w="624" w:type="pct"/>
          </w:tcPr>
          <w:p w14:paraId="1B34B994" w14:textId="77777777" w:rsidR="00493A7B" w:rsidRPr="007D2017" w:rsidRDefault="00493A7B" w:rsidP="004033CA">
            <w:pPr>
              <w:pStyle w:val="TableBodyText"/>
              <w:jc w:val="right"/>
            </w:pPr>
            <w:r w:rsidRPr="007D2017">
              <w:t>10</w:t>
            </w:r>
          </w:p>
        </w:tc>
      </w:tr>
      <w:tr w:rsidR="00D46D79" w:rsidRPr="007D2017" w14:paraId="35E9E776" w14:textId="77777777" w:rsidTr="004033CA">
        <w:trPr>
          <w:trHeight w:val="20"/>
        </w:trPr>
        <w:tc>
          <w:tcPr>
            <w:tcW w:w="847" w:type="pct"/>
          </w:tcPr>
          <w:p w14:paraId="74AEF3DB" w14:textId="77777777" w:rsidR="00493A7B" w:rsidRPr="007D2017" w:rsidRDefault="00493A7B" w:rsidP="00493A7B">
            <w:pPr>
              <w:pStyle w:val="TableBodyText"/>
            </w:pPr>
            <w:r w:rsidRPr="007D2017">
              <w:t>Executives</w:t>
            </w:r>
          </w:p>
        </w:tc>
        <w:tc>
          <w:tcPr>
            <w:tcW w:w="624" w:type="pct"/>
          </w:tcPr>
          <w:p w14:paraId="76CE0E31" w14:textId="77777777" w:rsidR="00493A7B" w:rsidRPr="007D2017" w:rsidRDefault="00493A7B" w:rsidP="004033CA">
            <w:pPr>
              <w:pStyle w:val="TableBodyText"/>
              <w:jc w:val="right"/>
            </w:pPr>
            <w:r w:rsidRPr="007D2017">
              <w:t>13</w:t>
            </w:r>
          </w:p>
        </w:tc>
        <w:tc>
          <w:tcPr>
            <w:tcW w:w="578" w:type="pct"/>
          </w:tcPr>
          <w:p w14:paraId="5A0374E5" w14:textId="77777777" w:rsidR="00493A7B" w:rsidRPr="007D2017" w:rsidRDefault="00493A7B" w:rsidP="004033CA">
            <w:pPr>
              <w:pStyle w:val="TableBodyText"/>
              <w:jc w:val="right"/>
            </w:pPr>
            <w:r w:rsidRPr="007D2017">
              <w:t>13</w:t>
            </w:r>
          </w:p>
        </w:tc>
        <w:tc>
          <w:tcPr>
            <w:tcW w:w="624" w:type="pct"/>
          </w:tcPr>
          <w:p w14:paraId="51A86236" w14:textId="77777777" w:rsidR="00493A7B" w:rsidRPr="007D2017" w:rsidRDefault="00493A7B" w:rsidP="004033CA">
            <w:pPr>
              <w:pStyle w:val="TableBodyText"/>
              <w:jc w:val="right"/>
            </w:pPr>
            <w:r w:rsidRPr="007D2017">
              <w:t>13</w:t>
            </w:r>
          </w:p>
        </w:tc>
        <w:tc>
          <w:tcPr>
            <w:tcW w:w="624" w:type="pct"/>
          </w:tcPr>
          <w:p w14:paraId="43CC9679" w14:textId="77777777" w:rsidR="00493A7B" w:rsidRPr="007D2017" w:rsidRDefault="00493A7B" w:rsidP="004033CA">
            <w:pPr>
              <w:pStyle w:val="TableBodyText"/>
              <w:jc w:val="right"/>
            </w:pPr>
            <w:r w:rsidRPr="007D2017">
              <w:t>0</w:t>
            </w:r>
          </w:p>
        </w:tc>
        <w:tc>
          <w:tcPr>
            <w:tcW w:w="456" w:type="pct"/>
          </w:tcPr>
          <w:p w14:paraId="1AB5662B" w14:textId="77777777" w:rsidR="00493A7B" w:rsidRPr="007D2017" w:rsidRDefault="00493A7B" w:rsidP="004033CA">
            <w:pPr>
              <w:pStyle w:val="TableBodyText"/>
              <w:jc w:val="right"/>
            </w:pPr>
            <w:r w:rsidRPr="007D2017">
              <w:t>13</w:t>
            </w:r>
          </w:p>
        </w:tc>
        <w:tc>
          <w:tcPr>
            <w:tcW w:w="624" w:type="pct"/>
          </w:tcPr>
          <w:p w14:paraId="3C1D3AAA" w14:textId="77777777" w:rsidR="00493A7B" w:rsidRPr="007D2017" w:rsidRDefault="00493A7B" w:rsidP="004033CA">
            <w:pPr>
              <w:pStyle w:val="TableBodyText"/>
              <w:jc w:val="right"/>
            </w:pPr>
            <w:r w:rsidRPr="007D2017">
              <w:t>0</w:t>
            </w:r>
          </w:p>
        </w:tc>
        <w:tc>
          <w:tcPr>
            <w:tcW w:w="624" w:type="pct"/>
          </w:tcPr>
          <w:p w14:paraId="48606AB1" w14:textId="77777777" w:rsidR="00493A7B" w:rsidRPr="007D2017" w:rsidRDefault="00493A7B" w:rsidP="004033CA">
            <w:pPr>
              <w:pStyle w:val="TableBodyText"/>
              <w:jc w:val="right"/>
            </w:pPr>
            <w:r w:rsidRPr="007D2017">
              <w:t>0</w:t>
            </w:r>
          </w:p>
        </w:tc>
      </w:tr>
      <w:tr w:rsidR="00D46D79" w:rsidRPr="00D46D79" w14:paraId="2818D603" w14:textId="77777777" w:rsidTr="004033CA">
        <w:trPr>
          <w:trHeight w:val="20"/>
        </w:trPr>
        <w:tc>
          <w:tcPr>
            <w:tcW w:w="847" w:type="pct"/>
          </w:tcPr>
          <w:p w14:paraId="69616791" w14:textId="77777777" w:rsidR="00493A7B" w:rsidRPr="00D46D79" w:rsidRDefault="00493A7B" w:rsidP="00493A7B">
            <w:pPr>
              <w:pStyle w:val="TableBodyText"/>
              <w:rPr>
                <w:rStyle w:val="Bold"/>
              </w:rPr>
            </w:pPr>
            <w:r w:rsidRPr="00D46D79">
              <w:rPr>
                <w:rStyle w:val="Bold"/>
              </w:rPr>
              <w:t>Total Employees</w:t>
            </w:r>
          </w:p>
        </w:tc>
        <w:tc>
          <w:tcPr>
            <w:tcW w:w="624" w:type="pct"/>
          </w:tcPr>
          <w:p w14:paraId="58CF0D60" w14:textId="77777777" w:rsidR="00493A7B" w:rsidRPr="00D46D79" w:rsidRDefault="00493A7B" w:rsidP="004033CA">
            <w:pPr>
              <w:pStyle w:val="TableBodyText"/>
              <w:jc w:val="right"/>
              <w:rPr>
                <w:rStyle w:val="Bold"/>
              </w:rPr>
            </w:pPr>
            <w:r w:rsidRPr="00D46D79">
              <w:rPr>
                <w:rStyle w:val="Bold"/>
              </w:rPr>
              <w:t>1223</w:t>
            </w:r>
          </w:p>
        </w:tc>
        <w:tc>
          <w:tcPr>
            <w:tcW w:w="578" w:type="pct"/>
          </w:tcPr>
          <w:p w14:paraId="1A4104B4" w14:textId="77777777" w:rsidR="00493A7B" w:rsidRPr="00D46D79" w:rsidRDefault="00493A7B" w:rsidP="004033CA">
            <w:pPr>
              <w:pStyle w:val="TableBodyText"/>
              <w:jc w:val="right"/>
              <w:rPr>
                <w:rStyle w:val="Bold"/>
              </w:rPr>
            </w:pPr>
            <w:r w:rsidRPr="00D46D79">
              <w:rPr>
                <w:rStyle w:val="Bold"/>
              </w:rPr>
              <w:t>1164</w:t>
            </w:r>
          </w:p>
        </w:tc>
        <w:tc>
          <w:tcPr>
            <w:tcW w:w="624" w:type="pct"/>
          </w:tcPr>
          <w:p w14:paraId="4B5E2549" w14:textId="77777777" w:rsidR="00493A7B" w:rsidRPr="00D46D79" w:rsidRDefault="00493A7B" w:rsidP="004033CA">
            <w:pPr>
              <w:pStyle w:val="TableBodyText"/>
              <w:jc w:val="right"/>
              <w:rPr>
                <w:rStyle w:val="Bold"/>
              </w:rPr>
            </w:pPr>
            <w:r w:rsidRPr="00D46D79">
              <w:rPr>
                <w:rStyle w:val="Bold"/>
              </w:rPr>
              <w:t>935</w:t>
            </w:r>
          </w:p>
        </w:tc>
        <w:tc>
          <w:tcPr>
            <w:tcW w:w="624" w:type="pct"/>
          </w:tcPr>
          <w:p w14:paraId="75C94EB0" w14:textId="77777777" w:rsidR="00493A7B" w:rsidRPr="00D46D79" w:rsidRDefault="00493A7B" w:rsidP="004033CA">
            <w:pPr>
              <w:pStyle w:val="TableBodyText"/>
              <w:jc w:val="right"/>
              <w:rPr>
                <w:rStyle w:val="Bold"/>
              </w:rPr>
            </w:pPr>
            <w:r w:rsidRPr="00D46D79">
              <w:rPr>
                <w:rStyle w:val="Bold"/>
              </w:rPr>
              <w:t>188</w:t>
            </w:r>
          </w:p>
        </w:tc>
        <w:tc>
          <w:tcPr>
            <w:tcW w:w="456" w:type="pct"/>
          </w:tcPr>
          <w:p w14:paraId="46DCA8BA" w14:textId="77777777" w:rsidR="00493A7B" w:rsidRPr="00D46D79" w:rsidRDefault="00493A7B" w:rsidP="004033CA">
            <w:pPr>
              <w:pStyle w:val="TableBodyText"/>
              <w:jc w:val="right"/>
              <w:rPr>
                <w:rStyle w:val="Bold"/>
              </w:rPr>
            </w:pPr>
            <w:r w:rsidRPr="00D46D79">
              <w:rPr>
                <w:rStyle w:val="Bold"/>
              </w:rPr>
              <w:t>1082</w:t>
            </w:r>
          </w:p>
        </w:tc>
        <w:tc>
          <w:tcPr>
            <w:tcW w:w="624" w:type="pct"/>
          </w:tcPr>
          <w:p w14:paraId="1A41CBE7" w14:textId="77777777" w:rsidR="00493A7B" w:rsidRPr="00D46D79" w:rsidRDefault="00493A7B" w:rsidP="004033CA">
            <w:pPr>
              <w:pStyle w:val="TableBodyText"/>
              <w:jc w:val="right"/>
              <w:rPr>
                <w:rStyle w:val="Bold"/>
              </w:rPr>
            </w:pPr>
            <w:r w:rsidRPr="00D46D79">
              <w:rPr>
                <w:rStyle w:val="Bold"/>
              </w:rPr>
              <w:t>100</w:t>
            </w:r>
          </w:p>
        </w:tc>
        <w:tc>
          <w:tcPr>
            <w:tcW w:w="624" w:type="pct"/>
          </w:tcPr>
          <w:p w14:paraId="693818B5" w14:textId="77777777" w:rsidR="00493A7B" w:rsidRPr="00D46D79" w:rsidRDefault="00493A7B" w:rsidP="004033CA">
            <w:pPr>
              <w:pStyle w:val="TableBodyText"/>
              <w:jc w:val="right"/>
              <w:rPr>
                <w:rStyle w:val="Bold"/>
              </w:rPr>
            </w:pPr>
            <w:r w:rsidRPr="00D46D79">
              <w:rPr>
                <w:rStyle w:val="Bold"/>
              </w:rPr>
              <w:t>82</w:t>
            </w:r>
          </w:p>
        </w:tc>
      </w:tr>
    </w:tbl>
    <w:p w14:paraId="003B1A4C" w14:textId="05134273" w:rsidR="00D46D79" w:rsidRDefault="00D46D79" w:rsidP="00D46D79">
      <w:pPr>
        <w:pStyle w:val="BodyText"/>
      </w:pPr>
      <w:r>
        <w:t>June 2020</w:t>
      </w:r>
    </w:p>
    <w:tbl>
      <w:tblPr>
        <w:tblStyle w:val="TableGrid"/>
        <w:tblW w:w="5000" w:type="pct"/>
        <w:tblLook w:val="04A0" w:firstRow="1" w:lastRow="0" w:firstColumn="1" w:lastColumn="0" w:noHBand="0" w:noVBand="1"/>
      </w:tblPr>
      <w:tblGrid>
        <w:gridCol w:w="1636"/>
        <w:gridCol w:w="1202"/>
        <w:gridCol w:w="1113"/>
        <w:gridCol w:w="1202"/>
        <w:gridCol w:w="1202"/>
        <w:gridCol w:w="878"/>
        <w:gridCol w:w="1202"/>
        <w:gridCol w:w="1196"/>
      </w:tblGrid>
      <w:tr w:rsidR="00D46D79" w:rsidRPr="007D2017" w14:paraId="2A6D7AF2" w14:textId="77777777" w:rsidTr="00A54B77">
        <w:trPr>
          <w:cnfStyle w:val="100000000000" w:firstRow="1" w:lastRow="0" w:firstColumn="0" w:lastColumn="0" w:oddVBand="0" w:evenVBand="0" w:oddHBand="0" w:evenHBand="0" w:firstRowFirstColumn="0" w:firstRowLastColumn="0" w:lastRowFirstColumn="0" w:lastRowLastColumn="0"/>
          <w:trHeight w:val="20"/>
          <w:tblHeader/>
        </w:trPr>
        <w:tc>
          <w:tcPr>
            <w:tcW w:w="849" w:type="pct"/>
            <w:vAlign w:val="bottom"/>
          </w:tcPr>
          <w:p w14:paraId="5BD6E709" w14:textId="33F2C4EB" w:rsidR="00493A7B" w:rsidRPr="007D2017" w:rsidRDefault="00D46D79" w:rsidP="004033CA">
            <w:pPr>
              <w:pStyle w:val="TableBodyText"/>
            </w:pPr>
            <w:bookmarkStart w:id="539" w:name="ColumnTitle_21"/>
            <w:r>
              <w:t>Employee Type</w:t>
            </w:r>
          </w:p>
        </w:tc>
        <w:tc>
          <w:tcPr>
            <w:tcW w:w="624" w:type="pct"/>
            <w:vAlign w:val="bottom"/>
          </w:tcPr>
          <w:p w14:paraId="3CFD9588" w14:textId="77777777" w:rsidR="00493A7B" w:rsidRDefault="00D46D79" w:rsidP="004033CA">
            <w:pPr>
              <w:pStyle w:val="TableBodyText"/>
              <w:jc w:val="right"/>
              <w:rPr>
                <w:b w:val="0"/>
              </w:rPr>
            </w:pPr>
            <w:r>
              <w:t>All Employees</w:t>
            </w:r>
          </w:p>
          <w:p w14:paraId="5E6A3C14" w14:textId="6895864F" w:rsidR="00D46D79" w:rsidRPr="007D2017" w:rsidRDefault="00D46D79" w:rsidP="004033CA">
            <w:pPr>
              <w:pStyle w:val="TableBodyText"/>
              <w:jc w:val="right"/>
            </w:pPr>
            <w:r>
              <w:t>Number (headcount)</w:t>
            </w:r>
          </w:p>
        </w:tc>
        <w:tc>
          <w:tcPr>
            <w:tcW w:w="578" w:type="pct"/>
            <w:vAlign w:val="bottom"/>
          </w:tcPr>
          <w:p w14:paraId="682E51D4" w14:textId="77777777" w:rsidR="00493A7B" w:rsidRDefault="00D46D79" w:rsidP="004033CA">
            <w:pPr>
              <w:pStyle w:val="TableBodyText"/>
              <w:jc w:val="right"/>
              <w:rPr>
                <w:b w:val="0"/>
              </w:rPr>
            </w:pPr>
            <w:r>
              <w:t>All Employees</w:t>
            </w:r>
          </w:p>
          <w:p w14:paraId="2C8FB61D" w14:textId="401478F1" w:rsidR="00D46D79" w:rsidRPr="007D2017" w:rsidRDefault="00D46D79" w:rsidP="004033CA">
            <w:pPr>
              <w:pStyle w:val="TableBodyText"/>
              <w:jc w:val="right"/>
            </w:pPr>
            <w:r>
              <w:t>FTE</w:t>
            </w:r>
          </w:p>
        </w:tc>
        <w:tc>
          <w:tcPr>
            <w:tcW w:w="624" w:type="pct"/>
            <w:vAlign w:val="bottom"/>
          </w:tcPr>
          <w:p w14:paraId="2B1F1A61" w14:textId="1E99CA99" w:rsidR="00493A7B" w:rsidRDefault="00D46D79" w:rsidP="004033CA">
            <w:pPr>
              <w:pStyle w:val="TableBodyText"/>
              <w:jc w:val="right"/>
              <w:rPr>
                <w:b w:val="0"/>
              </w:rPr>
            </w:pPr>
            <w:r>
              <w:t>Ongoing</w:t>
            </w:r>
          </w:p>
          <w:p w14:paraId="204A5120" w14:textId="5338DBD1" w:rsidR="00D46D79" w:rsidRPr="007D2017" w:rsidRDefault="00D46D79" w:rsidP="004033CA">
            <w:pPr>
              <w:pStyle w:val="TableBodyText"/>
              <w:jc w:val="right"/>
            </w:pPr>
            <w:r>
              <w:t>Full time (headcount)</w:t>
            </w:r>
          </w:p>
        </w:tc>
        <w:tc>
          <w:tcPr>
            <w:tcW w:w="624" w:type="pct"/>
            <w:vAlign w:val="bottom"/>
          </w:tcPr>
          <w:p w14:paraId="14A4B6A9" w14:textId="77777777" w:rsidR="00493A7B" w:rsidRDefault="00D46D79" w:rsidP="004033CA">
            <w:pPr>
              <w:pStyle w:val="TableBodyText"/>
              <w:jc w:val="right"/>
              <w:rPr>
                <w:b w:val="0"/>
              </w:rPr>
            </w:pPr>
            <w:r>
              <w:t>Ongoing</w:t>
            </w:r>
          </w:p>
          <w:p w14:paraId="5E170341" w14:textId="4AB8EE41" w:rsidR="00D46D79" w:rsidRPr="007D2017" w:rsidRDefault="00D46D79" w:rsidP="004033CA">
            <w:pPr>
              <w:pStyle w:val="TableBodyText"/>
              <w:jc w:val="right"/>
            </w:pPr>
            <w:r>
              <w:t>Part time (headcount)</w:t>
            </w:r>
          </w:p>
        </w:tc>
        <w:tc>
          <w:tcPr>
            <w:tcW w:w="456" w:type="pct"/>
            <w:vAlign w:val="bottom"/>
          </w:tcPr>
          <w:p w14:paraId="47B114AE" w14:textId="31898D42" w:rsidR="00493A7B" w:rsidRDefault="00D46D79" w:rsidP="004033CA">
            <w:pPr>
              <w:pStyle w:val="TableBodyText"/>
              <w:jc w:val="right"/>
              <w:rPr>
                <w:b w:val="0"/>
              </w:rPr>
            </w:pPr>
            <w:r>
              <w:t>Ongoing</w:t>
            </w:r>
          </w:p>
          <w:p w14:paraId="33E4AB28" w14:textId="06E354E7" w:rsidR="00D46D79" w:rsidRPr="007D2017" w:rsidRDefault="00D46D79" w:rsidP="004033CA">
            <w:pPr>
              <w:pStyle w:val="TableBodyText"/>
              <w:jc w:val="right"/>
            </w:pPr>
            <w:r>
              <w:t>FTE</w:t>
            </w:r>
          </w:p>
        </w:tc>
        <w:tc>
          <w:tcPr>
            <w:tcW w:w="624" w:type="pct"/>
            <w:vAlign w:val="bottom"/>
          </w:tcPr>
          <w:p w14:paraId="308397D4" w14:textId="77777777" w:rsidR="00493A7B" w:rsidRDefault="00D46D79" w:rsidP="004033CA">
            <w:pPr>
              <w:pStyle w:val="TableBodyText"/>
              <w:jc w:val="right"/>
              <w:rPr>
                <w:b w:val="0"/>
              </w:rPr>
            </w:pPr>
            <w:r>
              <w:t>Fixed term and casual</w:t>
            </w:r>
          </w:p>
          <w:p w14:paraId="6686EF80" w14:textId="1E4FCE20" w:rsidR="00D46D79" w:rsidRPr="007D2017" w:rsidRDefault="00D46D79" w:rsidP="004033CA">
            <w:pPr>
              <w:pStyle w:val="TableBodyText"/>
              <w:jc w:val="right"/>
            </w:pPr>
            <w:r>
              <w:t>Number (headcount)</w:t>
            </w:r>
          </w:p>
        </w:tc>
        <w:tc>
          <w:tcPr>
            <w:tcW w:w="621" w:type="pct"/>
            <w:vAlign w:val="bottom"/>
          </w:tcPr>
          <w:p w14:paraId="28BE2D0B" w14:textId="77777777" w:rsidR="00493A7B" w:rsidRDefault="00D46D79" w:rsidP="004033CA">
            <w:pPr>
              <w:pStyle w:val="TableBodyText"/>
              <w:jc w:val="right"/>
              <w:rPr>
                <w:b w:val="0"/>
              </w:rPr>
            </w:pPr>
            <w:r>
              <w:t>Fixed term and casual</w:t>
            </w:r>
          </w:p>
          <w:p w14:paraId="619EF6C3" w14:textId="4DDB798A" w:rsidR="00D46D79" w:rsidRPr="007D2017" w:rsidRDefault="00D46D79" w:rsidP="004033CA">
            <w:pPr>
              <w:pStyle w:val="TableBodyText"/>
              <w:jc w:val="right"/>
            </w:pPr>
            <w:r>
              <w:t>FTE</w:t>
            </w:r>
          </w:p>
        </w:tc>
      </w:tr>
      <w:bookmarkEnd w:id="539"/>
      <w:tr w:rsidR="007E689B" w:rsidRPr="007D2017" w14:paraId="5539D0B6" w14:textId="77777777" w:rsidTr="004033CA">
        <w:trPr>
          <w:trHeight w:val="20"/>
        </w:trPr>
        <w:tc>
          <w:tcPr>
            <w:tcW w:w="849" w:type="pct"/>
          </w:tcPr>
          <w:p w14:paraId="62AB4C9D" w14:textId="27056543" w:rsidR="007E689B" w:rsidRPr="00D46D79" w:rsidRDefault="007E689B" w:rsidP="007E689B">
            <w:pPr>
              <w:pStyle w:val="TableBodyText"/>
              <w:rPr>
                <w:rStyle w:val="Bold"/>
              </w:rPr>
            </w:pPr>
            <w:r w:rsidRPr="00D46D79">
              <w:rPr>
                <w:rStyle w:val="Bold"/>
              </w:rPr>
              <w:t>Demographic Data - Gender</w:t>
            </w:r>
          </w:p>
        </w:tc>
        <w:tc>
          <w:tcPr>
            <w:tcW w:w="624" w:type="pct"/>
          </w:tcPr>
          <w:p w14:paraId="60A7173F" w14:textId="4CF1ECDA" w:rsidR="007E689B" w:rsidRPr="007D2017" w:rsidRDefault="007E689B" w:rsidP="004033CA">
            <w:pPr>
              <w:pStyle w:val="TableBodyText"/>
              <w:jc w:val="right"/>
            </w:pPr>
            <w:r w:rsidRPr="00D81CAD">
              <w:t>N/A</w:t>
            </w:r>
          </w:p>
        </w:tc>
        <w:tc>
          <w:tcPr>
            <w:tcW w:w="578" w:type="pct"/>
          </w:tcPr>
          <w:p w14:paraId="0533C187" w14:textId="781841A1" w:rsidR="007E689B" w:rsidRPr="007D2017" w:rsidRDefault="007E689B" w:rsidP="004033CA">
            <w:pPr>
              <w:pStyle w:val="TableBodyText"/>
              <w:jc w:val="right"/>
            </w:pPr>
            <w:r w:rsidRPr="00D81CAD">
              <w:t>N/A</w:t>
            </w:r>
          </w:p>
        </w:tc>
        <w:tc>
          <w:tcPr>
            <w:tcW w:w="624" w:type="pct"/>
          </w:tcPr>
          <w:p w14:paraId="2D941244" w14:textId="559AC6E8" w:rsidR="007E689B" w:rsidRPr="007D2017" w:rsidRDefault="007E689B" w:rsidP="004033CA">
            <w:pPr>
              <w:pStyle w:val="TableBodyText"/>
              <w:jc w:val="right"/>
            </w:pPr>
            <w:r w:rsidRPr="00D81CAD">
              <w:t>N/A</w:t>
            </w:r>
          </w:p>
        </w:tc>
        <w:tc>
          <w:tcPr>
            <w:tcW w:w="624" w:type="pct"/>
          </w:tcPr>
          <w:p w14:paraId="248D735A" w14:textId="2DCD9138" w:rsidR="007E689B" w:rsidRPr="007D2017" w:rsidRDefault="007E689B" w:rsidP="004033CA">
            <w:pPr>
              <w:pStyle w:val="TableBodyText"/>
              <w:jc w:val="right"/>
            </w:pPr>
            <w:r w:rsidRPr="00D81CAD">
              <w:t>N/A</w:t>
            </w:r>
          </w:p>
        </w:tc>
        <w:tc>
          <w:tcPr>
            <w:tcW w:w="456" w:type="pct"/>
          </w:tcPr>
          <w:p w14:paraId="618F0375" w14:textId="4248CA24" w:rsidR="007E689B" w:rsidRPr="007D2017" w:rsidRDefault="007E689B" w:rsidP="004033CA">
            <w:pPr>
              <w:pStyle w:val="TableBodyText"/>
              <w:jc w:val="right"/>
            </w:pPr>
            <w:r w:rsidRPr="00D81CAD">
              <w:t>N/A</w:t>
            </w:r>
          </w:p>
        </w:tc>
        <w:tc>
          <w:tcPr>
            <w:tcW w:w="624" w:type="pct"/>
          </w:tcPr>
          <w:p w14:paraId="46848F72" w14:textId="7D7F94C6" w:rsidR="007E689B" w:rsidRPr="007D2017" w:rsidRDefault="007E689B" w:rsidP="004033CA">
            <w:pPr>
              <w:pStyle w:val="TableBodyText"/>
              <w:jc w:val="right"/>
            </w:pPr>
            <w:r w:rsidRPr="00D81CAD">
              <w:t>N/A</w:t>
            </w:r>
          </w:p>
        </w:tc>
        <w:tc>
          <w:tcPr>
            <w:tcW w:w="621" w:type="pct"/>
          </w:tcPr>
          <w:p w14:paraId="667FF07D" w14:textId="227B7DFF" w:rsidR="007E689B" w:rsidRPr="007D2017" w:rsidRDefault="007E689B" w:rsidP="004033CA">
            <w:pPr>
              <w:pStyle w:val="TableBodyText"/>
              <w:jc w:val="right"/>
            </w:pPr>
            <w:r w:rsidRPr="00D81CAD">
              <w:t>N/A</w:t>
            </w:r>
          </w:p>
        </w:tc>
      </w:tr>
      <w:tr w:rsidR="00D46D79" w:rsidRPr="007D2017" w14:paraId="48240038" w14:textId="77777777" w:rsidTr="004033CA">
        <w:trPr>
          <w:trHeight w:val="20"/>
        </w:trPr>
        <w:tc>
          <w:tcPr>
            <w:tcW w:w="849" w:type="pct"/>
          </w:tcPr>
          <w:p w14:paraId="6D732682" w14:textId="77777777" w:rsidR="00493A7B" w:rsidRPr="007D2017" w:rsidRDefault="00493A7B" w:rsidP="00D46D79">
            <w:pPr>
              <w:pStyle w:val="TableBodyText"/>
            </w:pPr>
            <w:r w:rsidRPr="007D2017">
              <w:t>Male</w:t>
            </w:r>
          </w:p>
        </w:tc>
        <w:tc>
          <w:tcPr>
            <w:tcW w:w="624" w:type="pct"/>
          </w:tcPr>
          <w:p w14:paraId="14D69062" w14:textId="77777777" w:rsidR="00493A7B" w:rsidRPr="007D2017" w:rsidRDefault="00493A7B" w:rsidP="004033CA">
            <w:pPr>
              <w:pStyle w:val="TableBodyText"/>
              <w:jc w:val="right"/>
            </w:pPr>
            <w:r w:rsidRPr="007D2017">
              <w:t>733</w:t>
            </w:r>
          </w:p>
        </w:tc>
        <w:tc>
          <w:tcPr>
            <w:tcW w:w="578" w:type="pct"/>
          </w:tcPr>
          <w:p w14:paraId="3ADA8829" w14:textId="77777777" w:rsidR="00493A7B" w:rsidRPr="007D2017" w:rsidRDefault="00493A7B" w:rsidP="004033CA">
            <w:pPr>
              <w:pStyle w:val="TableBodyText"/>
              <w:jc w:val="right"/>
            </w:pPr>
            <w:r w:rsidRPr="007D2017">
              <w:t>717</w:t>
            </w:r>
          </w:p>
        </w:tc>
        <w:tc>
          <w:tcPr>
            <w:tcW w:w="624" w:type="pct"/>
          </w:tcPr>
          <w:p w14:paraId="461393BA" w14:textId="77777777" w:rsidR="00493A7B" w:rsidRPr="007D2017" w:rsidRDefault="00493A7B" w:rsidP="004033CA">
            <w:pPr>
              <w:pStyle w:val="TableBodyText"/>
              <w:jc w:val="right"/>
            </w:pPr>
            <w:r w:rsidRPr="007D2017">
              <w:t>620</w:t>
            </w:r>
          </w:p>
        </w:tc>
        <w:tc>
          <w:tcPr>
            <w:tcW w:w="624" w:type="pct"/>
          </w:tcPr>
          <w:p w14:paraId="2CC710D9" w14:textId="77777777" w:rsidR="00493A7B" w:rsidRPr="007D2017" w:rsidRDefault="00493A7B" w:rsidP="004033CA">
            <w:pPr>
              <w:pStyle w:val="TableBodyText"/>
              <w:jc w:val="right"/>
            </w:pPr>
            <w:r w:rsidRPr="007D2017">
              <w:t>44</w:t>
            </w:r>
          </w:p>
        </w:tc>
        <w:tc>
          <w:tcPr>
            <w:tcW w:w="456" w:type="pct"/>
          </w:tcPr>
          <w:p w14:paraId="4549D2D0" w14:textId="77777777" w:rsidR="00493A7B" w:rsidRPr="007D2017" w:rsidRDefault="00493A7B" w:rsidP="004033CA">
            <w:pPr>
              <w:pStyle w:val="TableBodyText"/>
              <w:jc w:val="right"/>
            </w:pPr>
            <w:r w:rsidRPr="007D2017">
              <w:t>659</w:t>
            </w:r>
          </w:p>
        </w:tc>
        <w:tc>
          <w:tcPr>
            <w:tcW w:w="624" w:type="pct"/>
          </w:tcPr>
          <w:p w14:paraId="1708FD67" w14:textId="77777777" w:rsidR="00493A7B" w:rsidRPr="007D2017" w:rsidRDefault="00493A7B" w:rsidP="004033CA">
            <w:pPr>
              <w:pStyle w:val="TableBodyText"/>
              <w:jc w:val="right"/>
            </w:pPr>
            <w:r w:rsidRPr="007D2017">
              <w:t>69</w:t>
            </w:r>
          </w:p>
        </w:tc>
        <w:tc>
          <w:tcPr>
            <w:tcW w:w="621" w:type="pct"/>
          </w:tcPr>
          <w:p w14:paraId="2172B204" w14:textId="77777777" w:rsidR="00493A7B" w:rsidRPr="007D2017" w:rsidRDefault="00493A7B" w:rsidP="004033CA">
            <w:pPr>
              <w:pStyle w:val="TableBodyText"/>
              <w:jc w:val="right"/>
            </w:pPr>
            <w:r w:rsidRPr="007D2017">
              <w:t>57</w:t>
            </w:r>
          </w:p>
        </w:tc>
      </w:tr>
      <w:tr w:rsidR="00D46D79" w:rsidRPr="007D2017" w14:paraId="6D7C41D6" w14:textId="77777777" w:rsidTr="004033CA">
        <w:trPr>
          <w:trHeight w:val="20"/>
        </w:trPr>
        <w:tc>
          <w:tcPr>
            <w:tcW w:w="849" w:type="pct"/>
          </w:tcPr>
          <w:p w14:paraId="28294A19" w14:textId="77777777" w:rsidR="00493A7B" w:rsidRPr="007D2017" w:rsidRDefault="00493A7B" w:rsidP="00D46D79">
            <w:pPr>
              <w:pStyle w:val="TableBodyText"/>
            </w:pPr>
            <w:r w:rsidRPr="007D2017">
              <w:t>Female</w:t>
            </w:r>
          </w:p>
        </w:tc>
        <w:tc>
          <w:tcPr>
            <w:tcW w:w="624" w:type="pct"/>
          </w:tcPr>
          <w:p w14:paraId="530C6E2F" w14:textId="77777777" w:rsidR="00493A7B" w:rsidRPr="007D2017" w:rsidRDefault="00493A7B" w:rsidP="004033CA">
            <w:pPr>
              <w:pStyle w:val="TableBodyText"/>
              <w:jc w:val="right"/>
            </w:pPr>
            <w:r w:rsidRPr="007D2017">
              <w:t>464</w:t>
            </w:r>
          </w:p>
        </w:tc>
        <w:tc>
          <w:tcPr>
            <w:tcW w:w="578" w:type="pct"/>
          </w:tcPr>
          <w:p w14:paraId="1EEBD765" w14:textId="77777777" w:rsidR="00493A7B" w:rsidRPr="007D2017" w:rsidRDefault="00493A7B" w:rsidP="004033CA">
            <w:pPr>
              <w:pStyle w:val="TableBodyText"/>
              <w:jc w:val="right"/>
            </w:pPr>
            <w:r w:rsidRPr="007D2017">
              <w:t>414</w:t>
            </w:r>
          </w:p>
        </w:tc>
        <w:tc>
          <w:tcPr>
            <w:tcW w:w="624" w:type="pct"/>
          </w:tcPr>
          <w:p w14:paraId="58B2FAC2" w14:textId="77777777" w:rsidR="00493A7B" w:rsidRPr="007D2017" w:rsidRDefault="00493A7B" w:rsidP="004033CA">
            <w:pPr>
              <w:pStyle w:val="TableBodyText"/>
              <w:jc w:val="right"/>
            </w:pPr>
            <w:r w:rsidRPr="007D2017">
              <w:t>277</w:t>
            </w:r>
          </w:p>
        </w:tc>
        <w:tc>
          <w:tcPr>
            <w:tcW w:w="624" w:type="pct"/>
          </w:tcPr>
          <w:p w14:paraId="654ABFBD" w14:textId="77777777" w:rsidR="00493A7B" w:rsidRPr="007D2017" w:rsidRDefault="00493A7B" w:rsidP="004033CA">
            <w:pPr>
              <w:pStyle w:val="TableBodyText"/>
              <w:jc w:val="right"/>
            </w:pPr>
            <w:r w:rsidRPr="007D2017">
              <w:t>141</w:t>
            </w:r>
          </w:p>
        </w:tc>
        <w:tc>
          <w:tcPr>
            <w:tcW w:w="456" w:type="pct"/>
          </w:tcPr>
          <w:p w14:paraId="7FAA98A3" w14:textId="77777777" w:rsidR="00493A7B" w:rsidRPr="007D2017" w:rsidRDefault="00493A7B" w:rsidP="004033CA">
            <w:pPr>
              <w:pStyle w:val="TableBodyText"/>
              <w:jc w:val="right"/>
            </w:pPr>
            <w:r w:rsidRPr="007D2017">
              <w:t>379</w:t>
            </w:r>
          </w:p>
        </w:tc>
        <w:tc>
          <w:tcPr>
            <w:tcW w:w="624" w:type="pct"/>
          </w:tcPr>
          <w:p w14:paraId="4EAEA365" w14:textId="77777777" w:rsidR="00493A7B" w:rsidRPr="007D2017" w:rsidRDefault="00493A7B" w:rsidP="004033CA">
            <w:pPr>
              <w:pStyle w:val="TableBodyText"/>
              <w:jc w:val="right"/>
            </w:pPr>
            <w:r w:rsidRPr="007D2017">
              <w:t>46</w:t>
            </w:r>
          </w:p>
        </w:tc>
        <w:tc>
          <w:tcPr>
            <w:tcW w:w="621" w:type="pct"/>
          </w:tcPr>
          <w:p w14:paraId="1CBF2F0A" w14:textId="77777777" w:rsidR="00493A7B" w:rsidRPr="007D2017" w:rsidRDefault="00493A7B" w:rsidP="004033CA">
            <w:pPr>
              <w:pStyle w:val="TableBodyText"/>
              <w:jc w:val="right"/>
            </w:pPr>
            <w:r w:rsidRPr="007D2017">
              <w:t>35</w:t>
            </w:r>
          </w:p>
        </w:tc>
      </w:tr>
      <w:tr w:rsidR="00D46D79" w:rsidRPr="007D2017" w14:paraId="17612D8B" w14:textId="77777777" w:rsidTr="004033CA">
        <w:trPr>
          <w:trHeight w:val="20"/>
        </w:trPr>
        <w:tc>
          <w:tcPr>
            <w:tcW w:w="849" w:type="pct"/>
          </w:tcPr>
          <w:p w14:paraId="52F69937" w14:textId="77777777" w:rsidR="00493A7B" w:rsidRPr="007D2017" w:rsidRDefault="00493A7B" w:rsidP="00D46D79">
            <w:pPr>
              <w:pStyle w:val="TableBodyText"/>
            </w:pPr>
            <w:r w:rsidRPr="007D2017">
              <w:t>Self described</w:t>
            </w:r>
          </w:p>
        </w:tc>
        <w:tc>
          <w:tcPr>
            <w:tcW w:w="624" w:type="pct"/>
          </w:tcPr>
          <w:p w14:paraId="5960B12A" w14:textId="77777777" w:rsidR="00493A7B" w:rsidRPr="007D2017" w:rsidRDefault="00493A7B" w:rsidP="004033CA">
            <w:pPr>
              <w:pStyle w:val="TableBodyText"/>
              <w:jc w:val="right"/>
            </w:pPr>
            <w:r w:rsidRPr="007D2017">
              <w:t>1</w:t>
            </w:r>
          </w:p>
        </w:tc>
        <w:tc>
          <w:tcPr>
            <w:tcW w:w="578" w:type="pct"/>
          </w:tcPr>
          <w:p w14:paraId="6D797E75" w14:textId="77777777" w:rsidR="00493A7B" w:rsidRPr="007D2017" w:rsidRDefault="00493A7B" w:rsidP="004033CA">
            <w:pPr>
              <w:pStyle w:val="TableBodyText"/>
              <w:jc w:val="right"/>
            </w:pPr>
            <w:r w:rsidRPr="007D2017">
              <w:t>1</w:t>
            </w:r>
          </w:p>
        </w:tc>
        <w:tc>
          <w:tcPr>
            <w:tcW w:w="624" w:type="pct"/>
          </w:tcPr>
          <w:p w14:paraId="68F5456A" w14:textId="77777777" w:rsidR="00493A7B" w:rsidRPr="007D2017" w:rsidRDefault="00493A7B" w:rsidP="004033CA">
            <w:pPr>
              <w:pStyle w:val="TableBodyText"/>
              <w:jc w:val="right"/>
            </w:pPr>
          </w:p>
        </w:tc>
        <w:tc>
          <w:tcPr>
            <w:tcW w:w="624" w:type="pct"/>
          </w:tcPr>
          <w:p w14:paraId="2474D78A" w14:textId="77777777" w:rsidR="00493A7B" w:rsidRPr="007D2017" w:rsidRDefault="00493A7B" w:rsidP="004033CA">
            <w:pPr>
              <w:pStyle w:val="TableBodyText"/>
              <w:jc w:val="right"/>
            </w:pPr>
          </w:p>
        </w:tc>
        <w:tc>
          <w:tcPr>
            <w:tcW w:w="456" w:type="pct"/>
          </w:tcPr>
          <w:p w14:paraId="317D8F6B" w14:textId="77777777" w:rsidR="00493A7B" w:rsidRPr="007D2017" w:rsidRDefault="00493A7B" w:rsidP="004033CA">
            <w:pPr>
              <w:pStyle w:val="TableBodyText"/>
              <w:jc w:val="right"/>
            </w:pPr>
          </w:p>
        </w:tc>
        <w:tc>
          <w:tcPr>
            <w:tcW w:w="624" w:type="pct"/>
          </w:tcPr>
          <w:p w14:paraId="38F3BDE2" w14:textId="77777777" w:rsidR="00493A7B" w:rsidRPr="007D2017" w:rsidRDefault="00493A7B" w:rsidP="004033CA">
            <w:pPr>
              <w:pStyle w:val="TableBodyText"/>
              <w:jc w:val="right"/>
            </w:pPr>
            <w:r w:rsidRPr="007D2017">
              <w:t>1</w:t>
            </w:r>
          </w:p>
        </w:tc>
        <w:tc>
          <w:tcPr>
            <w:tcW w:w="621" w:type="pct"/>
          </w:tcPr>
          <w:p w14:paraId="79C861E9" w14:textId="77777777" w:rsidR="00493A7B" w:rsidRPr="007D2017" w:rsidRDefault="00493A7B" w:rsidP="004033CA">
            <w:pPr>
              <w:pStyle w:val="TableBodyText"/>
              <w:jc w:val="right"/>
            </w:pPr>
            <w:r w:rsidRPr="007D2017">
              <w:t>1</w:t>
            </w:r>
          </w:p>
        </w:tc>
      </w:tr>
      <w:tr w:rsidR="007E689B" w:rsidRPr="007D2017" w14:paraId="74F61E70" w14:textId="77777777" w:rsidTr="004033CA">
        <w:trPr>
          <w:trHeight w:val="20"/>
        </w:trPr>
        <w:tc>
          <w:tcPr>
            <w:tcW w:w="849" w:type="pct"/>
          </w:tcPr>
          <w:p w14:paraId="72BAA02F" w14:textId="1C603AD4" w:rsidR="007E689B" w:rsidRPr="00D46D79" w:rsidRDefault="007E689B" w:rsidP="007E689B">
            <w:pPr>
              <w:pStyle w:val="TableBodyText"/>
              <w:rPr>
                <w:rStyle w:val="Bold"/>
              </w:rPr>
            </w:pPr>
            <w:r w:rsidRPr="00D46D79">
              <w:rPr>
                <w:rStyle w:val="Bold"/>
              </w:rPr>
              <w:t>Demographic Data - Age</w:t>
            </w:r>
          </w:p>
        </w:tc>
        <w:tc>
          <w:tcPr>
            <w:tcW w:w="624" w:type="pct"/>
          </w:tcPr>
          <w:p w14:paraId="7CA01AB7" w14:textId="1619C05F" w:rsidR="007E689B" w:rsidRPr="007D2017" w:rsidRDefault="007E689B" w:rsidP="004033CA">
            <w:pPr>
              <w:pStyle w:val="TableBodyText"/>
              <w:jc w:val="right"/>
            </w:pPr>
            <w:r w:rsidRPr="00C54CA5">
              <w:t>N/A</w:t>
            </w:r>
          </w:p>
        </w:tc>
        <w:tc>
          <w:tcPr>
            <w:tcW w:w="578" w:type="pct"/>
          </w:tcPr>
          <w:p w14:paraId="252DD133" w14:textId="74F5C557" w:rsidR="007E689B" w:rsidRPr="007D2017" w:rsidRDefault="007E689B" w:rsidP="004033CA">
            <w:pPr>
              <w:pStyle w:val="TableBodyText"/>
              <w:jc w:val="right"/>
            </w:pPr>
            <w:r w:rsidRPr="00C54CA5">
              <w:t>N/A</w:t>
            </w:r>
          </w:p>
        </w:tc>
        <w:tc>
          <w:tcPr>
            <w:tcW w:w="624" w:type="pct"/>
          </w:tcPr>
          <w:p w14:paraId="69BF4899" w14:textId="13A089BA" w:rsidR="007E689B" w:rsidRPr="007D2017" w:rsidRDefault="007E689B" w:rsidP="004033CA">
            <w:pPr>
              <w:pStyle w:val="TableBodyText"/>
              <w:jc w:val="right"/>
            </w:pPr>
            <w:r w:rsidRPr="00C54CA5">
              <w:t>N/A</w:t>
            </w:r>
          </w:p>
        </w:tc>
        <w:tc>
          <w:tcPr>
            <w:tcW w:w="624" w:type="pct"/>
          </w:tcPr>
          <w:p w14:paraId="6A5102D3" w14:textId="10D0666F" w:rsidR="007E689B" w:rsidRPr="007D2017" w:rsidRDefault="007E689B" w:rsidP="004033CA">
            <w:pPr>
              <w:pStyle w:val="TableBodyText"/>
              <w:jc w:val="right"/>
            </w:pPr>
            <w:r w:rsidRPr="00C54CA5">
              <w:t>N/A</w:t>
            </w:r>
          </w:p>
        </w:tc>
        <w:tc>
          <w:tcPr>
            <w:tcW w:w="456" w:type="pct"/>
          </w:tcPr>
          <w:p w14:paraId="40E65269" w14:textId="25F67D34" w:rsidR="007E689B" w:rsidRPr="007D2017" w:rsidRDefault="007E689B" w:rsidP="004033CA">
            <w:pPr>
              <w:pStyle w:val="TableBodyText"/>
              <w:jc w:val="right"/>
            </w:pPr>
            <w:r w:rsidRPr="00C54CA5">
              <w:t>N/A</w:t>
            </w:r>
          </w:p>
        </w:tc>
        <w:tc>
          <w:tcPr>
            <w:tcW w:w="624" w:type="pct"/>
          </w:tcPr>
          <w:p w14:paraId="5EF4665A" w14:textId="7C2DF54D" w:rsidR="007E689B" w:rsidRPr="007D2017" w:rsidRDefault="007E689B" w:rsidP="004033CA">
            <w:pPr>
              <w:pStyle w:val="TableBodyText"/>
              <w:jc w:val="right"/>
            </w:pPr>
            <w:r w:rsidRPr="00C54CA5">
              <w:t>N/A</w:t>
            </w:r>
          </w:p>
        </w:tc>
        <w:tc>
          <w:tcPr>
            <w:tcW w:w="621" w:type="pct"/>
          </w:tcPr>
          <w:p w14:paraId="61076D39" w14:textId="0A287AC5" w:rsidR="007E689B" w:rsidRPr="007D2017" w:rsidRDefault="007E689B" w:rsidP="004033CA">
            <w:pPr>
              <w:pStyle w:val="TableBodyText"/>
              <w:jc w:val="right"/>
            </w:pPr>
            <w:r w:rsidRPr="00C54CA5">
              <w:t>N/A</w:t>
            </w:r>
          </w:p>
        </w:tc>
      </w:tr>
      <w:tr w:rsidR="00D46D79" w:rsidRPr="007D2017" w14:paraId="251D09BD" w14:textId="77777777" w:rsidTr="004033CA">
        <w:trPr>
          <w:trHeight w:val="20"/>
        </w:trPr>
        <w:tc>
          <w:tcPr>
            <w:tcW w:w="849" w:type="pct"/>
          </w:tcPr>
          <w:p w14:paraId="20595AD1" w14:textId="77777777" w:rsidR="00493A7B" w:rsidRPr="007D2017" w:rsidRDefault="00493A7B" w:rsidP="00D46D79">
            <w:pPr>
              <w:pStyle w:val="TableBodyText"/>
            </w:pPr>
            <w:r w:rsidRPr="007D2017">
              <w:t>Under 25</w:t>
            </w:r>
          </w:p>
        </w:tc>
        <w:tc>
          <w:tcPr>
            <w:tcW w:w="624" w:type="pct"/>
          </w:tcPr>
          <w:p w14:paraId="085A661C" w14:textId="77777777" w:rsidR="00493A7B" w:rsidRPr="007D2017" w:rsidRDefault="00493A7B" w:rsidP="004033CA">
            <w:pPr>
              <w:pStyle w:val="TableBodyText"/>
              <w:jc w:val="right"/>
            </w:pPr>
            <w:r w:rsidRPr="007D2017">
              <w:t>36</w:t>
            </w:r>
          </w:p>
        </w:tc>
        <w:tc>
          <w:tcPr>
            <w:tcW w:w="578" w:type="pct"/>
          </w:tcPr>
          <w:p w14:paraId="56FC8B15" w14:textId="77777777" w:rsidR="00493A7B" w:rsidRPr="007D2017" w:rsidRDefault="00493A7B" w:rsidP="004033CA">
            <w:pPr>
              <w:pStyle w:val="TableBodyText"/>
              <w:jc w:val="right"/>
            </w:pPr>
            <w:r w:rsidRPr="007D2017">
              <w:t>31</w:t>
            </w:r>
          </w:p>
        </w:tc>
        <w:tc>
          <w:tcPr>
            <w:tcW w:w="624" w:type="pct"/>
          </w:tcPr>
          <w:p w14:paraId="43D8D175" w14:textId="77777777" w:rsidR="00493A7B" w:rsidRPr="007D2017" w:rsidRDefault="00493A7B" w:rsidP="004033CA">
            <w:pPr>
              <w:pStyle w:val="TableBodyText"/>
              <w:jc w:val="right"/>
            </w:pPr>
            <w:r w:rsidRPr="007D2017">
              <w:t>19</w:t>
            </w:r>
          </w:p>
        </w:tc>
        <w:tc>
          <w:tcPr>
            <w:tcW w:w="624" w:type="pct"/>
          </w:tcPr>
          <w:p w14:paraId="6FE83B8F" w14:textId="3D4E68FC" w:rsidR="00493A7B" w:rsidRPr="007D2017" w:rsidRDefault="00D46D79" w:rsidP="004033CA">
            <w:pPr>
              <w:pStyle w:val="TableBodyText"/>
              <w:jc w:val="right"/>
            </w:pPr>
            <w:r>
              <w:t>N/A</w:t>
            </w:r>
          </w:p>
        </w:tc>
        <w:tc>
          <w:tcPr>
            <w:tcW w:w="456" w:type="pct"/>
          </w:tcPr>
          <w:p w14:paraId="67D99DFB" w14:textId="77777777" w:rsidR="00493A7B" w:rsidRPr="007D2017" w:rsidRDefault="00493A7B" w:rsidP="004033CA">
            <w:pPr>
              <w:pStyle w:val="TableBodyText"/>
              <w:jc w:val="right"/>
            </w:pPr>
            <w:r w:rsidRPr="007D2017">
              <w:t>19</w:t>
            </w:r>
          </w:p>
        </w:tc>
        <w:tc>
          <w:tcPr>
            <w:tcW w:w="624" w:type="pct"/>
          </w:tcPr>
          <w:p w14:paraId="529837E8" w14:textId="77777777" w:rsidR="00493A7B" w:rsidRPr="007D2017" w:rsidRDefault="00493A7B" w:rsidP="004033CA">
            <w:pPr>
              <w:pStyle w:val="TableBodyText"/>
              <w:jc w:val="right"/>
            </w:pPr>
            <w:r w:rsidRPr="007D2017">
              <w:t>17</w:t>
            </w:r>
          </w:p>
        </w:tc>
        <w:tc>
          <w:tcPr>
            <w:tcW w:w="621" w:type="pct"/>
          </w:tcPr>
          <w:p w14:paraId="528DCDCD" w14:textId="77777777" w:rsidR="00493A7B" w:rsidRPr="007D2017" w:rsidRDefault="00493A7B" w:rsidP="004033CA">
            <w:pPr>
              <w:pStyle w:val="TableBodyText"/>
              <w:jc w:val="right"/>
            </w:pPr>
            <w:r w:rsidRPr="007D2017">
              <w:t>12</w:t>
            </w:r>
          </w:p>
        </w:tc>
      </w:tr>
      <w:tr w:rsidR="00D46D79" w:rsidRPr="007D2017" w14:paraId="636F74A0" w14:textId="77777777" w:rsidTr="004033CA">
        <w:trPr>
          <w:trHeight w:val="20"/>
        </w:trPr>
        <w:tc>
          <w:tcPr>
            <w:tcW w:w="849" w:type="pct"/>
          </w:tcPr>
          <w:p w14:paraId="660B7073" w14:textId="77777777" w:rsidR="00493A7B" w:rsidRPr="007D2017" w:rsidRDefault="00493A7B" w:rsidP="00D46D79">
            <w:pPr>
              <w:pStyle w:val="TableBodyText"/>
            </w:pPr>
            <w:r w:rsidRPr="007D2017">
              <w:t>25-34</w:t>
            </w:r>
          </w:p>
        </w:tc>
        <w:tc>
          <w:tcPr>
            <w:tcW w:w="624" w:type="pct"/>
          </w:tcPr>
          <w:p w14:paraId="5FE5CEFB" w14:textId="77777777" w:rsidR="00493A7B" w:rsidRPr="007D2017" w:rsidRDefault="00493A7B" w:rsidP="004033CA">
            <w:pPr>
              <w:pStyle w:val="TableBodyText"/>
              <w:jc w:val="right"/>
            </w:pPr>
            <w:r w:rsidRPr="007D2017">
              <w:t>280</w:t>
            </w:r>
          </w:p>
        </w:tc>
        <w:tc>
          <w:tcPr>
            <w:tcW w:w="578" w:type="pct"/>
          </w:tcPr>
          <w:p w14:paraId="0E425FE8" w14:textId="77777777" w:rsidR="00493A7B" w:rsidRPr="007D2017" w:rsidRDefault="00493A7B" w:rsidP="004033CA">
            <w:pPr>
              <w:pStyle w:val="TableBodyText"/>
              <w:jc w:val="right"/>
            </w:pPr>
            <w:r w:rsidRPr="007D2017">
              <w:t>272</w:t>
            </w:r>
          </w:p>
        </w:tc>
        <w:tc>
          <w:tcPr>
            <w:tcW w:w="624" w:type="pct"/>
          </w:tcPr>
          <w:p w14:paraId="23661043" w14:textId="77777777" w:rsidR="00493A7B" w:rsidRPr="007D2017" w:rsidRDefault="00493A7B" w:rsidP="004033CA">
            <w:pPr>
              <w:pStyle w:val="TableBodyText"/>
              <w:jc w:val="right"/>
            </w:pPr>
            <w:r w:rsidRPr="007D2017">
              <w:t>228</w:t>
            </w:r>
          </w:p>
        </w:tc>
        <w:tc>
          <w:tcPr>
            <w:tcW w:w="624" w:type="pct"/>
          </w:tcPr>
          <w:p w14:paraId="1D8AB109" w14:textId="77777777" w:rsidR="00493A7B" w:rsidRPr="007D2017" w:rsidRDefault="00493A7B" w:rsidP="004033CA">
            <w:pPr>
              <w:pStyle w:val="TableBodyText"/>
              <w:jc w:val="right"/>
            </w:pPr>
            <w:r w:rsidRPr="007D2017">
              <w:t>16</w:t>
            </w:r>
          </w:p>
        </w:tc>
        <w:tc>
          <w:tcPr>
            <w:tcW w:w="456" w:type="pct"/>
          </w:tcPr>
          <w:p w14:paraId="6CB65FD0" w14:textId="77777777" w:rsidR="00493A7B" w:rsidRPr="007D2017" w:rsidRDefault="00493A7B" w:rsidP="004033CA">
            <w:pPr>
              <w:pStyle w:val="TableBodyText"/>
              <w:jc w:val="right"/>
            </w:pPr>
            <w:r w:rsidRPr="007D2017">
              <w:t>240</w:t>
            </w:r>
          </w:p>
        </w:tc>
        <w:tc>
          <w:tcPr>
            <w:tcW w:w="624" w:type="pct"/>
          </w:tcPr>
          <w:p w14:paraId="2B869B96" w14:textId="77777777" w:rsidR="00493A7B" w:rsidRPr="007D2017" w:rsidRDefault="00493A7B" w:rsidP="004033CA">
            <w:pPr>
              <w:pStyle w:val="TableBodyText"/>
              <w:jc w:val="right"/>
            </w:pPr>
            <w:r w:rsidRPr="007D2017">
              <w:t>36</w:t>
            </w:r>
          </w:p>
        </w:tc>
        <w:tc>
          <w:tcPr>
            <w:tcW w:w="621" w:type="pct"/>
          </w:tcPr>
          <w:p w14:paraId="660B880E" w14:textId="77777777" w:rsidR="00493A7B" w:rsidRPr="007D2017" w:rsidRDefault="00493A7B" w:rsidP="004033CA">
            <w:pPr>
              <w:pStyle w:val="TableBodyText"/>
              <w:jc w:val="right"/>
            </w:pPr>
            <w:r w:rsidRPr="007D2017">
              <w:t>33</w:t>
            </w:r>
          </w:p>
        </w:tc>
      </w:tr>
      <w:tr w:rsidR="00D46D79" w:rsidRPr="007D2017" w14:paraId="43E86977" w14:textId="77777777" w:rsidTr="004033CA">
        <w:trPr>
          <w:trHeight w:val="20"/>
        </w:trPr>
        <w:tc>
          <w:tcPr>
            <w:tcW w:w="849" w:type="pct"/>
          </w:tcPr>
          <w:p w14:paraId="45D9FB69" w14:textId="77777777" w:rsidR="00493A7B" w:rsidRPr="007D2017" w:rsidRDefault="00493A7B" w:rsidP="00D46D79">
            <w:pPr>
              <w:pStyle w:val="TableBodyText"/>
            </w:pPr>
            <w:r w:rsidRPr="007D2017">
              <w:t>35-44</w:t>
            </w:r>
          </w:p>
        </w:tc>
        <w:tc>
          <w:tcPr>
            <w:tcW w:w="624" w:type="pct"/>
          </w:tcPr>
          <w:p w14:paraId="568ECA74" w14:textId="77777777" w:rsidR="00493A7B" w:rsidRPr="007D2017" w:rsidRDefault="00493A7B" w:rsidP="004033CA">
            <w:pPr>
              <w:pStyle w:val="TableBodyText"/>
              <w:jc w:val="right"/>
            </w:pPr>
            <w:r w:rsidRPr="007D2017">
              <w:t>432</w:t>
            </w:r>
          </w:p>
        </w:tc>
        <w:tc>
          <w:tcPr>
            <w:tcW w:w="578" w:type="pct"/>
          </w:tcPr>
          <w:p w14:paraId="3EF99FC7" w14:textId="77777777" w:rsidR="00493A7B" w:rsidRPr="007D2017" w:rsidRDefault="00493A7B" w:rsidP="004033CA">
            <w:pPr>
              <w:pStyle w:val="TableBodyText"/>
              <w:jc w:val="right"/>
            </w:pPr>
            <w:r w:rsidRPr="007D2017">
              <w:t>400</w:t>
            </w:r>
          </w:p>
        </w:tc>
        <w:tc>
          <w:tcPr>
            <w:tcW w:w="624" w:type="pct"/>
          </w:tcPr>
          <w:p w14:paraId="097374C1" w14:textId="77777777" w:rsidR="00493A7B" w:rsidRPr="007D2017" w:rsidRDefault="00493A7B" w:rsidP="004033CA">
            <w:pPr>
              <w:pStyle w:val="TableBodyText"/>
              <w:jc w:val="right"/>
            </w:pPr>
            <w:r w:rsidRPr="007D2017">
              <w:t>294</w:t>
            </w:r>
          </w:p>
        </w:tc>
        <w:tc>
          <w:tcPr>
            <w:tcW w:w="624" w:type="pct"/>
          </w:tcPr>
          <w:p w14:paraId="2D52D353" w14:textId="77777777" w:rsidR="00493A7B" w:rsidRPr="007D2017" w:rsidRDefault="00493A7B" w:rsidP="004033CA">
            <w:pPr>
              <w:pStyle w:val="TableBodyText"/>
              <w:jc w:val="right"/>
            </w:pPr>
            <w:r w:rsidRPr="007D2017">
              <w:t>102</w:t>
            </w:r>
          </w:p>
        </w:tc>
        <w:tc>
          <w:tcPr>
            <w:tcW w:w="456" w:type="pct"/>
          </w:tcPr>
          <w:p w14:paraId="5D81EE5E" w14:textId="77777777" w:rsidR="00493A7B" w:rsidRPr="007D2017" w:rsidRDefault="00493A7B" w:rsidP="004033CA">
            <w:pPr>
              <w:pStyle w:val="TableBodyText"/>
              <w:jc w:val="right"/>
            </w:pPr>
            <w:r w:rsidRPr="007D2017">
              <w:t>370</w:t>
            </w:r>
          </w:p>
        </w:tc>
        <w:tc>
          <w:tcPr>
            <w:tcW w:w="624" w:type="pct"/>
          </w:tcPr>
          <w:p w14:paraId="5CA27678" w14:textId="77777777" w:rsidR="00493A7B" w:rsidRPr="007D2017" w:rsidRDefault="00493A7B" w:rsidP="004033CA">
            <w:pPr>
              <w:pStyle w:val="TableBodyText"/>
              <w:jc w:val="right"/>
            </w:pPr>
            <w:r w:rsidRPr="007D2017">
              <w:t>36</w:t>
            </w:r>
          </w:p>
        </w:tc>
        <w:tc>
          <w:tcPr>
            <w:tcW w:w="621" w:type="pct"/>
          </w:tcPr>
          <w:p w14:paraId="5FA7D021" w14:textId="77777777" w:rsidR="00493A7B" w:rsidRPr="007D2017" w:rsidRDefault="00493A7B" w:rsidP="004033CA">
            <w:pPr>
              <w:pStyle w:val="TableBodyText"/>
              <w:jc w:val="right"/>
            </w:pPr>
            <w:r w:rsidRPr="007D2017">
              <w:t>30</w:t>
            </w:r>
          </w:p>
        </w:tc>
      </w:tr>
      <w:tr w:rsidR="00D46D79" w:rsidRPr="007D2017" w14:paraId="507869B7" w14:textId="77777777" w:rsidTr="004033CA">
        <w:trPr>
          <w:trHeight w:val="20"/>
        </w:trPr>
        <w:tc>
          <w:tcPr>
            <w:tcW w:w="849" w:type="pct"/>
          </w:tcPr>
          <w:p w14:paraId="4622CE26" w14:textId="77777777" w:rsidR="00493A7B" w:rsidRPr="007D2017" w:rsidRDefault="00493A7B" w:rsidP="00D46D79">
            <w:pPr>
              <w:pStyle w:val="TableBodyText"/>
            </w:pPr>
            <w:r w:rsidRPr="007D2017">
              <w:t>45-54</w:t>
            </w:r>
          </w:p>
        </w:tc>
        <w:tc>
          <w:tcPr>
            <w:tcW w:w="624" w:type="pct"/>
          </w:tcPr>
          <w:p w14:paraId="404B726E" w14:textId="77777777" w:rsidR="00493A7B" w:rsidRPr="007D2017" w:rsidRDefault="00493A7B" w:rsidP="004033CA">
            <w:pPr>
              <w:pStyle w:val="TableBodyText"/>
              <w:jc w:val="right"/>
            </w:pPr>
            <w:r w:rsidRPr="007D2017">
              <w:t>272</w:t>
            </w:r>
          </w:p>
        </w:tc>
        <w:tc>
          <w:tcPr>
            <w:tcW w:w="578" w:type="pct"/>
          </w:tcPr>
          <w:p w14:paraId="2971ABA5" w14:textId="77777777" w:rsidR="00493A7B" w:rsidRPr="007D2017" w:rsidRDefault="00493A7B" w:rsidP="004033CA">
            <w:pPr>
              <w:pStyle w:val="TableBodyText"/>
              <w:jc w:val="right"/>
            </w:pPr>
            <w:r w:rsidRPr="007D2017">
              <w:t>261</w:t>
            </w:r>
          </w:p>
        </w:tc>
        <w:tc>
          <w:tcPr>
            <w:tcW w:w="624" w:type="pct"/>
          </w:tcPr>
          <w:p w14:paraId="08D2AFF0" w14:textId="77777777" w:rsidR="00493A7B" w:rsidRPr="007D2017" w:rsidRDefault="00493A7B" w:rsidP="004033CA">
            <w:pPr>
              <w:pStyle w:val="TableBodyText"/>
              <w:jc w:val="right"/>
            </w:pPr>
            <w:r w:rsidRPr="007D2017">
              <w:t>213</w:t>
            </w:r>
          </w:p>
        </w:tc>
        <w:tc>
          <w:tcPr>
            <w:tcW w:w="624" w:type="pct"/>
          </w:tcPr>
          <w:p w14:paraId="15B4393F" w14:textId="77777777" w:rsidR="00493A7B" w:rsidRPr="007D2017" w:rsidRDefault="00493A7B" w:rsidP="004033CA">
            <w:pPr>
              <w:pStyle w:val="TableBodyText"/>
              <w:jc w:val="right"/>
            </w:pPr>
            <w:r w:rsidRPr="007D2017">
              <w:t>48</w:t>
            </w:r>
          </w:p>
        </w:tc>
        <w:tc>
          <w:tcPr>
            <w:tcW w:w="456" w:type="pct"/>
          </w:tcPr>
          <w:p w14:paraId="3E04DC0F" w14:textId="77777777" w:rsidR="00493A7B" w:rsidRPr="007D2017" w:rsidRDefault="00493A7B" w:rsidP="004033CA">
            <w:pPr>
              <w:pStyle w:val="TableBodyText"/>
              <w:jc w:val="right"/>
            </w:pPr>
            <w:r w:rsidRPr="007D2017">
              <w:t>251</w:t>
            </w:r>
          </w:p>
        </w:tc>
        <w:tc>
          <w:tcPr>
            <w:tcW w:w="624" w:type="pct"/>
          </w:tcPr>
          <w:p w14:paraId="5B7B11CD" w14:textId="77777777" w:rsidR="00493A7B" w:rsidRPr="007D2017" w:rsidRDefault="00493A7B" w:rsidP="004033CA">
            <w:pPr>
              <w:pStyle w:val="TableBodyText"/>
              <w:jc w:val="right"/>
            </w:pPr>
            <w:r w:rsidRPr="007D2017">
              <w:t>11</w:t>
            </w:r>
          </w:p>
        </w:tc>
        <w:tc>
          <w:tcPr>
            <w:tcW w:w="621" w:type="pct"/>
          </w:tcPr>
          <w:p w14:paraId="1B66C3F6" w14:textId="77777777" w:rsidR="00493A7B" w:rsidRPr="007D2017" w:rsidRDefault="00493A7B" w:rsidP="004033CA">
            <w:pPr>
              <w:pStyle w:val="TableBodyText"/>
              <w:jc w:val="right"/>
            </w:pPr>
            <w:r w:rsidRPr="007D2017">
              <w:t>9</w:t>
            </w:r>
          </w:p>
        </w:tc>
      </w:tr>
      <w:tr w:rsidR="00D46D79" w:rsidRPr="007D2017" w14:paraId="5BD46F5A" w14:textId="77777777" w:rsidTr="004033CA">
        <w:trPr>
          <w:trHeight w:val="20"/>
        </w:trPr>
        <w:tc>
          <w:tcPr>
            <w:tcW w:w="849" w:type="pct"/>
          </w:tcPr>
          <w:p w14:paraId="367C77E9" w14:textId="77777777" w:rsidR="00493A7B" w:rsidRPr="007D2017" w:rsidRDefault="00493A7B" w:rsidP="00D46D79">
            <w:pPr>
              <w:pStyle w:val="TableBodyText"/>
            </w:pPr>
            <w:r w:rsidRPr="007D2017">
              <w:t>55-64</w:t>
            </w:r>
          </w:p>
        </w:tc>
        <w:tc>
          <w:tcPr>
            <w:tcW w:w="624" w:type="pct"/>
          </w:tcPr>
          <w:p w14:paraId="6010E4BC" w14:textId="77777777" w:rsidR="00493A7B" w:rsidRPr="007D2017" w:rsidRDefault="00493A7B" w:rsidP="004033CA">
            <w:pPr>
              <w:pStyle w:val="TableBodyText"/>
              <w:jc w:val="right"/>
            </w:pPr>
            <w:r w:rsidRPr="007D2017">
              <w:t>151</w:t>
            </w:r>
          </w:p>
        </w:tc>
        <w:tc>
          <w:tcPr>
            <w:tcW w:w="578" w:type="pct"/>
          </w:tcPr>
          <w:p w14:paraId="0323D7E4" w14:textId="77777777" w:rsidR="00493A7B" w:rsidRPr="007D2017" w:rsidRDefault="00493A7B" w:rsidP="004033CA">
            <w:pPr>
              <w:pStyle w:val="TableBodyText"/>
              <w:jc w:val="right"/>
            </w:pPr>
            <w:r w:rsidRPr="007D2017">
              <w:t>144</w:t>
            </w:r>
          </w:p>
        </w:tc>
        <w:tc>
          <w:tcPr>
            <w:tcW w:w="624" w:type="pct"/>
          </w:tcPr>
          <w:p w14:paraId="111E0645" w14:textId="77777777" w:rsidR="00493A7B" w:rsidRPr="007D2017" w:rsidRDefault="00493A7B" w:rsidP="004033CA">
            <w:pPr>
              <w:pStyle w:val="TableBodyText"/>
              <w:jc w:val="right"/>
            </w:pPr>
            <w:r w:rsidRPr="007D2017">
              <w:t>125</w:t>
            </w:r>
          </w:p>
        </w:tc>
        <w:tc>
          <w:tcPr>
            <w:tcW w:w="624" w:type="pct"/>
          </w:tcPr>
          <w:p w14:paraId="47E340A3" w14:textId="77777777" w:rsidR="00493A7B" w:rsidRPr="007D2017" w:rsidRDefault="00493A7B" w:rsidP="004033CA">
            <w:pPr>
              <w:pStyle w:val="TableBodyText"/>
              <w:jc w:val="right"/>
            </w:pPr>
            <w:r w:rsidRPr="007D2017">
              <w:t>16</w:t>
            </w:r>
          </w:p>
        </w:tc>
        <w:tc>
          <w:tcPr>
            <w:tcW w:w="456" w:type="pct"/>
          </w:tcPr>
          <w:p w14:paraId="74338733" w14:textId="77777777" w:rsidR="00493A7B" w:rsidRPr="007D2017" w:rsidRDefault="00493A7B" w:rsidP="004033CA">
            <w:pPr>
              <w:pStyle w:val="TableBodyText"/>
              <w:jc w:val="right"/>
            </w:pPr>
            <w:r w:rsidRPr="007D2017">
              <w:t>138</w:t>
            </w:r>
          </w:p>
        </w:tc>
        <w:tc>
          <w:tcPr>
            <w:tcW w:w="624" w:type="pct"/>
          </w:tcPr>
          <w:p w14:paraId="77D6B57F" w14:textId="77777777" w:rsidR="00493A7B" w:rsidRPr="007D2017" w:rsidRDefault="00493A7B" w:rsidP="004033CA">
            <w:pPr>
              <w:pStyle w:val="TableBodyText"/>
              <w:jc w:val="right"/>
            </w:pPr>
            <w:r w:rsidRPr="007D2017">
              <w:t>10</w:t>
            </w:r>
          </w:p>
        </w:tc>
        <w:tc>
          <w:tcPr>
            <w:tcW w:w="621" w:type="pct"/>
          </w:tcPr>
          <w:p w14:paraId="02FDC0A7" w14:textId="77777777" w:rsidR="00493A7B" w:rsidRPr="007D2017" w:rsidRDefault="00493A7B" w:rsidP="004033CA">
            <w:pPr>
              <w:pStyle w:val="TableBodyText"/>
              <w:jc w:val="right"/>
            </w:pPr>
            <w:r w:rsidRPr="007D2017">
              <w:t>7</w:t>
            </w:r>
          </w:p>
        </w:tc>
      </w:tr>
      <w:tr w:rsidR="00D46D79" w:rsidRPr="007D2017" w14:paraId="1DE72B8D" w14:textId="77777777" w:rsidTr="004033CA">
        <w:trPr>
          <w:trHeight w:val="20"/>
        </w:trPr>
        <w:tc>
          <w:tcPr>
            <w:tcW w:w="849" w:type="pct"/>
          </w:tcPr>
          <w:p w14:paraId="7FC0C1BC" w14:textId="77777777" w:rsidR="00493A7B" w:rsidRPr="007D2017" w:rsidRDefault="00493A7B" w:rsidP="00D46D79">
            <w:pPr>
              <w:pStyle w:val="TableBodyText"/>
            </w:pPr>
            <w:r w:rsidRPr="007D2017">
              <w:t>Over 65</w:t>
            </w:r>
          </w:p>
        </w:tc>
        <w:tc>
          <w:tcPr>
            <w:tcW w:w="624" w:type="pct"/>
          </w:tcPr>
          <w:p w14:paraId="20D54BAD" w14:textId="77777777" w:rsidR="00493A7B" w:rsidRPr="007D2017" w:rsidRDefault="00493A7B" w:rsidP="004033CA">
            <w:pPr>
              <w:pStyle w:val="TableBodyText"/>
              <w:jc w:val="right"/>
            </w:pPr>
            <w:r w:rsidRPr="007D2017">
              <w:t>27</w:t>
            </w:r>
          </w:p>
        </w:tc>
        <w:tc>
          <w:tcPr>
            <w:tcW w:w="578" w:type="pct"/>
          </w:tcPr>
          <w:p w14:paraId="31C4E16C" w14:textId="77777777" w:rsidR="00493A7B" w:rsidRPr="007D2017" w:rsidRDefault="00493A7B" w:rsidP="004033CA">
            <w:pPr>
              <w:pStyle w:val="TableBodyText"/>
              <w:jc w:val="right"/>
            </w:pPr>
            <w:r w:rsidRPr="007D2017">
              <w:t>23</w:t>
            </w:r>
          </w:p>
        </w:tc>
        <w:tc>
          <w:tcPr>
            <w:tcW w:w="624" w:type="pct"/>
          </w:tcPr>
          <w:p w14:paraId="6908C133" w14:textId="77777777" w:rsidR="00493A7B" w:rsidRPr="007D2017" w:rsidRDefault="00493A7B" w:rsidP="004033CA">
            <w:pPr>
              <w:pStyle w:val="TableBodyText"/>
              <w:jc w:val="right"/>
            </w:pPr>
            <w:r w:rsidRPr="007D2017">
              <w:t>18</w:t>
            </w:r>
          </w:p>
        </w:tc>
        <w:tc>
          <w:tcPr>
            <w:tcW w:w="624" w:type="pct"/>
          </w:tcPr>
          <w:p w14:paraId="0FE8C0FC" w14:textId="77777777" w:rsidR="00493A7B" w:rsidRPr="007D2017" w:rsidRDefault="00493A7B" w:rsidP="004033CA">
            <w:pPr>
              <w:pStyle w:val="TableBodyText"/>
              <w:jc w:val="right"/>
            </w:pPr>
            <w:r w:rsidRPr="007D2017">
              <w:t>3</w:t>
            </w:r>
          </w:p>
        </w:tc>
        <w:tc>
          <w:tcPr>
            <w:tcW w:w="456" w:type="pct"/>
          </w:tcPr>
          <w:p w14:paraId="6F4035E5" w14:textId="77777777" w:rsidR="00493A7B" w:rsidRPr="007D2017" w:rsidRDefault="00493A7B" w:rsidP="004033CA">
            <w:pPr>
              <w:pStyle w:val="TableBodyText"/>
              <w:jc w:val="right"/>
            </w:pPr>
            <w:r w:rsidRPr="007D2017">
              <w:t>20</w:t>
            </w:r>
          </w:p>
        </w:tc>
        <w:tc>
          <w:tcPr>
            <w:tcW w:w="624" w:type="pct"/>
          </w:tcPr>
          <w:p w14:paraId="0D6094CB" w14:textId="77777777" w:rsidR="00493A7B" w:rsidRPr="007D2017" w:rsidRDefault="00493A7B" w:rsidP="004033CA">
            <w:pPr>
              <w:pStyle w:val="TableBodyText"/>
              <w:jc w:val="right"/>
            </w:pPr>
            <w:r w:rsidRPr="007D2017">
              <w:t>6</w:t>
            </w:r>
          </w:p>
        </w:tc>
        <w:tc>
          <w:tcPr>
            <w:tcW w:w="621" w:type="pct"/>
          </w:tcPr>
          <w:p w14:paraId="4D38FA4D" w14:textId="77777777" w:rsidR="00493A7B" w:rsidRPr="007D2017" w:rsidRDefault="00493A7B" w:rsidP="004033CA">
            <w:pPr>
              <w:pStyle w:val="TableBodyText"/>
              <w:jc w:val="right"/>
            </w:pPr>
            <w:r w:rsidRPr="007D2017">
              <w:t>2</w:t>
            </w:r>
          </w:p>
        </w:tc>
      </w:tr>
      <w:tr w:rsidR="007E689B" w:rsidRPr="007D2017" w14:paraId="5B46AE1B" w14:textId="77777777" w:rsidTr="004033CA">
        <w:trPr>
          <w:trHeight w:val="20"/>
        </w:trPr>
        <w:tc>
          <w:tcPr>
            <w:tcW w:w="849" w:type="pct"/>
          </w:tcPr>
          <w:p w14:paraId="487E6FF4" w14:textId="65A41DC5" w:rsidR="007E689B" w:rsidRPr="007E689B" w:rsidRDefault="007E689B" w:rsidP="007E689B">
            <w:pPr>
              <w:pStyle w:val="TableBodyText"/>
              <w:rPr>
                <w:rStyle w:val="Bold"/>
              </w:rPr>
            </w:pPr>
            <w:r w:rsidRPr="007E689B">
              <w:rPr>
                <w:rStyle w:val="Bold"/>
              </w:rPr>
              <w:lastRenderedPageBreak/>
              <w:t>Classification Data - Classification</w:t>
            </w:r>
          </w:p>
        </w:tc>
        <w:tc>
          <w:tcPr>
            <w:tcW w:w="624" w:type="pct"/>
          </w:tcPr>
          <w:p w14:paraId="3599B22B" w14:textId="5DF337CD" w:rsidR="007E689B" w:rsidRPr="007D2017" w:rsidRDefault="007E689B" w:rsidP="004033CA">
            <w:pPr>
              <w:pStyle w:val="TableBodyText"/>
              <w:jc w:val="right"/>
            </w:pPr>
            <w:r w:rsidRPr="00774C4E">
              <w:t>N/A</w:t>
            </w:r>
          </w:p>
        </w:tc>
        <w:tc>
          <w:tcPr>
            <w:tcW w:w="578" w:type="pct"/>
          </w:tcPr>
          <w:p w14:paraId="6454DCE2" w14:textId="56B095B4" w:rsidR="007E689B" w:rsidRPr="007D2017" w:rsidRDefault="007E689B" w:rsidP="004033CA">
            <w:pPr>
              <w:pStyle w:val="TableBodyText"/>
              <w:jc w:val="right"/>
            </w:pPr>
            <w:r w:rsidRPr="00774C4E">
              <w:t>N/A</w:t>
            </w:r>
          </w:p>
        </w:tc>
        <w:tc>
          <w:tcPr>
            <w:tcW w:w="624" w:type="pct"/>
          </w:tcPr>
          <w:p w14:paraId="26AAABF6" w14:textId="4F6BF940" w:rsidR="007E689B" w:rsidRPr="007D2017" w:rsidRDefault="007E689B" w:rsidP="004033CA">
            <w:pPr>
              <w:pStyle w:val="TableBodyText"/>
              <w:jc w:val="right"/>
            </w:pPr>
            <w:r w:rsidRPr="00774C4E">
              <w:t>N/A</w:t>
            </w:r>
          </w:p>
        </w:tc>
        <w:tc>
          <w:tcPr>
            <w:tcW w:w="624" w:type="pct"/>
          </w:tcPr>
          <w:p w14:paraId="7C93B862" w14:textId="7C45E470" w:rsidR="007E689B" w:rsidRPr="007D2017" w:rsidRDefault="007E689B" w:rsidP="004033CA">
            <w:pPr>
              <w:pStyle w:val="TableBodyText"/>
              <w:jc w:val="right"/>
            </w:pPr>
            <w:r w:rsidRPr="00774C4E">
              <w:t>N/A</w:t>
            </w:r>
          </w:p>
        </w:tc>
        <w:tc>
          <w:tcPr>
            <w:tcW w:w="456" w:type="pct"/>
          </w:tcPr>
          <w:p w14:paraId="4A157466" w14:textId="205994E0" w:rsidR="007E689B" w:rsidRPr="007D2017" w:rsidRDefault="007E689B" w:rsidP="004033CA">
            <w:pPr>
              <w:pStyle w:val="TableBodyText"/>
              <w:jc w:val="right"/>
            </w:pPr>
            <w:r w:rsidRPr="00774C4E">
              <w:t>N/A</w:t>
            </w:r>
          </w:p>
        </w:tc>
        <w:tc>
          <w:tcPr>
            <w:tcW w:w="624" w:type="pct"/>
          </w:tcPr>
          <w:p w14:paraId="341F3D01" w14:textId="27B11657" w:rsidR="007E689B" w:rsidRPr="007D2017" w:rsidRDefault="007E689B" w:rsidP="004033CA">
            <w:pPr>
              <w:pStyle w:val="TableBodyText"/>
              <w:jc w:val="right"/>
            </w:pPr>
            <w:r w:rsidRPr="00774C4E">
              <w:t>N/A</w:t>
            </w:r>
          </w:p>
        </w:tc>
        <w:tc>
          <w:tcPr>
            <w:tcW w:w="621" w:type="pct"/>
          </w:tcPr>
          <w:p w14:paraId="2D7421F0" w14:textId="4FB2CD96" w:rsidR="007E689B" w:rsidRPr="007D2017" w:rsidRDefault="007E689B" w:rsidP="004033CA">
            <w:pPr>
              <w:pStyle w:val="TableBodyText"/>
              <w:jc w:val="right"/>
            </w:pPr>
            <w:r w:rsidRPr="00774C4E">
              <w:t>N/A</w:t>
            </w:r>
          </w:p>
        </w:tc>
      </w:tr>
      <w:tr w:rsidR="007E689B" w:rsidRPr="007D2017" w14:paraId="0CCFD393" w14:textId="77777777" w:rsidTr="004033CA">
        <w:trPr>
          <w:trHeight w:val="20"/>
        </w:trPr>
        <w:tc>
          <w:tcPr>
            <w:tcW w:w="849" w:type="pct"/>
          </w:tcPr>
          <w:p w14:paraId="41922B4F" w14:textId="77777777" w:rsidR="007E689B" w:rsidRPr="007D2017" w:rsidRDefault="007E689B" w:rsidP="007E689B">
            <w:pPr>
              <w:pStyle w:val="TableBodyText"/>
            </w:pPr>
            <w:r w:rsidRPr="007D2017">
              <w:t>Casual</w:t>
            </w:r>
          </w:p>
        </w:tc>
        <w:tc>
          <w:tcPr>
            <w:tcW w:w="624" w:type="pct"/>
          </w:tcPr>
          <w:p w14:paraId="1F9445F3" w14:textId="77777777" w:rsidR="007E689B" w:rsidRPr="007D2017" w:rsidRDefault="007E689B" w:rsidP="004033CA">
            <w:pPr>
              <w:pStyle w:val="TableBodyText"/>
              <w:jc w:val="right"/>
            </w:pPr>
            <w:r w:rsidRPr="007D2017">
              <w:t>27</w:t>
            </w:r>
          </w:p>
        </w:tc>
        <w:tc>
          <w:tcPr>
            <w:tcW w:w="578" w:type="pct"/>
          </w:tcPr>
          <w:p w14:paraId="164C435C" w14:textId="77777777" w:rsidR="007E689B" w:rsidRPr="007D2017" w:rsidRDefault="007E689B" w:rsidP="004033CA">
            <w:pPr>
              <w:pStyle w:val="TableBodyText"/>
              <w:jc w:val="right"/>
            </w:pPr>
            <w:r w:rsidRPr="007D2017">
              <w:t>11</w:t>
            </w:r>
          </w:p>
        </w:tc>
        <w:tc>
          <w:tcPr>
            <w:tcW w:w="624" w:type="pct"/>
          </w:tcPr>
          <w:p w14:paraId="06C0F039" w14:textId="000159DE" w:rsidR="007E689B" w:rsidRPr="007D2017" w:rsidRDefault="007E689B" w:rsidP="004033CA">
            <w:pPr>
              <w:pStyle w:val="TableBodyText"/>
              <w:jc w:val="right"/>
            </w:pPr>
            <w:r w:rsidRPr="00D96AC7">
              <w:t>N/A</w:t>
            </w:r>
          </w:p>
        </w:tc>
        <w:tc>
          <w:tcPr>
            <w:tcW w:w="624" w:type="pct"/>
          </w:tcPr>
          <w:p w14:paraId="32CC7F58" w14:textId="4EE13F09" w:rsidR="007E689B" w:rsidRPr="007D2017" w:rsidRDefault="007E689B" w:rsidP="004033CA">
            <w:pPr>
              <w:pStyle w:val="TableBodyText"/>
              <w:jc w:val="right"/>
            </w:pPr>
            <w:r w:rsidRPr="00D96AC7">
              <w:t>N/A</w:t>
            </w:r>
          </w:p>
        </w:tc>
        <w:tc>
          <w:tcPr>
            <w:tcW w:w="456" w:type="pct"/>
          </w:tcPr>
          <w:p w14:paraId="6A3E1521" w14:textId="323C2E9D" w:rsidR="007E689B" w:rsidRPr="007D2017" w:rsidRDefault="007E689B" w:rsidP="004033CA">
            <w:pPr>
              <w:pStyle w:val="TableBodyText"/>
              <w:jc w:val="right"/>
            </w:pPr>
            <w:r w:rsidRPr="00D96AC7">
              <w:t>N/A</w:t>
            </w:r>
          </w:p>
        </w:tc>
        <w:tc>
          <w:tcPr>
            <w:tcW w:w="624" w:type="pct"/>
          </w:tcPr>
          <w:p w14:paraId="6ABD7BBC" w14:textId="77777777" w:rsidR="007E689B" w:rsidRPr="007D2017" w:rsidRDefault="007E689B" w:rsidP="004033CA">
            <w:pPr>
              <w:pStyle w:val="TableBodyText"/>
              <w:jc w:val="right"/>
            </w:pPr>
            <w:r w:rsidRPr="007D2017">
              <w:t>27</w:t>
            </w:r>
          </w:p>
        </w:tc>
        <w:tc>
          <w:tcPr>
            <w:tcW w:w="621" w:type="pct"/>
          </w:tcPr>
          <w:p w14:paraId="0240D8F5" w14:textId="77777777" w:rsidR="007E689B" w:rsidRPr="007D2017" w:rsidRDefault="007E689B" w:rsidP="004033CA">
            <w:pPr>
              <w:pStyle w:val="TableBodyText"/>
              <w:jc w:val="right"/>
            </w:pPr>
            <w:r w:rsidRPr="007D2017">
              <w:t>11</w:t>
            </w:r>
          </w:p>
        </w:tc>
      </w:tr>
      <w:tr w:rsidR="00D46D79" w:rsidRPr="007E689B" w14:paraId="3D890022" w14:textId="77777777" w:rsidTr="004033CA">
        <w:trPr>
          <w:trHeight w:val="20"/>
        </w:trPr>
        <w:tc>
          <w:tcPr>
            <w:tcW w:w="849" w:type="pct"/>
          </w:tcPr>
          <w:p w14:paraId="1BF45419" w14:textId="77777777" w:rsidR="00493A7B" w:rsidRPr="007E689B" w:rsidRDefault="00493A7B" w:rsidP="00D46D79">
            <w:pPr>
              <w:pStyle w:val="TableBodyText"/>
              <w:rPr>
                <w:rStyle w:val="Bold"/>
              </w:rPr>
            </w:pPr>
            <w:r w:rsidRPr="007E689B">
              <w:rPr>
                <w:rStyle w:val="Bold"/>
              </w:rPr>
              <w:t>Enterprise Agreement (EA) Total</w:t>
            </w:r>
          </w:p>
        </w:tc>
        <w:tc>
          <w:tcPr>
            <w:tcW w:w="624" w:type="pct"/>
          </w:tcPr>
          <w:p w14:paraId="074AF534" w14:textId="77777777" w:rsidR="00493A7B" w:rsidRPr="007E689B" w:rsidRDefault="00493A7B" w:rsidP="004033CA">
            <w:pPr>
              <w:pStyle w:val="TableBodyText"/>
              <w:jc w:val="right"/>
              <w:rPr>
                <w:rStyle w:val="Bold"/>
              </w:rPr>
            </w:pPr>
            <w:r w:rsidRPr="007E689B">
              <w:rPr>
                <w:rStyle w:val="Bold"/>
              </w:rPr>
              <w:t>749</w:t>
            </w:r>
          </w:p>
        </w:tc>
        <w:tc>
          <w:tcPr>
            <w:tcW w:w="578" w:type="pct"/>
          </w:tcPr>
          <w:p w14:paraId="61AD83F9" w14:textId="77777777" w:rsidR="00493A7B" w:rsidRPr="007E689B" w:rsidRDefault="00493A7B" w:rsidP="004033CA">
            <w:pPr>
              <w:pStyle w:val="TableBodyText"/>
              <w:jc w:val="right"/>
              <w:rPr>
                <w:rStyle w:val="Bold"/>
              </w:rPr>
            </w:pPr>
            <w:r w:rsidRPr="007E689B">
              <w:rPr>
                <w:rStyle w:val="Bold"/>
              </w:rPr>
              <w:t>715</w:t>
            </w:r>
          </w:p>
        </w:tc>
        <w:tc>
          <w:tcPr>
            <w:tcW w:w="624" w:type="pct"/>
          </w:tcPr>
          <w:p w14:paraId="58ACD2DE" w14:textId="77777777" w:rsidR="00493A7B" w:rsidRPr="007E689B" w:rsidRDefault="00493A7B" w:rsidP="004033CA">
            <w:pPr>
              <w:pStyle w:val="TableBodyText"/>
              <w:jc w:val="right"/>
              <w:rPr>
                <w:rStyle w:val="Bold"/>
              </w:rPr>
            </w:pPr>
            <w:r w:rsidRPr="007E689B">
              <w:rPr>
                <w:rStyle w:val="Bold"/>
              </w:rPr>
              <w:t>563</w:t>
            </w:r>
          </w:p>
        </w:tc>
        <w:tc>
          <w:tcPr>
            <w:tcW w:w="624" w:type="pct"/>
          </w:tcPr>
          <w:p w14:paraId="792263EA" w14:textId="77777777" w:rsidR="00493A7B" w:rsidRPr="007E689B" w:rsidRDefault="00493A7B" w:rsidP="004033CA">
            <w:pPr>
              <w:pStyle w:val="TableBodyText"/>
              <w:jc w:val="right"/>
              <w:rPr>
                <w:rStyle w:val="Bold"/>
              </w:rPr>
            </w:pPr>
            <w:r w:rsidRPr="007E689B">
              <w:rPr>
                <w:rStyle w:val="Bold"/>
              </w:rPr>
              <w:t>108</w:t>
            </w:r>
          </w:p>
        </w:tc>
        <w:tc>
          <w:tcPr>
            <w:tcW w:w="456" w:type="pct"/>
          </w:tcPr>
          <w:p w14:paraId="375FFCF9" w14:textId="77777777" w:rsidR="00493A7B" w:rsidRPr="007E689B" w:rsidRDefault="00493A7B" w:rsidP="004033CA">
            <w:pPr>
              <w:pStyle w:val="TableBodyText"/>
              <w:jc w:val="right"/>
              <w:rPr>
                <w:rStyle w:val="Bold"/>
              </w:rPr>
            </w:pPr>
            <w:r w:rsidRPr="007E689B">
              <w:rPr>
                <w:rStyle w:val="Bold"/>
              </w:rPr>
              <w:t>643</w:t>
            </w:r>
          </w:p>
        </w:tc>
        <w:tc>
          <w:tcPr>
            <w:tcW w:w="624" w:type="pct"/>
          </w:tcPr>
          <w:p w14:paraId="7878A4C2" w14:textId="77777777" w:rsidR="00493A7B" w:rsidRPr="007E689B" w:rsidRDefault="00493A7B" w:rsidP="004033CA">
            <w:pPr>
              <w:pStyle w:val="TableBodyText"/>
              <w:jc w:val="right"/>
              <w:rPr>
                <w:rStyle w:val="Bold"/>
              </w:rPr>
            </w:pPr>
            <w:r w:rsidRPr="007E689B">
              <w:rPr>
                <w:rStyle w:val="Bold"/>
              </w:rPr>
              <w:t>78</w:t>
            </w:r>
          </w:p>
        </w:tc>
        <w:tc>
          <w:tcPr>
            <w:tcW w:w="621" w:type="pct"/>
          </w:tcPr>
          <w:p w14:paraId="4755B18B" w14:textId="77777777" w:rsidR="00493A7B" w:rsidRPr="007E689B" w:rsidRDefault="00493A7B" w:rsidP="004033CA">
            <w:pPr>
              <w:pStyle w:val="TableBodyText"/>
              <w:jc w:val="right"/>
              <w:rPr>
                <w:rStyle w:val="Bold"/>
              </w:rPr>
            </w:pPr>
            <w:r w:rsidRPr="007E689B">
              <w:rPr>
                <w:rStyle w:val="Bold"/>
              </w:rPr>
              <w:t>72</w:t>
            </w:r>
          </w:p>
        </w:tc>
      </w:tr>
      <w:tr w:rsidR="00D46D79" w:rsidRPr="007D2017" w14:paraId="79613C17" w14:textId="77777777" w:rsidTr="004033CA">
        <w:trPr>
          <w:trHeight w:val="20"/>
        </w:trPr>
        <w:tc>
          <w:tcPr>
            <w:tcW w:w="849" w:type="pct"/>
          </w:tcPr>
          <w:p w14:paraId="4BD6DBA3" w14:textId="77777777" w:rsidR="00493A7B" w:rsidRPr="007D2017" w:rsidRDefault="00493A7B" w:rsidP="00D46D79">
            <w:pPr>
              <w:pStyle w:val="TableBodyText"/>
            </w:pPr>
            <w:r w:rsidRPr="007D2017">
              <w:t>EA Level 1</w:t>
            </w:r>
          </w:p>
        </w:tc>
        <w:tc>
          <w:tcPr>
            <w:tcW w:w="624" w:type="pct"/>
          </w:tcPr>
          <w:p w14:paraId="0CB4DA67" w14:textId="77777777" w:rsidR="00493A7B" w:rsidRPr="007D2017" w:rsidRDefault="00493A7B" w:rsidP="004033CA">
            <w:pPr>
              <w:pStyle w:val="TableBodyText"/>
              <w:jc w:val="right"/>
            </w:pPr>
            <w:r w:rsidRPr="007D2017">
              <w:t>3</w:t>
            </w:r>
          </w:p>
        </w:tc>
        <w:tc>
          <w:tcPr>
            <w:tcW w:w="578" w:type="pct"/>
          </w:tcPr>
          <w:p w14:paraId="112B6143" w14:textId="77777777" w:rsidR="00493A7B" w:rsidRPr="007D2017" w:rsidRDefault="00493A7B" w:rsidP="004033CA">
            <w:pPr>
              <w:pStyle w:val="TableBodyText"/>
              <w:jc w:val="right"/>
            </w:pPr>
            <w:r w:rsidRPr="007D2017">
              <w:t>2</w:t>
            </w:r>
          </w:p>
        </w:tc>
        <w:tc>
          <w:tcPr>
            <w:tcW w:w="624" w:type="pct"/>
          </w:tcPr>
          <w:p w14:paraId="483EF186" w14:textId="77777777" w:rsidR="00493A7B" w:rsidRPr="007D2017" w:rsidRDefault="00493A7B" w:rsidP="004033CA">
            <w:pPr>
              <w:pStyle w:val="TableBodyText"/>
              <w:jc w:val="right"/>
            </w:pPr>
            <w:r w:rsidRPr="007D2017">
              <w:t>0</w:t>
            </w:r>
          </w:p>
        </w:tc>
        <w:tc>
          <w:tcPr>
            <w:tcW w:w="624" w:type="pct"/>
          </w:tcPr>
          <w:p w14:paraId="31C485A3" w14:textId="77777777" w:rsidR="00493A7B" w:rsidRPr="007D2017" w:rsidRDefault="00493A7B" w:rsidP="004033CA">
            <w:pPr>
              <w:pStyle w:val="TableBodyText"/>
              <w:jc w:val="right"/>
            </w:pPr>
            <w:r w:rsidRPr="007D2017">
              <w:t>0</w:t>
            </w:r>
          </w:p>
        </w:tc>
        <w:tc>
          <w:tcPr>
            <w:tcW w:w="456" w:type="pct"/>
          </w:tcPr>
          <w:p w14:paraId="5B477D87" w14:textId="77777777" w:rsidR="00493A7B" w:rsidRPr="007D2017" w:rsidRDefault="00493A7B" w:rsidP="004033CA">
            <w:pPr>
              <w:pStyle w:val="TableBodyText"/>
              <w:jc w:val="right"/>
            </w:pPr>
            <w:r w:rsidRPr="007D2017">
              <w:t>0</w:t>
            </w:r>
          </w:p>
        </w:tc>
        <w:tc>
          <w:tcPr>
            <w:tcW w:w="624" w:type="pct"/>
          </w:tcPr>
          <w:p w14:paraId="60A7908A" w14:textId="77777777" w:rsidR="00493A7B" w:rsidRPr="007D2017" w:rsidRDefault="00493A7B" w:rsidP="004033CA">
            <w:pPr>
              <w:pStyle w:val="TableBodyText"/>
              <w:jc w:val="right"/>
            </w:pPr>
            <w:r w:rsidRPr="007D2017">
              <w:t>3</w:t>
            </w:r>
          </w:p>
        </w:tc>
        <w:tc>
          <w:tcPr>
            <w:tcW w:w="621" w:type="pct"/>
          </w:tcPr>
          <w:p w14:paraId="1760D893" w14:textId="77777777" w:rsidR="00493A7B" w:rsidRPr="007D2017" w:rsidRDefault="00493A7B" w:rsidP="004033CA">
            <w:pPr>
              <w:pStyle w:val="TableBodyText"/>
              <w:jc w:val="right"/>
            </w:pPr>
            <w:r w:rsidRPr="007D2017">
              <w:t>2</w:t>
            </w:r>
          </w:p>
        </w:tc>
      </w:tr>
      <w:tr w:rsidR="00D46D79" w:rsidRPr="007D2017" w14:paraId="1FDFAFF1" w14:textId="77777777" w:rsidTr="004033CA">
        <w:trPr>
          <w:trHeight w:val="20"/>
        </w:trPr>
        <w:tc>
          <w:tcPr>
            <w:tcW w:w="849" w:type="pct"/>
          </w:tcPr>
          <w:p w14:paraId="224B4381" w14:textId="77777777" w:rsidR="00493A7B" w:rsidRPr="007D2017" w:rsidRDefault="00493A7B" w:rsidP="00D46D79">
            <w:pPr>
              <w:pStyle w:val="TableBodyText"/>
            </w:pPr>
            <w:r w:rsidRPr="007D2017">
              <w:t>EA Level 2</w:t>
            </w:r>
          </w:p>
        </w:tc>
        <w:tc>
          <w:tcPr>
            <w:tcW w:w="624" w:type="pct"/>
          </w:tcPr>
          <w:p w14:paraId="3C697D29" w14:textId="77777777" w:rsidR="00493A7B" w:rsidRPr="007D2017" w:rsidRDefault="00493A7B" w:rsidP="004033CA">
            <w:pPr>
              <w:pStyle w:val="TableBodyText"/>
              <w:jc w:val="right"/>
            </w:pPr>
            <w:r w:rsidRPr="007D2017">
              <w:t>70</w:t>
            </w:r>
          </w:p>
        </w:tc>
        <w:tc>
          <w:tcPr>
            <w:tcW w:w="578" w:type="pct"/>
          </w:tcPr>
          <w:p w14:paraId="35F36ACE" w14:textId="77777777" w:rsidR="00493A7B" w:rsidRPr="007D2017" w:rsidRDefault="00493A7B" w:rsidP="004033CA">
            <w:pPr>
              <w:pStyle w:val="TableBodyText"/>
              <w:jc w:val="right"/>
            </w:pPr>
            <w:r w:rsidRPr="007D2017">
              <w:t>69</w:t>
            </w:r>
          </w:p>
        </w:tc>
        <w:tc>
          <w:tcPr>
            <w:tcW w:w="624" w:type="pct"/>
          </w:tcPr>
          <w:p w14:paraId="565543AA" w14:textId="77777777" w:rsidR="00493A7B" w:rsidRPr="007D2017" w:rsidRDefault="00493A7B" w:rsidP="004033CA">
            <w:pPr>
              <w:pStyle w:val="TableBodyText"/>
              <w:jc w:val="right"/>
            </w:pPr>
            <w:r w:rsidRPr="007D2017">
              <w:t>54</w:t>
            </w:r>
          </w:p>
        </w:tc>
        <w:tc>
          <w:tcPr>
            <w:tcW w:w="624" w:type="pct"/>
          </w:tcPr>
          <w:p w14:paraId="2011C101" w14:textId="77777777" w:rsidR="00493A7B" w:rsidRPr="007D2017" w:rsidRDefault="00493A7B" w:rsidP="004033CA">
            <w:pPr>
              <w:pStyle w:val="TableBodyText"/>
              <w:jc w:val="right"/>
            </w:pPr>
            <w:r w:rsidRPr="007D2017">
              <w:t>3</w:t>
            </w:r>
          </w:p>
        </w:tc>
        <w:tc>
          <w:tcPr>
            <w:tcW w:w="456" w:type="pct"/>
          </w:tcPr>
          <w:p w14:paraId="6425FA95" w14:textId="77777777" w:rsidR="00493A7B" w:rsidRPr="007D2017" w:rsidRDefault="00493A7B" w:rsidP="004033CA">
            <w:pPr>
              <w:pStyle w:val="TableBodyText"/>
              <w:jc w:val="right"/>
            </w:pPr>
            <w:r w:rsidRPr="007D2017">
              <w:t>56</w:t>
            </w:r>
          </w:p>
        </w:tc>
        <w:tc>
          <w:tcPr>
            <w:tcW w:w="624" w:type="pct"/>
          </w:tcPr>
          <w:p w14:paraId="200B2150" w14:textId="77777777" w:rsidR="00493A7B" w:rsidRPr="007D2017" w:rsidRDefault="00493A7B" w:rsidP="004033CA">
            <w:pPr>
              <w:pStyle w:val="TableBodyText"/>
              <w:jc w:val="right"/>
            </w:pPr>
            <w:r w:rsidRPr="007D2017">
              <w:t>13</w:t>
            </w:r>
          </w:p>
        </w:tc>
        <w:tc>
          <w:tcPr>
            <w:tcW w:w="621" w:type="pct"/>
          </w:tcPr>
          <w:p w14:paraId="6609C537" w14:textId="77777777" w:rsidR="00493A7B" w:rsidRPr="007D2017" w:rsidRDefault="00493A7B" w:rsidP="004033CA">
            <w:pPr>
              <w:pStyle w:val="TableBodyText"/>
              <w:jc w:val="right"/>
            </w:pPr>
            <w:r w:rsidRPr="007D2017">
              <w:t>13</w:t>
            </w:r>
          </w:p>
        </w:tc>
      </w:tr>
      <w:tr w:rsidR="00D46D79" w:rsidRPr="007D2017" w14:paraId="420D9749" w14:textId="77777777" w:rsidTr="004033CA">
        <w:trPr>
          <w:trHeight w:val="20"/>
        </w:trPr>
        <w:tc>
          <w:tcPr>
            <w:tcW w:w="849" w:type="pct"/>
          </w:tcPr>
          <w:p w14:paraId="636D65AC" w14:textId="77777777" w:rsidR="00493A7B" w:rsidRPr="007D2017" w:rsidRDefault="00493A7B" w:rsidP="00D46D79">
            <w:pPr>
              <w:pStyle w:val="TableBodyText"/>
            </w:pPr>
            <w:r w:rsidRPr="007D2017">
              <w:t>EA Level 3</w:t>
            </w:r>
          </w:p>
        </w:tc>
        <w:tc>
          <w:tcPr>
            <w:tcW w:w="624" w:type="pct"/>
          </w:tcPr>
          <w:p w14:paraId="76E26F5E" w14:textId="77777777" w:rsidR="00493A7B" w:rsidRPr="007D2017" w:rsidRDefault="00493A7B" w:rsidP="004033CA">
            <w:pPr>
              <w:pStyle w:val="TableBodyText"/>
              <w:jc w:val="right"/>
            </w:pPr>
            <w:r w:rsidRPr="007D2017">
              <w:t>85</w:t>
            </w:r>
          </w:p>
        </w:tc>
        <w:tc>
          <w:tcPr>
            <w:tcW w:w="578" w:type="pct"/>
          </w:tcPr>
          <w:p w14:paraId="67D75AF6" w14:textId="77777777" w:rsidR="00493A7B" w:rsidRPr="007D2017" w:rsidRDefault="00493A7B" w:rsidP="004033CA">
            <w:pPr>
              <w:pStyle w:val="TableBodyText"/>
              <w:jc w:val="right"/>
            </w:pPr>
            <w:r w:rsidRPr="007D2017">
              <w:t>84</w:t>
            </w:r>
          </w:p>
        </w:tc>
        <w:tc>
          <w:tcPr>
            <w:tcW w:w="624" w:type="pct"/>
          </w:tcPr>
          <w:p w14:paraId="4BC98C46" w14:textId="77777777" w:rsidR="00493A7B" w:rsidRPr="007D2017" w:rsidRDefault="00493A7B" w:rsidP="004033CA">
            <w:pPr>
              <w:pStyle w:val="TableBodyText"/>
              <w:jc w:val="right"/>
            </w:pPr>
            <w:r w:rsidRPr="007D2017">
              <w:t>79</w:t>
            </w:r>
          </w:p>
        </w:tc>
        <w:tc>
          <w:tcPr>
            <w:tcW w:w="624" w:type="pct"/>
          </w:tcPr>
          <w:p w14:paraId="0E172B68" w14:textId="77777777" w:rsidR="00493A7B" w:rsidRPr="007D2017" w:rsidRDefault="00493A7B" w:rsidP="004033CA">
            <w:pPr>
              <w:pStyle w:val="TableBodyText"/>
              <w:jc w:val="right"/>
            </w:pPr>
          </w:p>
        </w:tc>
        <w:tc>
          <w:tcPr>
            <w:tcW w:w="456" w:type="pct"/>
          </w:tcPr>
          <w:p w14:paraId="29E8DD52" w14:textId="77777777" w:rsidR="00493A7B" w:rsidRPr="007D2017" w:rsidRDefault="00493A7B" w:rsidP="004033CA">
            <w:pPr>
              <w:pStyle w:val="TableBodyText"/>
              <w:jc w:val="right"/>
            </w:pPr>
            <w:r w:rsidRPr="007D2017">
              <w:t>79</w:t>
            </w:r>
          </w:p>
        </w:tc>
        <w:tc>
          <w:tcPr>
            <w:tcW w:w="624" w:type="pct"/>
          </w:tcPr>
          <w:p w14:paraId="657F5087" w14:textId="77777777" w:rsidR="00493A7B" w:rsidRPr="007D2017" w:rsidRDefault="00493A7B" w:rsidP="004033CA">
            <w:pPr>
              <w:pStyle w:val="TableBodyText"/>
              <w:jc w:val="right"/>
            </w:pPr>
            <w:r w:rsidRPr="007D2017">
              <w:t>6</w:t>
            </w:r>
          </w:p>
        </w:tc>
        <w:tc>
          <w:tcPr>
            <w:tcW w:w="621" w:type="pct"/>
          </w:tcPr>
          <w:p w14:paraId="60413EA8" w14:textId="77777777" w:rsidR="00493A7B" w:rsidRPr="007D2017" w:rsidRDefault="00493A7B" w:rsidP="004033CA">
            <w:pPr>
              <w:pStyle w:val="TableBodyText"/>
              <w:jc w:val="right"/>
            </w:pPr>
            <w:r w:rsidRPr="007D2017">
              <w:t>5</w:t>
            </w:r>
          </w:p>
        </w:tc>
      </w:tr>
      <w:tr w:rsidR="00D46D79" w:rsidRPr="007D2017" w14:paraId="4E8D8BA5" w14:textId="77777777" w:rsidTr="004033CA">
        <w:trPr>
          <w:trHeight w:val="20"/>
        </w:trPr>
        <w:tc>
          <w:tcPr>
            <w:tcW w:w="849" w:type="pct"/>
          </w:tcPr>
          <w:p w14:paraId="1E71A6B6" w14:textId="77777777" w:rsidR="00493A7B" w:rsidRPr="007D2017" w:rsidRDefault="00493A7B" w:rsidP="00D46D79">
            <w:pPr>
              <w:pStyle w:val="TableBodyText"/>
            </w:pPr>
            <w:r w:rsidRPr="007D2017">
              <w:t>EA Level 4</w:t>
            </w:r>
          </w:p>
        </w:tc>
        <w:tc>
          <w:tcPr>
            <w:tcW w:w="624" w:type="pct"/>
          </w:tcPr>
          <w:p w14:paraId="091549C5" w14:textId="77777777" w:rsidR="00493A7B" w:rsidRPr="007D2017" w:rsidRDefault="00493A7B" w:rsidP="004033CA">
            <w:pPr>
              <w:pStyle w:val="TableBodyText"/>
              <w:jc w:val="right"/>
            </w:pPr>
            <w:r w:rsidRPr="007D2017">
              <w:t>58</w:t>
            </w:r>
          </w:p>
        </w:tc>
        <w:tc>
          <w:tcPr>
            <w:tcW w:w="578" w:type="pct"/>
          </w:tcPr>
          <w:p w14:paraId="10BBC025" w14:textId="77777777" w:rsidR="00493A7B" w:rsidRPr="007D2017" w:rsidRDefault="00493A7B" w:rsidP="004033CA">
            <w:pPr>
              <w:pStyle w:val="TableBodyText"/>
              <w:jc w:val="right"/>
            </w:pPr>
            <w:r w:rsidRPr="007D2017">
              <w:t>53</w:t>
            </w:r>
          </w:p>
        </w:tc>
        <w:tc>
          <w:tcPr>
            <w:tcW w:w="624" w:type="pct"/>
          </w:tcPr>
          <w:p w14:paraId="0DC6FA0D" w14:textId="77777777" w:rsidR="00493A7B" w:rsidRPr="007D2017" w:rsidRDefault="00493A7B" w:rsidP="004033CA">
            <w:pPr>
              <w:pStyle w:val="TableBodyText"/>
              <w:jc w:val="right"/>
            </w:pPr>
            <w:r w:rsidRPr="007D2017">
              <w:t>39</w:t>
            </w:r>
          </w:p>
        </w:tc>
        <w:tc>
          <w:tcPr>
            <w:tcW w:w="624" w:type="pct"/>
          </w:tcPr>
          <w:p w14:paraId="25737773" w14:textId="77777777" w:rsidR="00493A7B" w:rsidRPr="007D2017" w:rsidRDefault="00493A7B" w:rsidP="004033CA">
            <w:pPr>
              <w:pStyle w:val="TableBodyText"/>
              <w:jc w:val="right"/>
            </w:pPr>
            <w:r w:rsidRPr="007D2017">
              <w:t>9</w:t>
            </w:r>
          </w:p>
        </w:tc>
        <w:tc>
          <w:tcPr>
            <w:tcW w:w="456" w:type="pct"/>
          </w:tcPr>
          <w:p w14:paraId="59BA4F7E" w14:textId="77777777" w:rsidR="00493A7B" w:rsidRPr="007D2017" w:rsidRDefault="00493A7B" w:rsidP="004033CA">
            <w:pPr>
              <w:pStyle w:val="TableBodyText"/>
              <w:jc w:val="right"/>
            </w:pPr>
            <w:r w:rsidRPr="007D2017">
              <w:t>44</w:t>
            </w:r>
          </w:p>
        </w:tc>
        <w:tc>
          <w:tcPr>
            <w:tcW w:w="624" w:type="pct"/>
          </w:tcPr>
          <w:p w14:paraId="5B887102" w14:textId="77777777" w:rsidR="00493A7B" w:rsidRPr="007D2017" w:rsidRDefault="00493A7B" w:rsidP="004033CA">
            <w:pPr>
              <w:pStyle w:val="TableBodyText"/>
              <w:jc w:val="right"/>
            </w:pPr>
            <w:r w:rsidRPr="007D2017">
              <w:t>10</w:t>
            </w:r>
          </w:p>
        </w:tc>
        <w:tc>
          <w:tcPr>
            <w:tcW w:w="621" w:type="pct"/>
          </w:tcPr>
          <w:p w14:paraId="1C644A92" w14:textId="77777777" w:rsidR="00493A7B" w:rsidRPr="007D2017" w:rsidRDefault="00493A7B" w:rsidP="004033CA">
            <w:pPr>
              <w:pStyle w:val="TableBodyText"/>
              <w:jc w:val="right"/>
            </w:pPr>
            <w:r w:rsidRPr="007D2017">
              <w:t>9</w:t>
            </w:r>
          </w:p>
        </w:tc>
      </w:tr>
      <w:tr w:rsidR="00D46D79" w:rsidRPr="007D2017" w14:paraId="7DC5B727" w14:textId="77777777" w:rsidTr="004033CA">
        <w:trPr>
          <w:trHeight w:val="20"/>
        </w:trPr>
        <w:tc>
          <w:tcPr>
            <w:tcW w:w="849" w:type="pct"/>
          </w:tcPr>
          <w:p w14:paraId="27331328" w14:textId="77777777" w:rsidR="00493A7B" w:rsidRPr="007D2017" w:rsidRDefault="00493A7B" w:rsidP="00D46D79">
            <w:pPr>
              <w:pStyle w:val="TableBodyText"/>
            </w:pPr>
            <w:r w:rsidRPr="007D2017">
              <w:t>EA Level 5</w:t>
            </w:r>
          </w:p>
        </w:tc>
        <w:tc>
          <w:tcPr>
            <w:tcW w:w="624" w:type="pct"/>
          </w:tcPr>
          <w:p w14:paraId="6D72B3AE" w14:textId="77777777" w:rsidR="00493A7B" w:rsidRPr="007D2017" w:rsidRDefault="00493A7B" w:rsidP="004033CA">
            <w:pPr>
              <w:pStyle w:val="TableBodyText"/>
              <w:jc w:val="right"/>
            </w:pPr>
            <w:r w:rsidRPr="007D2017">
              <w:t>113</w:t>
            </w:r>
          </w:p>
        </w:tc>
        <w:tc>
          <w:tcPr>
            <w:tcW w:w="578" w:type="pct"/>
          </w:tcPr>
          <w:p w14:paraId="6464055B" w14:textId="77777777" w:rsidR="00493A7B" w:rsidRPr="007D2017" w:rsidRDefault="00493A7B" w:rsidP="004033CA">
            <w:pPr>
              <w:pStyle w:val="TableBodyText"/>
              <w:jc w:val="right"/>
            </w:pPr>
            <w:r w:rsidRPr="007D2017">
              <w:t>109</w:t>
            </w:r>
          </w:p>
        </w:tc>
        <w:tc>
          <w:tcPr>
            <w:tcW w:w="624" w:type="pct"/>
          </w:tcPr>
          <w:p w14:paraId="6C2E6AAB" w14:textId="77777777" w:rsidR="00493A7B" w:rsidRPr="007D2017" w:rsidRDefault="00493A7B" w:rsidP="004033CA">
            <w:pPr>
              <w:pStyle w:val="TableBodyText"/>
              <w:jc w:val="right"/>
            </w:pPr>
            <w:r w:rsidRPr="007D2017">
              <w:t>92</w:t>
            </w:r>
          </w:p>
        </w:tc>
        <w:tc>
          <w:tcPr>
            <w:tcW w:w="624" w:type="pct"/>
          </w:tcPr>
          <w:p w14:paraId="4BBF1091" w14:textId="77777777" w:rsidR="00493A7B" w:rsidRPr="007D2017" w:rsidRDefault="00493A7B" w:rsidP="004033CA">
            <w:pPr>
              <w:pStyle w:val="TableBodyText"/>
              <w:jc w:val="right"/>
            </w:pPr>
            <w:r w:rsidRPr="007D2017">
              <w:t>13</w:t>
            </w:r>
          </w:p>
        </w:tc>
        <w:tc>
          <w:tcPr>
            <w:tcW w:w="456" w:type="pct"/>
          </w:tcPr>
          <w:p w14:paraId="7BEB5A9F" w14:textId="77777777" w:rsidR="00493A7B" w:rsidRPr="007D2017" w:rsidRDefault="00493A7B" w:rsidP="004033CA">
            <w:pPr>
              <w:pStyle w:val="TableBodyText"/>
              <w:jc w:val="right"/>
            </w:pPr>
            <w:r w:rsidRPr="007D2017">
              <w:t>102</w:t>
            </w:r>
          </w:p>
        </w:tc>
        <w:tc>
          <w:tcPr>
            <w:tcW w:w="624" w:type="pct"/>
          </w:tcPr>
          <w:p w14:paraId="0F007EB3" w14:textId="77777777" w:rsidR="00493A7B" w:rsidRPr="007D2017" w:rsidRDefault="00493A7B" w:rsidP="004033CA">
            <w:pPr>
              <w:pStyle w:val="TableBodyText"/>
              <w:jc w:val="right"/>
            </w:pPr>
            <w:r w:rsidRPr="007D2017">
              <w:t>8</w:t>
            </w:r>
          </w:p>
        </w:tc>
        <w:tc>
          <w:tcPr>
            <w:tcW w:w="621" w:type="pct"/>
          </w:tcPr>
          <w:p w14:paraId="21095319" w14:textId="77777777" w:rsidR="00493A7B" w:rsidRPr="007D2017" w:rsidRDefault="00493A7B" w:rsidP="004033CA">
            <w:pPr>
              <w:pStyle w:val="TableBodyText"/>
              <w:jc w:val="right"/>
            </w:pPr>
            <w:r w:rsidRPr="007D2017">
              <w:t>7</w:t>
            </w:r>
          </w:p>
        </w:tc>
      </w:tr>
      <w:tr w:rsidR="00D46D79" w:rsidRPr="007D2017" w14:paraId="2560644A" w14:textId="77777777" w:rsidTr="004033CA">
        <w:trPr>
          <w:trHeight w:val="20"/>
        </w:trPr>
        <w:tc>
          <w:tcPr>
            <w:tcW w:w="849" w:type="pct"/>
          </w:tcPr>
          <w:p w14:paraId="2510418A" w14:textId="77777777" w:rsidR="00493A7B" w:rsidRPr="007D2017" w:rsidRDefault="00493A7B" w:rsidP="00D46D79">
            <w:pPr>
              <w:pStyle w:val="TableBodyText"/>
            </w:pPr>
            <w:r w:rsidRPr="007D2017">
              <w:t>EA Level 6</w:t>
            </w:r>
          </w:p>
        </w:tc>
        <w:tc>
          <w:tcPr>
            <w:tcW w:w="624" w:type="pct"/>
          </w:tcPr>
          <w:p w14:paraId="7BAF1409" w14:textId="77777777" w:rsidR="00493A7B" w:rsidRPr="007D2017" w:rsidRDefault="00493A7B" w:rsidP="004033CA">
            <w:pPr>
              <w:pStyle w:val="TableBodyText"/>
              <w:jc w:val="right"/>
            </w:pPr>
            <w:r w:rsidRPr="007D2017">
              <w:t>125</w:t>
            </w:r>
          </w:p>
        </w:tc>
        <w:tc>
          <w:tcPr>
            <w:tcW w:w="578" w:type="pct"/>
          </w:tcPr>
          <w:p w14:paraId="06A0935C" w14:textId="77777777" w:rsidR="00493A7B" w:rsidRPr="007D2017" w:rsidRDefault="00493A7B" w:rsidP="004033CA">
            <w:pPr>
              <w:pStyle w:val="TableBodyText"/>
              <w:jc w:val="right"/>
            </w:pPr>
            <w:r w:rsidRPr="007D2017">
              <w:t>120</w:t>
            </w:r>
          </w:p>
        </w:tc>
        <w:tc>
          <w:tcPr>
            <w:tcW w:w="624" w:type="pct"/>
          </w:tcPr>
          <w:p w14:paraId="5941EE16" w14:textId="77777777" w:rsidR="00493A7B" w:rsidRPr="007D2017" w:rsidRDefault="00493A7B" w:rsidP="004033CA">
            <w:pPr>
              <w:pStyle w:val="TableBodyText"/>
              <w:jc w:val="right"/>
            </w:pPr>
            <w:r w:rsidRPr="007D2017">
              <w:t>93</w:t>
            </w:r>
          </w:p>
        </w:tc>
        <w:tc>
          <w:tcPr>
            <w:tcW w:w="624" w:type="pct"/>
          </w:tcPr>
          <w:p w14:paraId="5157AEA3" w14:textId="77777777" w:rsidR="00493A7B" w:rsidRPr="007D2017" w:rsidRDefault="00493A7B" w:rsidP="004033CA">
            <w:pPr>
              <w:pStyle w:val="TableBodyText"/>
              <w:jc w:val="right"/>
            </w:pPr>
            <w:r w:rsidRPr="007D2017">
              <w:t>12</w:t>
            </w:r>
          </w:p>
        </w:tc>
        <w:tc>
          <w:tcPr>
            <w:tcW w:w="456" w:type="pct"/>
          </w:tcPr>
          <w:p w14:paraId="2BD38B97" w14:textId="77777777" w:rsidR="00493A7B" w:rsidRPr="007D2017" w:rsidRDefault="00493A7B" w:rsidP="004033CA">
            <w:pPr>
              <w:pStyle w:val="TableBodyText"/>
              <w:jc w:val="right"/>
            </w:pPr>
            <w:r w:rsidRPr="007D2017">
              <w:t>102</w:t>
            </w:r>
          </w:p>
        </w:tc>
        <w:tc>
          <w:tcPr>
            <w:tcW w:w="624" w:type="pct"/>
          </w:tcPr>
          <w:p w14:paraId="6D9EFAAB" w14:textId="77777777" w:rsidR="00493A7B" w:rsidRPr="007D2017" w:rsidRDefault="00493A7B" w:rsidP="004033CA">
            <w:pPr>
              <w:pStyle w:val="TableBodyText"/>
              <w:jc w:val="right"/>
            </w:pPr>
            <w:r w:rsidRPr="007D2017">
              <w:t>20</w:t>
            </w:r>
          </w:p>
        </w:tc>
        <w:tc>
          <w:tcPr>
            <w:tcW w:w="621" w:type="pct"/>
          </w:tcPr>
          <w:p w14:paraId="070351A9" w14:textId="77777777" w:rsidR="00493A7B" w:rsidRPr="007D2017" w:rsidRDefault="00493A7B" w:rsidP="004033CA">
            <w:pPr>
              <w:pStyle w:val="TableBodyText"/>
              <w:jc w:val="right"/>
            </w:pPr>
            <w:r w:rsidRPr="007D2017">
              <w:t>19</w:t>
            </w:r>
          </w:p>
        </w:tc>
      </w:tr>
      <w:tr w:rsidR="00D46D79" w:rsidRPr="007D2017" w14:paraId="1456EDD6" w14:textId="77777777" w:rsidTr="004033CA">
        <w:trPr>
          <w:trHeight w:val="20"/>
        </w:trPr>
        <w:tc>
          <w:tcPr>
            <w:tcW w:w="849" w:type="pct"/>
          </w:tcPr>
          <w:p w14:paraId="7DF41E94" w14:textId="77777777" w:rsidR="00493A7B" w:rsidRPr="007D2017" w:rsidRDefault="00493A7B" w:rsidP="00D46D79">
            <w:pPr>
              <w:pStyle w:val="TableBodyText"/>
            </w:pPr>
            <w:r w:rsidRPr="007D2017">
              <w:t>EA Level 7</w:t>
            </w:r>
          </w:p>
        </w:tc>
        <w:tc>
          <w:tcPr>
            <w:tcW w:w="624" w:type="pct"/>
          </w:tcPr>
          <w:p w14:paraId="194620B5" w14:textId="77777777" w:rsidR="00493A7B" w:rsidRPr="007D2017" w:rsidRDefault="00493A7B" w:rsidP="004033CA">
            <w:pPr>
              <w:pStyle w:val="TableBodyText"/>
              <w:jc w:val="right"/>
            </w:pPr>
            <w:r w:rsidRPr="007D2017">
              <w:t>268</w:t>
            </w:r>
          </w:p>
        </w:tc>
        <w:tc>
          <w:tcPr>
            <w:tcW w:w="578" w:type="pct"/>
          </w:tcPr>
          <w:p w14:paraId="32618CDB" w14:textId="77777777" w:rsidR="00493A7B" w:rsidRPr="007D2017" w:rsidRDefault="00493A7B" w:rsidP="004033CA">
            <w:pPr>
              <w:pStyle w:val="TableBodyText"/>
              <w:jc w:val="right"/>
            </w:pPr>
            <w:r w:rsidRPr="007D2017">
              <w:t>252</w:t>
            </w:r>
          </w:p>
        </w:tc>
        <w:tc>
          <w:tcPr>
            <w:tcW w:w="624" w:type="pct"/>
          </w:tcPr>
          <w:p w14:paraId="636583E0" w14:textId="77777777" w:rsidR="00493A7B" w:rsidRPr="007D2017" w:rsidRDefault="00493A7B" w:rsidP="004033CA">
            <w:pPr>
              <w:pStyle w:val="TableBodyText"/>
              <w:jc w:val="right"/>
            </w:pPr>
            <w:r w:rsidRPr="007D2017">
              <w:t>189</w:t>
            </w:r>
          </w:p>
        </w:tc>
        <w:tc>
          <w:tcPr>
            <w:tcW w:w="624" w:type="pct"/>
          </w:tcPr>
          <w:p w14:paraId="48810BCE" w14:textId="77777777" w:rsidR="00493A7B" w:rsidRPr="007D2017" w:rsidRDefault="00493A7B" w:rsidP="004033CA">
            <w:pPr>
              <w:pStyle w:val="TableBodyText"/>
              <w:jc w:val="right"/>
            </w:pPr>
            <w:r w:rsidRPr="007D2017">
              <w:t>65</w:t>
            </w:r>
          </w:p>
        </w:tc>
        <w:tc>
          <w:tcPr>
            <w:tcW w:w="456" w:type="pct"/>
          </w:tcPr>
          <w:p w14:paraId="19AEB91A" w14:textId="77777777" w:rsidR="00493A7B" w:rsidRPr="007D2017" w:rsidRDefault="00493A7B" w:rsidP="004033CA">
            <w:pPr>
              <w:pStyle w:val="TableBodyText"/>
              <w:jc w:val="right"/>
            </w:pPr>
            <w:r w:rsidRPr="007D2017">
              <w:t>239</w:t>
            </w:r>
          </w:p>
        </w:tc>
        <w:tc>
          <w:tcPr>
            <w:tcW w:w="624" w:type="pct"/>
          </w:tcPr>
          <w:p w14:paraId="5EFFD710" w14:textId="77777777" w:rsidR="00493A7B" w:rsidRPr="007D2017" w:rsidRDefault="00493A7B" w:rsidP="004033CA">
            <w:pPr>
              <w:pStyle w:val="TableBodyText"/>
              <w:jc w:val="right"/>
            </w:pPr>
            <w:r w:rsidRPr="007D2017">
              <w:t>14</w:t>
            </w:r>
          </w:p>
        </w:tc>
        <w:tc>
          <w:tcPr>
            <w:tcW w:w="621" w:type="pct"/>
          </w:tcPr>
          <w:p w14:paraId="17EA58A2" w14:textId="77777777" w:rsidR="00493A7B" w:rsidRPr="007D2017" w:rsidRDefault="00493A7B" w:rsidP="004033CA">
            <w:pPr>
              <w:pStyle w:val="TableBodyText"/>
              <w:jc w:val="right"/>
            </w:pPr>
            <w:r w:rsidRPr="007D2017">
              <w:t>13</w:t>
            </w:r>
          </w:p>
        </w:tc>
      </w:tr>
      <w:tr w:rsidR="00D46D79" w:rsidRPr="007D2017" w14:paraId="38253B93" w14:textId="77777777" w:rsidTr="004033CA">
        <w:trPr>
          <w:trHeight w:val="20"/>
        </w:trPr>
        <w:tc>
          <w:tcPr>
            <w:tcW w:w="849" w:type="pct"/>
          </w:tcPr>
          <w:p w14:paraId="65EED9F2" w14:textId="77777777" w:rsidR="00493A7B" w:rsidRPr="007D2017" w:rsidRDefault="00493A7B" w:rsidP="00D46D79">
            <w:pPr>
              <w:pStyle w:val="TableBodyText"/>
            </w:pPr>
            <w:r w:rsidRPr="007D2017">
              <w:t>EA Senior Officer</w:t>
            </w:r>
          </w:p>
        </w:tc>
        <w:tc>
          <w:tcPr>
            <w:tcW w:w="624" w:type="pct"/>
          </w:tcPr>
          <w:p w14:paraId="172C0364" w14:textId="77777777" w:rsidR="00493A7B" w:rsidRPr="007D2017" w:rsidRDefault="00493A7B" w:rsidP="004033CA">
            <w:pPr>
              <w:pStyle w:val="TableBodyText"/>
              <w:jc w:val="right"/>
            </w:pPr>
            <w:r w:rsidRPr="007D2017">
              <w:t>27</w:t>
            </w:r>
          </w:p>
        </w:tc>
        <w:tc>
          <w:tcPr>
            <w:tcW w:w="578" w:type="pct"/>
          </w:tcPr>
          <w:p w14:paraId="0E8ACB14" w14:textId="77777777" w:rsidR="00493A7B" w:rsidRPr="007D2017" w:rsidRDefault="00493A7B" w:rsidP="004033CA">
            <w:pPr>
              <w:pStyle w:val="TableBodyText"/>
              <w:jc w:val="right"/>
            </w:pPr>
            <w:r w:rsidRPr="007D2017">
              <w:t>25</w:t>
            </w:r>
          </w:p>
        </w:tc>
        <w:tc>
          <w:tcPr>
            <w:tcW w:w="624" w:type="pct"/>
          </w:tcPr>
          <w:p w14:paraId="7D9D7722" w14:textId="77777777" w:rsidR="00493A7B" w:rsidRPr="007D2017" w:rsidRDefault="00493A7B" w:rsidP="004033CA">
            <w:pPr>
              <w:pStyle w:val="TableBodyText"/>
              <w:jc w:val="right"/>
            </w:pPr>
            <w:r w:rsidRPr="007D2017">
              <w:t>17</w:t>
            </w:r>
          </w:p>
        </w:tc>
        <w:tc>
          <w:tcPr>
            <w:tcW w:w="624" w:type="pct"/>
          </w:tcPr>
          <w:p w14:paraId="1CF04E63" w14:textId="77777777" w:rsidR="00493A7B" w:rsidRPr="007D2017" w:rsidRDefault="00493A7B" w:rsidP="004033CA">
            <w:pPr>
              <w:pStyle w:val="TableBodyText"/>
              <w:jc w:val="right"/>
            </w:pPr>
            <w:r w:rsidRPr="007D2017">
              <w:t>6</w:t>
            </w:r>
          </w:p>
        </w:tc>
        <w:tc>
          <w:tcPr>
            <w:tcW w:w="456" w:type="pct"/>
          </w:tcPr>
          <w:p w14:paraId="49FBE955" w14:textId="77777777" w:rsidR="00493A7B" w:rsidRPr="007D2017" w:rsidRDefault="00493A7B" w:rsidP="004033CA">
            <w:pPr>
              <w:pStyle w:val="TableBodyText"/>
              <w:jc w:val="right"/>
            </w:pPr>
            <w:r w:rsidRPr="007D2017">
              <w:t>22</w:t>
            </w:r>
          </w:p>
        </w:tc>
        <w:tc>
          <w:tcPr>
            <w:tcW w:w="624" w:type="pct"/>
          </w:tcPr>
          <w:p w14:paraId="603332A6" w14:textId="77777777" w:rsidR="00493A7B" w:rsidRPr="007D2017" w:rsidRDefault="00493A7B" w:rsidP="004033CA">
            <w:pPr>
              <w:pStyle w:val="TableBodyText"/>
              <w:jc w:val="right"/>
            </w:pPr>
            <w:r w:rsidRPr="007D2017">
              <w:t>4</w:t>
            </w:r>
          </w:p>
        </w:tc>
        <w:tc>
          <w:tcPr>
            <w:tcW w:w="621" w:type="pct"/>
          </w:tcPr>
          <w:p w14:paraId="272B032A" w14:textId="77777777" w:rsidR="00493A7B" w:rsidRPr="007D2017" w:rsidRDefault="00493A7B" w:rsidP="004033CA">
            <w:pPr>
              <w:pStyle w:val="TableBodyText"/>
              <w:jc w:val="right"/>
            </w:pPr>
            <w:r w:rsidRPr="007D2017">
              <w:t>4</w:t>
            </w:r>
          </w:p>
        </w:tc>
      </w:tr>
      <w:tr w:rsidR="00D46D79" w:rsidRPr="007E689B" w14:paraId="71CBED8D" w14:textId="77777777" w:rsidTr="004033CA">
        <w:trPr>
          <w:trHeight w:val="20"/>
        </w:trPr>
        <w:tc>
          <w:tcPr>
            <w:tcW w:w="849" w:type="pct"/>
          </w:tcPr>
          <w:p w14:paraId="076B3DAA" w14:textId="77777777" w:rsidR="00493A7B" w:rsidRPr="007E689B" w:rsidRDefault="00493A7B" w:rsidP="00D46D79">
            <w:pPr>
              <w:pStyle w:val="TableBodyText"/>
              <w:rPr>
                <w:rStyle w:val="Bold"/>
              </w:rPr>
            </w:pPr>
            <w:r w:rsidRPr="007E689B">
              <w:rPr>
                <w:rStyle w:val="Bold"/>
              </w:rPr>
              <w:t>Management Contract Total</w:t>
            </w:r>
          </w:p>
        </w:tc>
        <w:tc>
          <w:tcPr>
            <w:tcW w:w="624" w:type="pct"/>
          </w:tcPr>
          <w:p w14:paraId="38294C45" w14:textId="77777777" w:rsidR="00493A7B" w:rsidRPr="007E689B" w:rsidRDefault="00493A7B" w:rsidP="004033CA">
            <w:pPr>
              <w:pStyle w:val="TableBodyText"/>
              <w:jc w:val="right"/>
              <w:rPr>
                <w:rStyle w:val="Bold"/>
              </w:rPr>
            </w:pPr>
            <w:r w:rsidRPr="007E689B">
              <w:rPr>
                <w:rStyle w:val="Bold"/>
              </w:rPr>
              <w:t>422</w:t>
            </w:r>
          </w:p>
        </w:tc>
        <w:tc>
          <w:tcPr>
            <w:tcW w:w="578" w:type="pct"/>
          </w:tcPr>
          <w:p w14:paraId="235FBEAC" w14:textId="77777777" w:rsidR="00493A7B" w:rsidRPr="007E689B" w:rsidRDefault="00493A7B" w:rsidP="004033CA">
            <w:pPr>
              <w:pStyle w:val="TableBodyText"/>
              <w:jc w:val="right"/>
              <w:rPr>
                <w:rStyle w:val="Bold"/>
              </w:rPr>
            </w:pPr>
            <w:r w:rsidRPr="007E689B">
              <w:rPr>
                <w:rStyle w:val="Bold"/>
              </w:rPr>
              <w:t>405</w:t>
            </w:r>
          </w:p>
        </w:tc>
        <w:tc>
          <w:tcPr>
            <w:tcW w:w="624" w:type="pct"/>
          </w:tcPr>
          <w:p w14:paraId="2B228A87" w14:textId="77777777" w:rsidR="00493A7B" w:rsidRPr="007E689B" w:rsidRDefault="00493A7B" w:rsidP="004033CA">
            <w:pPr>
              <w:pStyle w:val="TableBodyText"/>
              <w:jc w:val="right"/>
              <w:rPr>
                <w:rStyle w:val="Bold"/>
              </w:rPr>
            </w:pPr>
            <w:r w:rsidRPr="007E689B">
              <w:rPr>
                <w:rStyle w:val="Bold"/>
              </w:rPr>
              <w:t>334</w:t>
            </w:r>
          </w:p>
        </w:tc>
        <w:tc>
          <w:tcPr>
            <w:tcW w:w="624" w:type="pct"/>
          </w:tcPr>
          <w:p w14:paraId="67291FCD" w14:textId="77777777" w:rsidR="00493A7B" w:rsidRPr="007E689B" w:rsidRDefault="00493A7B" w:rsidP="004033CA">
            <w:pPr>
              <w:pStyle w:val="TableBodyText"/>
              <w:jc w:val="right"/>
              <w:rPr>
                <w:rStyle w:val="Bold"/>
              </w:rPr>
            </w:pPr>
            <w:r w:rsidRPr="007E689B">
              <w:rPr>
                <w:rStyle w:val="Bold"/>
              </w:rPr>
              <w:t>77</w:t>
            </w:r>
          </w:p>
        </w:tc>
        <w:tc>
          <w:tcPr>
            <w:tcW w:w="456" w:type="pct"/>
          </w:tcPr>
          <w:p w14:paraId="2FB5F59B" w14:textId="77777777" w:rsidR="00493A7B" w:rsidRPr="007E689B" w:rsidRDefault="00493A7B" w:rsidP="004033CA">
            <w:pPr>
              <w:pStyle w:val="TableBodyText"/>
              <w:jc w:val="right"/>
              <w:rPr>
                <w:rStyle w:val="Bold"/>
              </w:rPr>
            </w:pPr>
            <w:r w:rsidRPr="007E689B">
              <w:rPr>
                <w:rStyle w:val="Bold"/>
              </w:rPr>
              <w:t>395</w:t>
            </w:r>
          </w:p>
        </w:tc>
        <w:tc>
          <w:tcPr>
            <w:tcW w:w="624" w:type="pct"/>
          </w:tcPr>
          <w:p w14:paraId="729C17FE" w14:textId="77777777" w:rsidR="00493A7B" w:rsidRPr="007E689B" w:rsidRDefault="00493A7B" w:rsidP="004033CA">
            <w:pPr>
              <w:pStyle w:val="TableBodyText"/>
              <w:jc w:val="right"/>
              <w:rPr>
                <w:rStyle w:val="Bold"/>
              </w:rPr>
            </w:pPr>
            <w:r w:rsidRPr="007E689B">
              <w:rPr>
                <w:rStyle w:val="Bold"/>
              </w:rPr>
              <w:t>11</w:t>
            </w:r>
          </w:p>
        </w:tc>
        <w:tc>
          <w:tcPr>
            <w:tcW w:w="621" w:type="pct"/>
          </w:tcPr>
          <w:p w14:paraId="69515F8F" w14:textId="77777777" w:rsidR="00493A7B" w:rsidRPr="007E689B" w:rsidRDefault="00493A7B" w:rsidP="004033CA">
            <w:pPr>
              <w:pStyle w:val="TableBodyText"/>
              <w:jc w:val="right"/>
              <w:rPr>
                <w:rStyle w:val="Bold"/>
              </w:rPr>
            </w:pPr>
            <w:r w:rsidRPr="007E689B">
              <w:rPr>
                <w:rStyle w:val="Bold"/>
              </w:rPr>
              <w:t>10</w:t>
            </w:r>
          </w:p>
        </w:tc>
      </w:tr>
      <w:tr w:rsidR="00D46D79" w:rsidRPr="007D2017" w14:paraId="1BB83FD3" w14:textId="77777777" w:rsidTr="004033CA">
        <w:trPr>
          <w:trHeight w:val="20"/>
        </w:trPr>
        <w:tc>
          <w:tcPr>
            <w:tcW w:w="849" w:type="pct"/>
          </w:tcPr>
          <w:p w14:paraId="37653D0C" w14:textId="77777777" w:rsidR="00493A7B" w:rsidRPr="007D2017" w:rsidRDefault="00493A7B" w:rsidP="00D46D79">
            <w:pPr>
              <w:pStyle w:val="TableBodyText"/>
            </w:pPr>
            <w:r w:rsidRPr="007D2017">
              <w:t>Senior managers</w:t>
            </w:r>
          </w:p>
        </w:tc>
        <w:tc>
          <w:tcPr>
            <w:tcW w:w="624" w:type="pct"/>
          </w:tcPr>
          <w:p w14:paraId="41E3D4E5" w14:textId="77777777" w:rsidR="00493A7B" w:rsidRPr="007D2017" w:rsidRDefault="00493A7B" w:rsidP="004033CA">
            <w:pPr>
              <w:pStyle w:val="TableBodyText"/>
              <w:jc w:val="right"/>
            </w:pPr>
            <w:r w:rsidRPr="007D2017">
              <w:t>409</w:t>
            </w:r>
          </w:p>
        </w:tc>
        <w:tc>
          <w:tcPr>
            <w:tcW w:w="578" w:type="pct"/>
          </w:tcPr>
          <w:p w14:paraId="5C6B1F5E" w14:textId="77777777" w:rsidR="00493A7B" w:rsidRPr="007D2017" w:rsidRDefault="00493A7B" w:rsidP="004033CA">
            <w:pPr>
              <w:pStyle w:val="TableBodyText"/>
              <w:jc w:val="right"/>
            </w:pPr>
            <w:r w:rsidRPr="007D2017">
              <w:t>392</w:t>
            </w:r>
          </w:p>
        </w:tc>
        <w:tc>
          <w:tcPr>
            <w:tcW w:w="624" w:type="pct"/>
          </w:tcPr>
          <w:p w14:paraId="149F529C" w14:textId="77777777" w:rsidR="00493A7B" w:rsidRPr="007D2017" w:rsidRDefault="00493A7B" w:rsidP="004033CA">
            <w:pPr>
              <w:pStyle w:val="TableBodyText"/>
              <w:jc w:val="right"/>
            </w:pPr>
            <w:r w:rsidRPr="007D2017">
              <w:t>321</w:t>
            </w:r>
          </w:p>
        </w:tc>
        <w:tc>
          <w:tcPr>
            <w:tcW w:w="624" w:type="pct"/>
          </w:tcPr>
          <w:p w14:paraId="3F30EF02" w14:textId="77777777" w:rsidR="00493A7B" w:rsidRPr="007D2017" w:rsidRDefault="00493A7B" w:rsidP="004033CA">
            <w:pPr>
              <w:pStyle w:val="TableBodyText"/>
              <w:jc w:val="right"/>
            </w:pPr>
            <w:r w:rsidRPr="007D2017">
              <w:t>77</w:t>
            </w:r>
          </w:p>
        </w:tc>
        <w:tc>
          <w:tcPr>
            <w:tcW w:w="456" w:type="pct"/>
          </w:tcPr>
          <w:p w14:paraId="534DEC61" w14:textId="77777777" w:rsidR="00493A7B" w:rsidRPr="007D2017" w:rsidRDefault="00493A7B" w:rsidP="004033CA">
            <w:pPr>
              <w:pStyle w:val="TableBodyText"/>
              <w:jc w:val="right"/>
            </w:pPr>
            <w:r w:rsidRPr="007D2017">
              <w:t>382</w:t>
            </w:r>
          </w:p>
        </w:tc>
        <w:tc>
          <w:tcPr>
            <w:tcW w:w="624" w:type="pct"/>
          </w:tcPr>
          <w:p w14:paraId="6F72181B" w14:textId="77777777" w:rsidR="00493A7B" w:rsidRPr="007D2017" w:rsidRDefault="00493A7B" w:rsidP="004033CA">
            <w:pPr>
              <w:pStyle w:val="TableBodyText"/>
              <w:jc w:val="right"/>
            </w:pPr>
            <w:r w:rsidRPr="007D2017">
              <w:t>11</w:t>
            </w:r>
          </w:p>
        </w:tc>
        <w:tc>
          <w:tcPr>
            <w:tcW w:w="621" w:type="pct"/>
          </w:tcPr>
          <w:p w14:paraId="0713BFF8" w14:textId="77777777" w:rsidR="00493A7B" w:rsidRPr="007D2017" w:rsidRDefault="00493A7B" w:rsidP="004033CA">
            <w:pPr>
              <w:pStyle w:val="TableBodyText"/>
              <w:jc w:val="right"/>
            </w:pPr>
            <w:r w:rsidRPr="007D2017">
              <w:t>10</w:t>
            </w:r>
          </w:p>
        </w:tc>
      </w:tr>
      <w:tr w:rsidR="00D46D79" w:rsidRPr="007D2017" w14:paraId="5AE2F91A" w14:textId="77777777" w:rsidTr="004033CA">
        <w:trPr>
          <w:trHeight w:val="20"/>
        </w:trPr>
        <w:tc>
          <w:tcPr>
            <w:tcW w:w="849" w:type="pct"/>
          </w:tcPr>
          <w:p w14:paraId="06753402" w14:textId="77777777" w:rsidR="00493A7B" w:rsidRPr="007D2017" w:rsidRDefault="00493A7B" w:rsidP="00D46D79">
            <w:pPr>
              <w:pStyle w:val="TableBodyText"/>
            </w:pPr>
            <w:r w:rsidRPr="007D2017">
              <w:t>Executives</w:t>
            </w:r>
          </w:p>
        </w:tc>
        <w:tc>
          <w:tcPr>
            <w:tcW w:w="624" w:type="pct"/>
          </w:tcPr>
          <w:p w14:paraId="5958E699" w14:textId="77777777" w:rsidR="00493A7B" w:rsidRPr="007D2017" w:rsidRDefault="00493A7B" w:rsidP="004033CA">
            <w:pPr>
              <w:pStyle w:val="TableBodyText"/>
              <w:jc w:val="right"/>
            </w:pPr>
            <w:r w:rsidRPr="007D2017">
              <w:t>13</w:t>
            </w:r>
          </w:p>
        </w:tc>
        <w:tc>
          <w:tcPr>
            <w:tcW w:w="578" w:type="pct"/>
          </w:tcPr>
          <w:p w14:paraId="42936C6D" w14:textId="77777777" w:rsidR="00493A7B" w:rsidRPr="007D2017" w:rsidRDefault="00493A7B" w:rsidP="004033CA">
            <w:pPr>
              <w:pStyle w:val="TableBodyText"/>
              <w:jc w:val="right"/>
            </w:pPr>
            <w:r w:rsidRPr="007D2017">
              <w:t>13</w:t>
            </w:r>
          </w:p>
        </w:tc>
        <w:tc>
          <w:tcPr>
            <w:tcW w:w="624" w:type="pct"/>
          </w:tcPr>
          <w:p w14:paraId="2CB35A34" w14:textId="77777777" w:rsidR="00493A7B" w:rsidRPr="007D2017" w:rsidRDefault="00493A7B" w:rsidP="004033CA">
            <w:pPr>
              <w:pStyle w:val="TableBodyText"/>
              <w:jc w:val="right"/>
            </w:pPr>
            <w:r w:rsidRPr="007D2017">
              <w:t>13</w:t>
            </w:r>
          </w:p>
        </w:tc>
        <w:tc>
          <w:tcPr>
            <w:tcW w:w="624" w:type="pct"/>
          </w:tcPr>
          <w:p w14:paraId="7798571A" w14:textId="77777777" w:rsidR="00493A7B" w:rsidRPr="007D2017" w:rsidRDefault="00493A7B" w:rsidP="004033CA">
            <w:pPr>
              <w:pStyle w:val="TableBodyText"/>
              <w:jc w:val="right"/>
            </w:pPr>
            <w:r w:rsidRPr="007D2017">
              <w:t>0</w:t>
            </w:r>
          </w:p>
        </w:tc>
        <w:tc>
          <w:tcPr>
            <w:tcW w:w="456" w:type="pct"/>
          </w:tcPr>
          <w:p w14:paraId="2A5274F6" w14:textId="77777777" w:rsidR="00493A7B" w:rsidRPr="007D2017" w:rsidRDefault="00493A7B" w:rsidP="004033CA">
            <w:pPr>
              <w:pStyle w:val="TableBodyText"/>
              <w:jc w:val="right"/>
            </w:pPr>
            <w:r w:rsidRPr="007D2017">
              <w:t>13</w:t>
            </w:r>
          </w:p>
        </w:tc>
        <w:tc>
          <w:tcPr>
            <w:tcW w:w="624" w:type="pct"/>
          </w:tcPr>
          <w:p w14:paraId="385DC63A" w14:textId="77777777" w:rsidR="00493A7B" w:rsidRPr="007D2017" w:rsidRDefault="00493A7B" w:rsidP="004033CA">
            <w:pPr>
              <w:pStyle w:val="TableBodyText"/>
              <w:jc w:val="right"/>
            </w:pPr>
            <w:r w:rsidRPr="007D2017">
              <w:t>0</w:t>
            </w:r>
          </w:p>
        </w:tc>
        <w:tc>
          <w:tcPr>
            <w:tcW w:w="621" w:type="pct"/>
          </w:tcPr>
          <w:p w14:paraId="008A7624" w14:textId="77777777" w:rsidR="00493A7B" w:rsidRPr="007D2017" w:rsidRDefault="00493A7B" w:rsidP="004033CA">
            <w:pPr>
              <w:pStyle w:val="TableBodyText"/>
              <w:jc w:val="right"/>
            </w:pPr>
            <w:r w:rsidRPr="007D2017">
              <w:t>0</w:t>
            </w:r>
          </w:p>
        </w:tc>
      </w:tr>
      <w:tr w:rsidR="00D46D79" w:rsidRPr="007E689B" w14:paraId="117EA06B" w14:textId="77777777" w:rsidTr="004033CA">
        <w:trPr>
          <w:trHeight w:val="20"/>
        </w:trPr>
        <w:tc>
          <w:tcPr>
            <w:tcW w:w="849" w:type="pct"/>
          </w:tcPr>
          <w:p w14:paraId="507B32DC" w14:textId="77777777" w:rsidR="00493A7B" w:rsidRPr="007E689B" w:rsidRDefault="00493A7B" w:rsidP="00D46D79">
            <w:pPr>
              <w:pStyle w:val="TableBodyText"/>
              <w:rPr>
                <w:rStyle w:val="Bold"/>
              </w:rPr>
            </w:pPr>
            <w:r w:rsidRPr="007E689B">
              <w:rPr>
                <w:rStyle w:val="Bold"/>
              </w:rPr>
              <w:t>Total Employees</w:t>
            </w:r>
          </w:p>
        </w:tc>
        <w:tc>
          <w:tcPr>
            <w:tcW w:w="624" w:type="pct"/>
          </w:tcPr>
          <w:p w14:paraId="215B141D" w14:textId="77777777" w:rsidR="00493A7B" w:rsidRPr="007E689B" w:rsidRDefault="00493A7B" w:rsidP="004033CA">
            <w:pPr>
              <w:pStyle w:val="TableBodyText"/>
              <w:jc w:val="right"/>
              <w:rPr>
                <w:rStyle w:val="Bold"/>
              </w:rPr>
            </w:pPr>
            <w:r w:rsidRPr="007E689B">
              <w:rPr>
                <w:rStyle w:val="Bold"/>
              </w:rPr>
              <w:t>1198</w:t>
            </w:r>
          </w:p>
        </w:tc>
        <w:tc>
          <w:tcPr>
            <w:tcW w:w="578" w:type="pct"/>
          </w:tcPr>
          <w:p w14:paraId="3E1F6F7B" w14:textId="77777777" w:rsidR="00493A7B" w:rsidRPr="007E689B" w:rsidRDefault="00493A7B" w:rsidP="004033CA">
            <w:pPr>
              <w:pStyle w:val="TableBodyText"/>
              <w:jc w:val="right"/>
              <w:rPr>
                <w:rStyle w:val="Bold"/>
              </w:rPr>
            </w:pPr>
            <w:r w:rsidRPr="007E689B">
              <w:rPr>
                <w:rStyle w:val="Bold"/>
              </w:rPr>
              <w:t>1132</w:t>
            </w:r>
          </w:p>
        </w:tc>
        <w:tc>
          <w:tcPr>
            <w:tcW w:w="624" w:type="pct"/>
          </w:tcPr>
          <w:p w14:paraId="57049E72" w14:textId="77777777" w:rsidR="00493A7B" w:rsidRPr="007E689B" w:rsidRDefault="00493A7B" w:rsidP="004033CA">
            <w:pPr>
              <w:pStyle w:val="TableBodyText"/>
              <w:jc w:val="right"/>
              <w:rPr>
                <w:rStyle w:val="Bold"/>
              </w:rPr>
            </w:pPr>
            <w:r w:rsidRPr="007E689B">
              <w:rPr>
                <w:rStyle w:val="Bold"/>
              </w:rPr>
              <w:t>897</w:t>
            </w:r>
          </w:p>
        </w:tc>
        <w:tc>
          <w:tcPr>
            <w:tcW w:w="624" w:type="pct"/>
          </w:tcPr>
          <w:p w14:paraId="673F504E" w14:textId="77777777" w:rsidR="00493A7B" w:rsidRPr="007E689B" w:rsidRDefault="00493A7B" w:rsidP="004033CA">
            <w:pPr>
              <w:pStyle w:val="TableBodyText"/>
              <w:jc w:val="right"/>
              <w:rPr>
                <w:rStyle w:val="Bold"/>
              </w:rPr>
            </w:pPr>
            <w:r w:rsidRPr="007E689B">
              <w:rPr>
                <w:rStyle w:val="Bold"/>
              </w:rPr>
              <w:t>185</w:t>
            </w:r>
          </w:p>
        </w:tc>
        <w:tc>
          <w:tcPr>
            <w:tcW w:w="456" w:type="pct"/>
          </w:tcPr>
          <w:p w14:paraId="02F8B8D3" w14:textId="77777777" w:rsidR="00493A7B" w:rsidRPr="007E689B" w:rsidRDefault="00493A7B" w:rsidP="004033CA">
            <w:pPr>
              <w:pStyle w:val="TableBodyText"/>
              <w:jc w:val="right"/>
              <w:rPr>
                <w:rStyle w:val="Bold"/>
              </w:rPr>
            </w:pPr>
            <w:r w:rsidRPr="007E689B">
              <w:rPr>
                <w:rStyle w:val="Bold"/>
              </w:rPr>
              <w:t>1038</w:t>
            </w:r>
          </w:p>
        </w:tc>
        <w:tc>
          <w:tcPr>
            <w:tcW w:w="624" w:type="pct"/>
          </w:tcPr>
          <w:p w14:paraId="1AD72D21" w14:textId="77777777" w:rsidR="00493A7B" w:rsidRPr="007E689B" w:rsidRDefault="00493A7B" w:rsidP="004033CA">
            <w:pPr>
              <w:pStyle w:val="TableBodyText"/>
              <w:jc w:val="right"/>
              <w:rPr>
                <w:rStyle w:val="Bold"/>
              </w:rPr>
            </w:pPr>
            <w:r w:rsidRPr="007E689B">
              <w:rPr>
                <w:rStyle w:val="Bold"/>
              </w:rPr>
              <w:t>116</w:t>
            </w:r>
          </w:p>
        </w:tc>
        <w:tc>
          <w:tcPr>
            <w:tcW w:w="621" w:type="pct"/>
          </w:tcPr>
          <w:p w14:paraId="4BEB007D" w14:textId="77777777" w:rsidR="00493A7B" w:rsidRPr="007E689B" w:rsidRDefault="00493A7B" w:rsidP="004033CA">
            <w:pPr>
              <w:pStyle w:val="TableBodyText"/>
              <w:jc w:val="right"/>
              <w:rPr>
                <w:rStyle w:val="Bold"/>
              </w:rPr>
            </w:pPr>
            <w:r w:rsidRPr="007E689B">
              <w:rPr>
                <w:rStyle w:val="Bold"/>
              </w:rPr>
              <w:t>94</w:t>
            </w:r>
          </w:p>
        </w:tc>
      </w:tr>
    </w:tbl>
    <w:p w14:paraId="4BDD0491" w14:textId="77777777" w:rsidR="00FA3C1F" w:rsidRDefault="00FA3C1F" w:rsidP="00FA3C1F">
      <w:pPr>
        <w:pStyle w:val="BodyText"/>
        <w:rPr>
          <w:lang w:eastAsia="en-US"/>
        </w:rPr>
      </w:pPr>
      <w:r>
        <w:rPr>
          <w:lang w:eastAsia="en-US"/>
        </w:rPr>
        <w:t>Notes:</w:t>
      </w:r>
    </w:p>
    <w:p w14:paraId="79051D7E" w14:textId="3F9815A0" w:rsidR="00FA3C1F" w:rsidRDefault="00FA3C1F" w:rsidP="00FA3C1F">
      <w:pPr>
        <w:pStyle w:val="ListBullet"/>
        <w:rPr>
          <w:lang w:eastAsia="en-US"/>
        </w:rPr>
      </w:pPr>
      <w:r>
        <w:rPr>
          <w:lang w:eastAsia="en-US"/>
        </w:rPr>
        <w:t>Graduates are excluded from workforce data, as per FRD 29C guidance</w:t>
      </w:r>
    </w:p>
    <w:p w14:paraId="54495D6A" w14:textId="4D91F323" w:rsidR="00FA3C1F" w:rsidRDefault="00FA3C1F" w:rsidP="00FA3C1F">
      <w:pPr>
        <w:pStyle w:val="ListBullet"/>
        <w:rPr>
          <w:lang w:eastAsia="en-US"/>
        </w:rPr>
      </w:pPr>
      <w:r>
        <w:rPr>
          <w:lang w:eastAsia="en-US"/>
        </w:rPr>
        <w:t>Employees on leave without pay or maternity leave without pay are excluded, as per FRD 29C guidance</w:t>
      </w:r>
    </w:p>
    <w:p w14:paraId="1D91820D" w14:textId="175D2414" w:rsidR="00FA3C1F" w:rsidRDefault="00FA3C1F" w:rsidP="00FA3C1F">
      <w:pPr>
        <w:pStyle w:val="ListBullet"/>
        <w:rPr>
          <w:lang w:eastAsia="en-US"/>
        </w:rPr>
      </w:pPr>
      <w:r>
        <w:rPr>
          <w:lang w:eastAsia="en-US"/>
        </w:rPr>
        <w:t>Employees on secondment have been included, as per FRD 29C guidance</w:t>
      </w:r>
    </w:p>
    <w:p w14:paraId="4AA0F2C8" w14:textId="3B6E7F2A" w:rsidR="00FA3C1F" w:rsidRDefault="00FA3C1F" w:rsidP="00FA3C1F">
      <w:pPr>
        <w:pStyle w:val="ListBullet"/>
        <w:rPr>
          <w:lang w:eastAsia="en-US"/>
        </w:rPr>
      </w:pPr>
      <w:r>
        <w:rPr>
          <w:lang w:eastAsia="en-US"/>
        </w:rPr>
        <w:t>One employee was acting in a long-term senior position at the last full pay period in June of 2021.</w:t>
      </w:r>
    </w:p>
    <w:p w14:paraId="1AC74A92" w14:textId="77777777" w:rsidR="00FA3C1F" w:rsidRDefault="00FA3C1F" w:rsidP="00FA3C1F">
      <w:pPr>
        <w:pStyle w:val="Heading3"/>
      </w:pPr>
      <w:bookmarkStart w:id="540" w:name="_Toc89723061"/>
      <w:bookmarkStart w:id="541" w:name="_Ref89799994"/>
      <w:bookmarkStart w:id="542" w:name="_Toc90326004"/>
      <w:bookmarkStart w:id="543" w:name="_Toc93659410"/>
      <w:r>
        <w:t>Local Jobs First</w:t>
      </w:r>
      <w:bookmarkEnd w:id="540"/>
      <w:bookmarkEnd w:id="541"/>
      <w:bookmarkEnd w:id="542"/>
      <w:bookmarkEnd w:id="543"/>
    </w:p>
    <w:p w14:paraId="21363225" w14:textId="2C254502" w:rsidR="00FA3C1F" w:rsidRDefault="00FA3C1F" w:rsidP="00FA3C1F">
      <w:pPr>
        <w:pStyle w:val="BodyText"/>
        <w:rPr>
          <w:lang w:eastAsia="en-US"/>
        </w:rPr>
      </w:pPr>
      <w:r>
        <w:rPr>
          <w:lang w:eastAsia="en-US"/>
        </w:rPr>
        <w:t xml:space="preserve">The </w:t>
      </w:r>
      <w:r w:rsidRPr="008E11E9">
        <w:rPr>
          <w:rStyle w:val="ItalicText"/>
          <w:lang w:eastAsia="en-US"/>
        </w:rPr>
        <w:t>Local Jobs First Act 2003</w:t>
      </w:r>
      <w:r>
        <w:rPr>
          <w:lang w:eastAsia="en-US"/>
        </w:rPr>
        <w:t xml:space="preserve"> comprises the Victorian Industry Participation Policy (VIPP) and the Major Projects Skills Guarantee (MPSG). All public departments and agencies are required to implement the policy. The Local Jobs First Policy (LJFP) supports Victorian businesses and workers by ensuring that small and medium size enterprises are given a full and fair opportunity to compete for both large and small government contracts, helping to create job opportunities, including for apprentices, trainees and cadets. The annual report on the implementation of </w:t>
      </w:r>
      <w:r w:rsidR="00965CBF">
        <w:rPr>
          <w:lang w:eastAsia="en-US"/>
        </w:rPr>
        <w:t>Local Jobs First Policy</w:t>
      </w:r>
      <w:r>
        <w:rPr>
          <w:lang w:eastAsia="en-US"/>
        </w:rPr>
        <w:t xml:space="preserve"> is tabled in Parliament by the Minister for Jobs, Innovation and Trade.</w:t>
      </w:r>
    </w:p>
    <w:p w14:paraId="0B02EAF8" w14:textId="2BEE599F" w:rsidR="00FA3C1F" w:rsidRDefault="00FA3C1F" w:rsidP="00FA3C1F">
      <w:pPr>
        <w:pStyle w:val="BodyText"/>
        <w:rPr>
          <w:lang w:eastAsia="en-US"/>
        </w:rPr>
      </w:pPr>
      <w:r>
        <w:rPr>
          <w:lang w:eastAsia="en-US"/>
        </w:rPr>
        <w:t>The following projects were commenced or completed during</w:t>
      </w:r>
      <w:r w:rsidR="008E11E9">
        <w:rPr>
          <w:lang w:eastAsia="en-US"/>
        </w:rPr>
        <w:t xml:space="preserve"> </w:t>
      </w:r>
      <w:r>
        <w:rPr>
          <w:lang w:eastAsia="en-US"/>
        </w:rPr>
        <w:t>2020-21 in accordance with the relevant obligations.</w:t>
      </w:r>
    </w:p>
    <w:p w14:paraId="09FCDD40" w14:textId="77777777" w:rsidR="00FA3C1F" w:rsidRDefault="00FA3C1F" w:rsidP="008E11E9">
      <w:pPr>
        <w:pStyle w:val="Heading4"/>
      </w:pPr>
      <w:r>
        <w:lastRenderedPageBreak/>
        <w:t>Projects Commenced – Local Jobs First Standard</w:t>
      </w:r>
    </w:p>
    <w:p w14:paraId="4DDFF32A" w14:textId="467929D3" w:rsidR="00FA3C1F" w:rsidRDefault="00FA3C1F" w:rsidP="00CF70F9">
      <w:pPr>
        <w:pStyle w:val="BodyText"/>
        <w:spacing w:before="120" w:after="120"/>
        <w:rPr>
          <w:lang w:eastAsia="en-US"/>
        </w:rPr>
      </w:pPr>
      <w:r>
        <w:rPr>
          <w:lang w:eastAsia="en-US"/>
        </w:rPr>
        <w:t>Melbourne Water commenced seven projects in metropolitan</w:t>
      </w:r>
      <w:r w:rsidR="008E11E9">
        <w:rPr>
          <w:lang w:eastAsia="en-US"/>
        </w:rPr>
        <w:t xml:space="preserve"> </w:t>
      </w:r>
      <w:r>
        <w:rPr>
          <w:lang w:eastAsia="en-US"/>
        </w:rPr>
        <w:t xml:space="preserve">Melbourne totalling $80,970,659. </w:t>
      </w:r>
      <w:r w:rsidR="00965CBF">
        <w:rPr>
          <w:lang w:eastAsia="en-US"/>
        </w:rPr>
        <w:t>Major Projects Skills Guarantee</w:t>
      </w:r>
      <w:r>
        <w:rPr>
          <w:lang w:eastAsia="en-US"/>
        </w:rPr>
        <w:t xml:space="preserve"> did not apply to these</w:t>
      </w:r>
      <w:r w:rsidR="008E11E9">
        <w:rPr>
          <w:lang w:eastAsia="en-US"/>
        </w:rPr>
        <w:t xml:space="preserve"> </w:t>
      </w:r>
      <w:r>
        <w:rPr>
          <w:lang w:eastAsia="en-US"/>
        </w:rPr>
        <w:t>projects.</w:t>
      </w:r>
    </w:p>
    <w:p w14:paraId="328238B7" w14:textId="09D5D1F5" w:rsidR="00FA3C1F" w:rsidRDefault="00FA3C1F" w:rsidP="00CF70F9">
      <w:pPr>
        <w:pStyle w:val="BodyText"/>
        <w:keepNext/>
        <w:spacing w:before="120" w:after="120"/>
        <w:rPr>
          <w:lang w:eastAsia="en-US"/>
        </w:rPr>
      </w:pPr>
      <w:r>
        <w:rPr>
          <w:lang w:eastAsia="en-US"/>
        </w:rPr>
        <w:t xml:space="preserve">The outcomes expected from the implementation of the </w:t>
      </w:r>
      <w:r w:rsidR="00965CBF">
        <w:rPr>
          <w:lang w:eastAsia="en-US"/>
        </w:rPr>
        <w:t>Local Jobs First Policy</w:t>
      </w:r>
      <w:r>
        <w:rPr>
          <w:lang w:eastAsia="en-US"/>
        </w:rPr>
        <w:t xml:space="preserve"> to these projects where information was provided are as follows:</w:t>
      </w:r>
    </w:p>
    <w:p w14:paraId="48C6A1C4" w14:textId="70D15784" w:rsidR="00FA3C1F" w:rsidRDefault="00FA3C1F" w:rsidP="000C436B">
      <w:pPr>
        <w:pStyle w:val="ListBullet"/>
        <w:keepNext/>
        <w:rPr>
          <w:lang w:eastAsia="en-US"/>
        </w:rPr>
      </w:pPr>
      <w:r>
        <w:rPr>
          <w:lang w:eastAsia="en-US"/>
        </w:rPr>
        <w:t>the average commitment was 87.57 per cent local content</w:t>
      </w:r>
    </w:p>
    <w:p w14:paraId="267E6C3B" w14:textId="77777777" w:rsidR="00FA3C1F" w:rsidRDefault="00FA3C1F" w:rsidP="008E11E9">
      <w:pPr>
        <w:pStyle w:val="ListBullet"/>
        <w:rPr>
          <w:lang w:eastAsia="en-US"/>
        </w:rPr>
      </w:pPr>
      <w:r>
        <w:rPr>
          <w:lang w:eastAsia="en-US"/>
        </w:rPr>
        <w:t>a total of 4.24 local jobs to be created</w:t>
      </w:r>
    </w:p>
    <w:p w14:paraId="4855409E" w14:textId="77777777" w:rsidR="00FA3C1F" w:rsidRDefault="00FA3C1F" w:rsidP="008E11E9">
      <w:pPr>
        <w:pStyle w:val="ListBullet"/>
        <w:rPr>
          <w:lang w:eastAsia="en-US"/>
        </w:rPr>
      </w:pPr>
      <w:r>
        <w:rPr>
          <w:lang w:eastAsia="en-US"/>
        </w:rPr>
        <w:t>retention of 47.13 local jobs</w:t>
      </w:r>
    </w:p>
    <w:p w14:paraId="099CC49E" w14:textId="1F606DD0" w:rsidR="00FA3C1F" w:rsidRDefault="00FA3C1F" w:rsidP="008E11E9">
      <w:pPr>
        <w:pStyle w:val="ListBullet"/>
        <w:rPr>
          <w:lang w:eastAsia="en-US"/>
        </w:rPr>
      </w:pPr>
      <w:r>
        <w:rPr>
          <w:lang w:eastAsia="en-US"/>
        </w:rPr>
        <w:t>0.31 new apprenticeships to be created</w:t>
      </w:r>
    </w:p>
    <w:p w14:paraId="5E2FA55B" w14:textId="23160B81" w:rsidR="00FA3C1F" w:rsidRDefault="00FA3C1F" w:rsidP="008E11E9">
      <w:pPr>
        <w:pStyle w:val="ListBullet"/>
        <w:rPr>
          <w:lang w:eastAsia="en-US"/>
        </w:rPr>
      </w:pPr>
      <w:r>
        <w:rPr>
          <w:lang w:eastAsia="en-US"/>
        </w:rPr>
        <w:t>creation of 0.31 new trainees.</w:t>
      </w:r>
    </w:p>
    <w:p w14:paraId="64E78A98" w14:textId="5A1B8E96" w:rsidR="00FA3C1F" w:rsidRDefault="00FA3C1F" w:rsidP="008E11E9">
      <w:pPr>
        <w:pStyle w:val="Heading4"/>
      </w:pPr>
      <w:r>
        <w:t xml:space="preserve">Projects Completed – </w:t>
      </w:r>
      <w:r w:rsidR="00965CBF">
        <w:t>Victorian Industry Participation Policy</w:t>
      </w:r>
      <w:r>
        <w:t>/LJF Standard</w:t>
      </w:r>
    </w:p>
    <w:p w14:paraId="639F1095" w14:textId="3ECB7175" w:rsidR="00FA3C1F" w:rsidRDefault="00FA3C1F" w:rsidP="00CF70F9">
      <w:pPr>
        <w:pStyle w:val="BodyText"/>
        <w:spacing w:before="120" w:after="120"/>
        <w:rPr>
          <w:lang w:eastAsia="en-US"/>
        </w:rPr>
      </w:pPr>
      <w:r>
        <w:rPr>
          <w:lang w:eastAsia="en-US"/>
        </w:rPr>
        <w:t xml:space="preserve">Melbourne Water completed two </w:t>
      </w:r>
      <w:r w:rsidR="00965CBF">
        <w:rPr>
          <w:lang w:eastAsia="en-US"/>
        </w:rPr>
        <w:t>Victorian Industry Participation Policy</w:t>
      </w:r>
      <w:r>
        <w:rPr>
          <w:lang w:eastAsia="en-US"/>
        </w:rPr>
        <w:t xml:space="preserve"> projects in metropolitan</w:t>
      </w:r>
      <w:r w:rsidR="008E11E9">
        <w:rPr>
          <w:lang w:eastAsia="en-US"/>
        </w:rPr>
        <w:t xml:space="preserve"> </w:t>
      </w:r>
      <w:r>
        <w:rPr>
          <w:lang w:eastAsia="en-US"/>
        </w:rPr>
        <w:t>Melbourne totalling $34,382,415.</w:t>
      </w:r>
    </w:p>
    <w:p w14:paraId="48DEC7CC" w14:textId="53D1E8CE" w:rsidR="00FA3C1F" w:rsidRDefault="00FA3C1F" w:rsidP="00CF70F9">
      <w:pPr>
        <w:pStyle w:val="BodyText"/>
        <w:spacing w:before="120" w:after="120"/>
        <w:rPr>
          <w:lang w:eastAsia="en-US"/>
        </w:rPr>
      </w:pPr>
      <w:r>
        <w:rPr>
          <w:lang w:eastAsia="en-US"/>
        </w:rPr>
        <w:t xml:space="preserve">The outcomes from the implementation of the </w:t>
      </w:r>
      <w:r w:rsidR="00965CBF">
        <w:rPr>
          <w:lang w:eastAsia="en-US"/>
        </w:rPr>
        <w:t>Local Jobs First Policy</w:t>
      </w:r>
      <w:r>
        <w:rPr>
          <w:lang w:eastAsia="en-US"/>
        </w:rPr>
        <w:t xml:space="preserve"> to these</w:t>
      </w:r>
      <w:r w:rsidR="008E11E9">
        <w:rPr>
          <w:lang w:eastAsia="en-US"/>
        </w:rPr>
        <w:t xml:space="preserve"> </w:t>
      </w:r>
      <w:r>
        <w:rPr>
          <w:lang w:eastAsia="en-US"/>
        </w:rPr>
        <w:t>projects where information was provided, were as follows:</w:t>
      </w:r>
    </w:p>
    <w:p w14:paraId="14411EDE" w14:textId="168E4083" w:rsidR="00FA3C1F" w:rsidRDefault="00FA3C1F" w:rsidP="00C778D6">
      <w:pPr>
        <w:pStyle w:val="ListBullet"/>
        <w:rPr>
          <w:lang w:eastAsia="en-US"/>
        </w:rPr>
      </w:pPr>
      <w:r>
        <w:rPr>
          <w:lang w:eastAsia="en-US"/>
        </w:rPr>
        <w:t>96.91 per cent and an average of 93.13 per cent was</w:t>
      </w:r>
      <w:r w:rsidR="008E11E9">
        <w:rPr>
          <w:lang w:eastAsia="en-US"/>
        </w:rPr>
        <w:t xml:space="preserve"> </w:t>
      </w:r>
      <w:r>
        <w:rPr>
          <w:lang w:eastAsia="en-US"/>
        </w:rPr>
        <w:t>achieved</w:t>
      </w:r>
    </w:p>
    <w:p w14:paraId="2A42BEA5" w14:textId="30386CCD" w:rsidR="00FA3C1F" w:rsidRDefault="00FA3C1F" w:rsidP="00C778D6">
      <w:pPr>
        <w:pStyle w:val="ListBullet"/>
        <w:rPr>
          <w:lang w:eastAsia="en-US"/>
        </w:rPr>
      </w:pPr>
      <w:r>
        <w:rPr>
          <w:lang w:eastAsia="en-US"/>
        </w:rPr>
        <w:t>40 new local jobs were committed and six new positions</w:t>
      </w:r>
      <w:r w:rsidR="008E11E9">
        <w:rPr>
          <w:lang w:eastAsia="en-US"/>
        </w:rPr>
        <w:t xml:space="preserve"> </w:t>
      </w:r>
      <w:r>
        <w:rPr>
          <w:lang w:eastAsia="en-US"/>
        </w:rPr>
        <w:t>were created</w:t>
      </w:r>
    </w:p>
    <w:p w14:paraId="5D987810" w14:textId="051858FC" w:rsidR="00FA3C1F" w:rsidRDefault="00FA3C1F" w:rsidP="008E11E9">
      <w:pPr>
        <w:pStyle w:val="ListBullet"/>
        <w:rPr>
          <w:lang w:eastAsia="en-US"/>
        </w:rPr>
      </w:pPr>
      <w:r>
        <w:rPr>
          <w:lang w:eastAsia="en-US"/>
        </w:rPr>
        <w:t>27.77 existing jobs were committed and 24 were retained</w:t>
      </w:r>
    </w:p>
    <w:p w14:paraId="489FD01B" w14:textId="3408BFEC" w:rsidR="00FA3C1F" w:rsidRDefault="00FA3C1F" w:rsidP="00C778D6">
      <w:pPr>
        <w:pStyle w:val="ListBullet"/>
        <w:rPr>
          <w:lang w:eastAsia="en-US"/>
        </w:rPr>
      </w:pPr>
      <w:r>
        <w:rPr>
          <w:lang w:eastAsia="en-US"/>
        </w:rPr>
        <w:t>4.94 existing apprenticeships and trainees were to be</w:t>
      </w:r>
      <w:r w:rsidR="008E11E9">
        <w:rPr>
          <w:lang w:eastAsia="en-US"/>
        </w:rPr>
        <w:t xml:space="preserve"> </w:t>
      </w:r>
      <w:r>
        <w:rPr>
          <w:lang w:eastAsia="en-US"/>
        </w:rPr>
        <w:t>retained and 17 apprentices were in fact retained</w:t>
      </w:r>
    </w:p>
    <w:p w14:paraId="260EBEEF" w14:textId="4106BD0B" w:rsidR="00FA3C1F" w:rsidRDefault="00FA3C1F" w:rsidP="00C778D6">
      <w:pPr>
        <w:pStyle w:val="ListBullet"/>
        <w:rPr>
          <w:lang w:eastAsia="en-US"/>
        </w:rPr>
      </w:pPr>
      <w:r>
        <w:rPr>
          <w:lang w:eastAsia="en-US"/>
        </w:rPr>
        <w:t>three existing apprenticeships, trainees and cadetships</w:t>
      </w:r>
      <w:r w:rsidR="008E11E9">
        <w:rPr>
          <w:lang w:eastAsia="en-US"/>
        </w:rPr>
        <w:t xml:space="preserve"> </w:t>
      </w:r>
      <w:r>
        <w:rPr>
          <w:lang w:eastAsia="en-US"/>
        </w:rPr>
        <w:t>were to be created and six were in fact created</w:t>
      </w:r>
    </w:p>
    <w:p w14:paraId="1D6F957E" w14:textId="71FC4DC6" w:rsidR="00FA3C1F" w:rsidRDefault="00965CBF" w:rsidP="00C778D6">
      <w:pPr>
        <w:pStyle w:val="ListBullet"/>
        <w:rPr>
          <w:lang w:eastAsia="en-US"/>
        </w:rPr>
      </w:pPr>
      <w:r>
        <w:rPr>
          <w:lang w:eastAsia="en-US"/>
        </w:rPr>
        <w:t>Major Projects Skills Guarantee</w:t>
      </w:r>
      <w:r w:rsidR="00FA3C1F">
        <w:rPr>
          <w:lang w:eastAsia="en-US"/>
        </w:rPr>
        <w:t xml:space="preserve"> was applied to one of these projects, which</w:t>
      </w:r>
      <w:r w:rsidR="008E11E9">
        <w:rPr>
          <w:lang w:eastAsia="en-US"/>
        </w:rPr>
        <w:t xml:space="preserve"> </w:t>
      </w:r>
      <w:r w:rsidR="00FA3C1F">
        <w:rPr>
          <w:lang w:eastAsia="en-US"/>
        </w:rPr>
        <w:t>provided 126,712 labour hours to apprentices, trainees</w:t>
      </w:r>
      <w:r w:rsidR="008E11E9">
        <w:rPr>
          <w:lang w:eastAsia="en-US"/>
        </w:rPr>
        <w:t xml:space="preserve"> </w:t>
      </w:r>
      <w:r w:rsidR="00FA3C1F">
        <w:rPr>
          <w:lang w:eastAsia="en-US"/>
        </w:rPr>
        <w:t>and cadets.</w:t>
      </w:r>
    </w:p>
    <w:p w14:paraId="48D8CF4D" w14:textId="77777777" w:rsidR="008E11E9" w:rsidRDefault="008E11E9" w:rsidP="008E11E9">
      <w:pPr>
        <w:pStyle w:val="Heading4"/>
      </w:pPr>
      <w:r>
        <w:t>Projects Commenced – LJF Strategic</w:t>
      </w:r>
    </w:p>
    <w:p w14:paraId="12585F0C" w14:textId="586133A8" w:rsidR="008E11E9" w:rsidRDefault="008E11E9" w:rsidP="00CF70F9">
      <w:pPr>
        <w:pStyle w:val="BodyText"/>
        <w:spacing w:before="120" w:after="120"/>
        <w:rPr>
          <w:lang w:eastAsia="en-US"/>
        </w:rPr>
      </w:pPr>
      <w:r>
        <w:rPr>
          <w:lang w:eastAsia="en-US"/>
        </w:rPr>
        <w:t xml:space="preserve">Melbourne Water commenced seven projects in metropolitan Melbourne and regional Victoria totalling $142,963,267.65. The outcomes expected from the implementation of the </w:t>
      </w:r>
      <w:r w:rsidR="00965CBF">
        <w:rPr>
          <w:lang w:eastAsia="en-US"/>
        </w:rPr>
        <w:t>Local Jobs First Policy</w:t>
      </w:r>
      <w:r>
        <w:rPr>
          <w:lang w:eastAsia="en-US"/>
        </w:rPr>
        <w:t xml:space="preserve"> to these projects are as follows:</w:t>
      </w:r>
    </w:p>
    <w:p w14:paraId="634315CA" w14:textId="79D865D6" w:rsidR="008E11E9" w:rsidRDefault="008E11E9" w:rsidP="008E11E9">
      <w:pPr>
        <w:pStyle w:val="ListBullet"/>
        <w:rPr>
          <w:lang w:eastAsia="en-US"/>
        </w:rPr>
      </w:pPr>
      <w:r>
        <w:rPr>
          <w:lang w:eastAsia="en-US"/>
        </w:rPr>
        <w:t>the average commitment was 92 per cent local content</w:t>
      </w:r>
    </w:p>
    <w:p w14:paraId="05CA6B3D" w14:textId="77777777" w:rsidR="008E11E9" w:rsidRDefault="008E11E9" w:rsidP="008E11E9">
      <w:pPr>
        <w:pStyle w:val="ListBullet"/>
        <w:rPr>
          <w:lang w:eastAsia="en-US"/>
        </w:rPr>
      </w:pPr>
      <w:r>
        <w:rPr>
          <w:lang w:eastAsia="en-US"/>
        </w:rPr>
        <w:t>a total of 25.75 jobs to be created</w:t>
      </w:r>
    </w:p>
    <w:p w14:paraId="02E291C5" w14:textId="77777777" w:rsidR="008E11E9" w:rsidRDefault="008E11E9" w:rsidP="008E11E9">
      <w:pPr>
        <w:pStyle w:val="ListBullet"/>
        <w:rPr>
          <w:lang w:eastAsia="en-US"/>
        </w:rPr>
      </w:pPr>
      <w:r>
        <w:rPr>
          <w:lang w:eastAsia="en-US"/>
        </w:rPr>
        <w:t>retention of 65.19 jobs</w:t>
      </w:r>
    </w:p>
    <w:p w14:paraId="745C1639" w14:textId="75D8106A" w:rsidR="008E11E9" w:rsidRDefault="008E11E9" w:rsidP="00C778D6">
      <w:pPr>
        <w:pStyle w:val="ListBullet"/>
        <w:rPr>
          <w:lang w:eastAsia="en-US"/>
        </w:rPr>
      </w:pPr>
      <w:r>
        <w:rPr>
          <w:lang w:eastAsia="en-US"/>
        </w:rPr>
        <w:t>3.19 new apprenticeships to be created and 1.27 to be retained</w:t>
      </w:r>
    </w:p>
    <w:p w14:paraId="633BB028" w14:textId="4B2EEBAC" w:rsidR="008E11E9" w:rsidRDefault="008E11E9" w:rsidP="00C778D6">
      <w:pPr>
        <w:pStyle w:val="ListBullet"/>
        <w:rPr>
          <w:lang w:eastAsia="en-US"/>
        </w:rPr>
      </w:pPr>
      <w:r>
        <w:rPr>
          <w:lang w:eastAsia="en-US"/>
        </w:rPr>
        <w:t>creation of 3.42 new trainees and retention of 1.42 existing trainees</w:t>
      </w:r>
    </w:p>
    <w:p w14:paraId="0A23BB6B" w14:textId="1C7A0A85" w:rsidR="008E11E9" w:rsidRDefault="008E11E9" w:rsidP="00C778D6">
      <w:pPr>
        <w:pStyle w:val="ListBullet"/>
        <w:rPr>
          <w:lang w:eastAsia="en-US"/>
        </w:rPr>
      </w:pPr>
      <w:r>
        <w:rPr>
          <w:lang w:eastAsia="en-US"/>
        </w:rPr>
        <w:t>creation of 1.07 new cadets and retention of 1.53 existing cadets</w:t>
      </w:r>
    </w:p>
    <w:p w14:paraId="1322376E" w14:textId="027F83F8" w:rsidR="008E11E9" w:rsidRDefault="008E11E9" w:rsidP="008E11E9">
      <w:pPr>
        <w:pStyle w:val="BodyText"/>
        <w:rPr>
          <w:lang w:eastAsia="en-US"/>
        </w:rPr>
      </w:pPr>
      <w:r>
        <w:rPr>
          <w:lang w:eastAsia="en-US"/>
        </w:rPr>
        <w:t xml:space="preserve">The </w:t>
      </w:r>
      <w:r w:rsidR="00965CBF">
        <w:rPr>
          <w:lang w:eastAsia="en-US"/>
        </w:rPr>
        <w:t>Major Projects Skills Guarantee</w:t>
      </w:r>
      <w:r>
        <w:rPr>
          <w:lang w:eastAsia="en-US"/>
        </w:rPr>
        <w:t xml:space="preserve"> provided a total of 11,864 labour hours to cadets, trainees and apprentices as at April 2021.</w:t>
      </w:r>
    </w:p>
    <w:p w14:paraId="22B542A4" w14:textId="77777777" w:rsidR="008E11E9" w:rsidRDefault="008E11E9" w:rsidP="008E11E9">
      <w:pPr>
        <w:pStyle w:val="Heading4"/>
      </w:pPr>
      <w:r>
        <w:t>Projects Completed – LJF Strategic</w:t>
      </w:r>
    </w:p>
    <w:p w14:paraId="52CF297F" w14:textId="7596A33F" w:rsidR="008E11E9" w:rsidRDefault="008E11E9" w:rsidP="00CF70F9">
      <w:pPr>
        <w:pStyle w:val="BodyText"/>
        <w:spacing w:before="120" w:after="120"/>
        <w:rPr>
          <w:lang w:eastAsia="en-US"/>
        </w:rPr>
      </w:pPr>
      <w:r>
        <w:rPr>
          <w:lang w:eastAsia="en-US"/>
        </w:rPr>
        <w:t>There were three completed strategic projects with the following outcomes:</w:t>
      </w:r>
    </w:p>
    <w:p w14:paraId="3D3EC052" w14:textId="61258757" w:rsidR="008E11E9" w:rsidRDefault="008E11E9" w:rsidP="00C778D6">
      <w:pPr>
        <w:pStyle w:val="ListBullet"/>
        <w:rPr>
          <w:lang w:eastAsia="en-US"/>
        </w:rPr>
      </w:pPr>
      <w:r>
        <w:rPr>
          <w:lang w:eastAsia="en-US"/>
        </w:rPr>
        <w:t>the average commitment was 96 per cent and an average of 95 per cent was achieved</w:t>
      </w:r>
    </w:p>
    <w:p w14:paraId="2B64E9A0" w14:textId="00A1255A" w:rsidR="008E11E9" w:rsidRDefault="008E11E9" w:rsidP="008E11E9">
      <w:pPr>
        <w:pStyle w:val="ListBullet"/>
        <w:rPr>
          <w:lang w:eastAsia="en-US"/>
        </w:rPr>
      </w:pPr>
      <w:r>
        <w:rPr>
          <w:lang w:eastAsia="en-US"/>
        </w:rPr>
        <w:t>25 local jobs created</w:t>
      </w:r>
    </w:p>
    <w:p w14:paraId="54393A89" w14:textId="27ACF338" w:rsidR="008E11E9" w:rsidRDefault="008E11E9" w:rsidP="00C778D6">
      <w:pPr>
        <w:pStyle w:val="ListBullet"/>
        <w:rPr>
          <w:lang w:eastAsia="en-US"/>
        </w:rPr>
      </w:pPr>
      <w:r>
        <w:rPr>
          <w:lang w:eastAsia="en-US"/>
        </w:rPr>
        <w:t>62 existing jobs were committed and 58 positions were retained</w:t>
      </w:r>
    </w:p>
    <w:p w14:paraId="142B39A9" w14:textId="4DF1F675" w:rsidR="008E11E9" w:rsidRDefault="008E11E9" w:rsidP="00C778D6">
      <w:pPr>
        <w:pStyle w:val="ListBullet"/>
        <w:rPr>
          <w:lang w:eastAsia="en-US"/>
        </w:rPr>
      </w:pPr>
      <w:r>
        <w:rPr>
          <w:lang w:eastAsia="en-US"/>
        </w:rPr>
        <w:t>four existing apprentices, trainees and cadetships were to be retained and three were in fact retained</w:t>
      </w:r>
    </w:p>
    <w:p w14:paraId="5332AE68" w14:textId="33C8C42F" w:rsidR="00FA3C1F" w:rsidRDefault="008E11E9" w:rsidP="00C778D6">
      <w:pPr>
        <w:pStyle w:val="ListBullet"/>
        <w:rPr>
          <w:lang w:eastAsia="en-US"/>
        </w:rPr>
      </w:pPr>
      <w:r>
        <w:rPr>
          <w:lang w:eastAsia="en-US"/>
        </w:rPr>
        <w:lastRenderedPageBreak/>
        <w:t>two existing apprenticeships, trainees and cadetships were to be created and four were actually created.</w:t>
      </w:r>
    </w:p>
    <w:p w14:paraId="3C75B376" w14:textId="17CB7CDF" w:rsidR="00FA3C1F" w:rsidRDefault="008E11E9" w:rsidP="008E11E9">
      <w:pPr>
        <w:pStyle w:val="Heading2"/>
      </w:pPr>
      <w:bookmarkStart w:id="544" w:name="_Toc89723062"/>
      <w:bookmarkStart w:id="545" w:name="_Toc89723224"/>
      <w:bookmarkStart w:id="546" w:name="_Toc89723284"/>
      <w:bookmarkStart w:id="547" w:name="_Ref89797269"/>
      <w:bookmarkStart w:id="548" w:name="_Ref89808054"/>
      <w:bookmarkStart w:id="549" w:name="_Ref89811544"/>
      <w:bookmarkStart w:id="550" w:name="_Toc89860548"/>
      <w:bookmarkStart w:id="551" w:name="_Toc89860692"/>
      <w:bookmarkStart w:id="552" w:name="_Toc90326005"/>
      <w:bookmarkStart w:id="553" w:name="_Toc93659411"/>
      <w:r>
        <w:t>Safety, Health and Wellbeing</w:t>
      </w:r>
      <w:bookmarkEnd w:id="544"/>
      <w:bookmarkEnd w:id="545"/>
      <w:bookmarkEnd w:id="546"/>
      <w:bookmarkEnd w:id="547"/>
      <w:bookmarkEnd w:id="548"/>
      <w:bookmarkEnd w:id="549"/>
      <w:bookmarkEnd w:id="550"/>
      <w:bookmarkEnd w:id="551"/>
      <w:bookmarkEnd w:id="552"/>
      <w:bookmarkEnd w:id="553"/>
    </w:p>
    <w:p w14:paraId="748237E6" w14:textId="7C9971B4" w:rsidR="008E11E9" w:rsidRDefault="0013514C" w:rsidP="0013514C">
      <w:pPr>
        <w:pStyle w:val="PullBox"/>
      </w:pPr>
      <w:r>
        <w:t>Keeping our people and the community safe.</w:t>
      </w:r>
    </w:p>
    <w:p w14:paraId="7D66A704" w14:textId="0A2EADB2" w:rsidR="0013514C" w:rsidRDefault="0013514C" w:rsidP="0013514C">
      <w:pPr>
        <w:pStyle w:val="GreyBox"/>
      </w:pPr>
      <w:r w:rsidRPr="00296848">
        <w:t xml:space="preserve">Aligns with goals </w:t>
      </w:r>
      <w:r>
        <w:t>3, 9 and 17</w:t>
      </w:r>
    </w:p>
    <w:p w14:paraId="4FF5E317" w14:textId="77777777" w:rsidR="0013514C" w:rsidRDefault="0013514C" w:rsidP="0013514C">
      <w:pPr>
        <w:pStyle w:val="Heading3"/>
      </w:pPr>
      <w:bookmarkStart w:id="554" w:name="_Toc89723063"/>
      <w:bookmarkStart w:id="555" w:name="_Toc90326006"/>
      <w:bookmarkStart w:id="556" w:name="_Toc93659412"/>
      <w:r>
        <w:t>Our Approach</w:t>
      </w:r>
      <w:bookmarkEnd w:id="554"/>
      <w:bookmarkEnd w:id="555"/>
      <w:bookmarkEnd w:id="556"/>
    </w:p>
    <w:p w14:paraId="11C1F588" w14:textId="37B199A9" w:rsidR="0013514C" w:rsidRDefault="0013514C" w:rsidP="0013514C">
      <w:pPr>
        <w:pStyle w:val="BodyText"/>
        <w:rPr>
          <w:lang w:eastAsia="en-US"/>
        </w:rPr>
      </w:pPr>
      <w:r>
        <w:rPr>
          <w:lang w:eastAsia="en-US"/>
        </w:rPr>
        <w:t>Keeping people safe continues to be our highest priority, whether they are employees, contractors, delivery partners, volunteers or visitors. By living our organisational values of care, courage and integrity, Melbourne Water continues to foster a culture where safety is at the heart of everything we do.</w:t>
      </w:r>
    </w:p>
    <w:p w14:paraId="6539E45E" w14:textId="0F1A0A4C" w:rsidR="00FA3C1F" w:rsidRDefault="0013514C" w:rsidP="0013514C">
      <w:pPr>
        <w:pStyle w:val="BodyText"/>
        <w:rPr>
          <w:lang w:eastAsia="en-US"/>
        </w:rPr>
      </w:pPr>
      <w:r>
        <w:rPr>
          <w:lang w:eastAsia="en-US"/>
        </w:rPr>
        <w:t>Since 2017 we have been striving towards a Generative Safety Culture. This means that we need to embed safety in everything we do by making it an intrinsic value we hold and share. We go beyond compliance and responding to safety events, as we work towards building a culture where safety is a ‘whole of life’ experience, starting in the home and reinforced in the workplace.</w:t>
      </w:r>
    </w:p>
    <w:p w14:paraId="5D3CCC8A" w14:textId="473E99D6" w:rsidR="0013514C" w:rsidRDefault="0013514C" w:rsidP="0013514C">
      <w:pPr>
        <w:pStyle w:val="Heading3"/>
      </w:pPr>
      <w:bookmarkStart w:id="557" w:name="_Toc89723064"/>
      <w:bookmarkStart w:id="558" w:name="_Toc90326007"/>
      <w:bookmarkStart w:id="559" w:name="_Toc93659413"/>
      <w:r>
        <w:t>Technology driving innovation</w:t>
      </w:r>
      <w:bookmarkEnd w:id="557"/>
      <w:bookmarkEnd w:id="558"/>
      <w:bookmarkEnd w:id="559"/>
    </w:p>
    <w:p w14:paraId="12485F23" w14:textId="6A9BA27D" w:rsidR="0013514C" w:rsidRDefault="0013514C" w:rsidP="0013514C">
      <w:pPr>
        <w:pStyle w:val="BodyText"/>
        <w:rPr>
          <w:lang w:eastAsia="en-US"/>
        </w:rPr>
      </w:pPr>
      <w:r>
        <w:rPr>
          <w:lang w:eastAsia="en-US"/>
        </w:rPr>
        <w:t>Finding new ways to solve old problems is a key ingredient in our ability to improve the safety of our people and the community. A key focus for our innovation approach has been on improving our training outcomes. Two of our safety programs were recognised in multiple industry awards for their unique approaches to industry issues this year.</w:t>
      </w:r>
    </w:p>
    <w:p w14:paraId="7509ABF8" w14:textId="5A8C0388" w:rsidR="0013514C" w:rsidRDefault="0013514C" w:rsidP="0013514C">
      <w:pPr>
        <w:pStyle w:val="BodyText"/>
        <w:rPr>
          <w:lang w:eastAsia="en-US"/>
        </w:rPr>
      </w:pPr>
      <w:r>
        <w:rPr>
          <w:lang w:eastAsia="en-US"/>
        </w:rPr>
        <w:t>Our world-first Confined Space Entry Simulator won the AsiaPacific Spatial Excellence Award for Innovation and Commercialisation and OzWater National Safety Excellence Award. The simulator was built with Deakin University and provides an engaging way to let people understand what a safe confined space entry looks like in an immersive way.</w:t>
      </w:r>
    </w:p>
    <w:p w14:paraId="4F69B7F8" w14:textId="6068293A" w:rsidR="0013514C" w:rsidRDefault="0013514C" w:rsidP="0013514C">
      <w:pPr>
        <w:pStyle w:val="BodyText"/>
        <w:rPr>
          <w:lang w:eastAsia="en-US"/>
        </w:rPr>
      </w:pPr>
      <w:r>
        <w:rPr>
          <w:lang w:eastAsia="en-US"/>
        </w:rPr>
        <w:t>The ECHO tool (Ergonomics for Car, Home and Office) won the Platinum Award in the LearnX Awards for Best E-Learning Design – delivering a simple, highly-interactive tool which guides users to set up their workspaces in an ergonomically friendly way. This has also been shared with the water sector to support industry learning and collaboration.</w:t>
      </w:r>
    </w:p>
    <w:p w14:paraId="74E4764B" w14:textId="75620BC0" w:rsidR="0013514C" w:rsidRDefault="0013514C" w:rsidP="0013514C">
      <w:pPr>
        <w:pStyle w:val="BodyText"/>
        <w:rPr>
          <w:lang w:eastAsia="en-US"/>
        </w:rPr>
      </w:pPr>
      <w:r>
        <w:rPr>
          <w:lang w:eastAsia="en-US"/>
        </w:rPr>
        <w:t>We have continued our strong relationship with Deakin University’s School of Engineering, and have received Federal Government support to co-fund a project that aims to improve the way that electrical safety training is delivered across the country.</w:t>
      </w:r>
    </w:p>
    <w:p w14:paraId="7B9B07E4" w14:textId="379F0A15" w:rsidR="0013514C" w:rsidRDefault="0013514C" w:rsidP="0013514C">
      <w:pPr>
        <w:pStyle w:val="Heading3"/>
      </w:pPr>
      <w:bookmarkStart w:id="560" w:name="_Toc89723065"/>
      <w:bookmarkStart w:id="561" w:name="_Toc90326008"/>
      <w:bookmarkStart w:id="562" w:name="_Toc93659414"/>
      <w:r>
        <w:t>Whole of life safety: enhanced wellbeing</w:t>
      </w:r>
      <w:bookmarkEnd w:id="560"/>
      <w:bookmarkEnd w:id="561"/>
      <w:bookmarkEnd w:id="562"/>
    </w:p>
    <w:p w14:paraId="31E9CB85" w14:textId="488EFEF9" w:rsidR="0013514C" w:rsidRDefault="0013514C" w:rsidP="0013514C">
      <w:pPr>
        <w:pStyle w:val="BodyText"/>
        <w:rPr>
          <w:lang w:eastAsia="en-US"/>
        </w:rPr>
      </w:pPr>
      <w:r>
        <w:rPr>
          <w:lang w:eastAsia="en-US"/>
        </w:rPr>
        <w:t xml:space="preserve">In the last 12 months our safety focus was on people’s mental health and wellbeing through the </w:t>
      </w:r>
      <w:r w:rsidR="0030196D">
        <w:t>COVID</w:t>
      </w:r>
      <w:r w:rsidR="0030196D">
        <w:noBreakHyphen/>
        <w:t>19</w:t>
      </w:r>
      <w:r>
        <w:rPr>
          <w:lang w:eastAsia="en-US"/>
        </w:rPr>
        <w:t xml:space="preserve"> pandemic.</w:t>
      </w:r>
    </w:p>
    <w:p w14:paraId="73AADBA2" w14:textId="416D7F55" w:rsidR="0013514C" w:rsidRDefault="0013514C" w:rsidP="0013514C">
      <w:pPr>
        <w:pStyle w:val="BodyText"/>
        <w:rPr>
          <w:lang w:eastAsia="en-US"/>
        </w:rPr>
      </w:pPr>
      <w:r>
        <w:rPr>
          <w:lang w:eastAsia="en-US"/>
        </w:rPr>
        <w:t>A significant program was the New Beginnings Forest, which saw a quarter of our business coming together as an organisation to celebrate new beginnings following an incredibly challenging year. Our people planted 10,000 trees, bushes, grasses and groundcovers at Cherry Lake in Altona, supporting biodiversity at the site and leaving a legacy of hope for the future.</w:t>
      </w:r>
    </w:p>
    <w:p w14:paraId="7EFCE040" w14:textId="5AE00BF8" w:rsidR="0013514C" w:rsidRDefault="0013514C" w:rsidP="0013514C">
      <w:pPr>
        <w:pStyle w:val="BodyText"/>
        <w:rPr>
          <w:lang w:eastAsia="en-US"/>
        </w:rPr>
      </w:pPr>
      <w:r>
        <w:rPr>
          <w:lang w:eastAsia="en-US"/>
        </w:rPr>
        <w:t>Our wellbeing program supported our people in a range of areas to address mental health and connection during lockdown with:</w:t>
      </w:r>
    </w:p>
    <w:p w14:paraId="37E07EFD" w14:textId="1F5D0120" w:rsidR="0013514C" w:rsidRDefault="0013514C" w:rsidP="00C778D6">
      <w:pPr>
        <w:pStyle w:val="ListBullet"/>
        <w:rPr>
          <w:lang w:eastAsia="en-US"/>
        </w:rPr>
      </w:pPr>
      <w:r>
        <w:rPr>
          <w:lang w:eastAsia="en-US"/>
        </w:rPr>
        <w:lastRenderedPageBreak/>
        <w:t>personal delivery of almost 1100 care packs to our employees during an allowable window in July. The packs included safety items and provided connection to our people</w:t>
      </w:r>
    </w:p>
    <w:p w14:paraId="5DD9394F" w14:textId="6E6DEF8D" w:rsidR="0013514C" w:rsidRDefault="0013514C" w:rsidP="00C778D6">
      <w:pPr>
        <w:pStyle w:val="ListBullet"/>
        <w:rPr>
          <w:lang w:eastAsia="en-US"/>
        </w:rPr>
      </w:pPr>
      <w:r>
        <w:rPr>
          <w:lang w:eastAsia="en-US"/>
        </w:rPr>
        <w:t>virtual wellbeing sessions with medical expert Dr Chris Stevens discussing mental health and strategies to assist during lockdown</w:t>
      </w:r>
    </w:p>
    <w:p w14:paraId="6BA939C0" w14:textId="05B125FE" w:rsidR="0013514C" w:rsidRDefault="0013514C" w:rsidP="00C778D6">
      <w:pPr>
        <w:pStyle w:val="ListBullet"/>
        <w:rPr>
          <w:lang w:eastAsia="en-US"/>
        </w:rPr>
      </w:pPr>
      <w:r>
        <w:rPr>
          <w:lang w:eastAsia="en-US"/>
        </w:rPr>
        <w:t>connection-building activities including competitions, lunchtime events and quizzes and online recipe exchanges.</w:t>
      </w:r>
    </w:p>
    <w:p w14:paraId="5619782E" w14:textId="4E9CA43B" w:rsidR="0013514C" w:rsidRDefault="0013514C" w:rsidP="0013514C">
      <w:pPr>
        <w:pStyle w:val="Heading3"/>
      </w:pPr>
      <w:bookmarkStart w:id="563" w:name="_Toc89723066"/>
      <w:bookmarkStart w:id="564" w:name="_Toc90326009"/>
      <w:bookmarkStart w:id="565" w:name="_Toc93659415"/>
      <w:r>
        <w:t>Safer working environments</w:t>
      </w:r>
      <w:bookmarkEnd w:id="563"/>
      <w:bookmarkEnd w:id="564"/>
      <w:bookmarkEnd w:id="565"/>
    </w:p>
    <w:p w14:paraId="165C7EA6" w14:textId="6FE490CE" w:rsidR="0013514C" w:rsidRDefault="0013514C" w:rsidP="0013514C">
      <w:pPr>
        <w:pStyle w:val="BodyText"/>
        <w:rPr>
          <w:lang w:eastAsia="en-US"/>
        </w:rPr>
      </w:pPr>
      <w:r>
        <w:rPr>
          <w:lang w:eastAsia="en-US"/>
        </w:rPr>
        <w:t>Melbourne Water aims to create a workplace free from injuries and ill health. Throughout the year we have improved safety within our workplaces by:</w:t>
      </w:r>
    </w:p>
    <w:p w14:paraId="5FC70A3F" w14:textId="69B82E39" w:rsidR="0013514C" w:rsidRDefault="0013514C" w:rsidP="00C778D6">
      <w:pPr>
        <w:pStyle w:val="ListBullet"/>
        <w:rPr>
          <w:lang w:eastAsia="en-US"/>
        </w:rPr>
      </w:pPr>
      <w:r>
        <w:rPr>
          <w:lang w:eastAsia="en-US"/>
        </w:rPr>
        <w:t>improving controls in relation to Working in Proximity to Water, Remote and Isolated Work, and Lock Out Tag Out (LOTO)</w:t>
      </w:r>
    </w:p>
    <w:p w14:paraId="0C4FD2B1" w14:textId="734DF5CC" w:rsidR="0013514C" w:rsidRDefault="0013514C" w:rsidP="00C778D6">
      <w:pPr>
        <w:pStyle w:val="ListBullet"/>
        <w:rPr>
          <w:lang w:eastAsia="en-US"/>
        </w:rPr>
      </w:pPr>
      <w:r>
        <w:rPr>
          <w:lang w:eastAsia="en-US"/>
        </w:rPr>
        <w:t>creating ‘Video Procedures’ for high-risk tasks, a field-friendly alternative to paper-based safety</w:t>
      </w:r>
      <w:r w:rsidR="00E45A77">
        <w:rPr>
          <w:lang w:eastAsia="en-US"/>
        </w:rPr>
        <w:t xml:space="preserve"> </w:t>
      </w:r>
      <w:r>
        <w:rPr>
          <w:lang w:eastAsia="en-US"/>
        </w:rPr>
        <w:t>documentation</w:t>
      </w:r>
    </w:p>
    <w:p w14:paraId="70F939C3" w14:textId="3FF9CB53" w:rsidR="0013514C" w:rsidRDefault="0013514C" w:rsidP="00C778D6">
      <w:pPr>
        <w:pStyle w:val="ListBullet"/>
        <w:rPr>
          <w:lang w:eastAsia="en-US"/>
        </w:rPr>
      </w:pPr>
      <w:r>
        <w:rPr>
          <w:lang w:eastAsia="en-US"/>
        </w:rPr>
        <w:t>working with the Monash University Accident Research</w:t>
      </w:r>
      <w:r w:rsidR="00E45A77">
        <w:rPr>
          <w:lang w:eastAsia="en-US"/>
        </w:rPr>
        <w:t xml:space="preserve"> </w:t>
      </w:r>
      <w:r>
        <w:rPr>
          <w:lang w:eastAsia="en-US"/>
        </w:rPr>
        <w:t>Centre (MUARC) to develop a tailored driver training</w:t>
      </w:r>
      <w:r w:rsidR="00E45A77">
        <w:rPr>
          <w:lang w:eastAsia="en-US"/>
        </w:rPr>
        <w:t xml:space="preserve"> </w:t>
      </w:r>
      <w:r>
        <w:rPr>
          <w:lang w:eastAsia="en-US"/>
        </w:rPr>
        <w:t>program to improve driver safety</w:t>
      </w:r>
    </w:p>
    <w:p w14:paraId="240D615E" w14:textId="1FFA224F" w:rsidR="0013514C" w:rsidRDefault="0013514C" w:rsidP="00C778D6">
      <w:pPr>
        <w:pStyle w:val="ListBullet"/>
        <w:rPr>
          <w:lang w:eastAsia="en-US"/>
        </w:rPr>
      </w:pPr>
      <w:r>
        <w:rPr>
          <w:lang w:eastAsia="en-US"/>
        </w:rPr>
        <w:t>completing noise surveys across the business and</w:t>
      </w:r>
      <w:r w:rsidR="00E45A77">
        <w:rPr>
          <w:lang w:eastAsia="en-US"/>
        </w:rPr>
        <w:t xml:space="preserve"> </w:t>
      </w:r>
      <w:r>
        <w:rPr>
          <w:lang w:eastAsia="en-US"/>
        </w:rPr>
        <w:t>conducting hearing conservation training for affected</w:t>
      </w:r>
      <w:r w:rsidR="00E45A77">
        <w:rPr>
          <w:lang w:eastAsia="en-US"/>
        </w:rPr>
        <w:t xml:space="preserve"> </w:t>
      </w:r>
      <w:r>
        <w:rPr>
          <w:lang w:eastAsia="en-US"/>
        </w:rPr>
        <w:t>people</w:t>
      </w:r>
    </w:p>
    <w:p w14:paraId="48706F04" w14:textId="5EA85267" w:rsidR="0013514C" w:rsidRDefault="00E45A77" w:rsidP="00C778D6">
      <w:pPr>
        <w:pStyle w:val="ListBullet"/>
        <w:rPr>
          <w:lang w:eastAsia="en-US"/>
        </w:rPr>
      </w:pPr>
      <w:r>
        <w:rPr>
          <w:lang w:eastAsia="en-US"/>
        </w:rPr>
        <w:t>e</w:t>
      </w:r>
      <w:r w:rsidR="0013514C">
        <w:rPr>
          <w:lang w:eastAsia="en-US"/>
        </w:rPr>
        <w:t>mploying two field-based safety coaches to assist with</w:t>
      </w:r>
      <w:r>
        <w:rPr>
          <w:lang w:eastAsia="en-US"/>
        </w:rPr>
        <w:t xml:space="preserve"> </w:t>
      </w:r>
      <w:r w:rsidR="0013514C">
        <w:rPr>
          <w:lang w:eastAsia="en-US"/>
        </w:rPr>
        <w:t>injury prevention.</w:t>
      </w:r>
    </w:p>
    <w:p w14:paraId="2B64751E" w14:textId="77777777" w:rsidR="00E45A77" w:rsidRDefault="00E45A77" w:rsidP="00E45A77">
      <w:pPr>
        <w:pStyle w:val="Heading3"/>
      </w:pPr>
      <w:bookmarkStart w:id="566" w:name="_Toc89723067"/>
      <w:bookmarkStart w:id="567" w:name="_Ref89811556"/>
      <w:bookmarkStart w:id="568" w:name="_Toc90326010"/>
      <w:bookmarkStart w:id="569" w:name="_Toc93659416"/>
      <w:r>
        <w:t>Our performance</w:t>
      </w:r>
      <w:bookmarkEnd w:id="566"/>
      <w:bookmarkEnd w:id="567"/>
      <w:bookmarkEnd w:id="568"/>
      <w:bookmarkEnd w:id="569"/>
    </w:p>
    <w:p w14:paraId="4FDC6DD1" w14:textId="0921FCE1" w:rsidR="00E45A77" w:rsidRDefault="00E45A77" w:rsidP="00E45A77">
      <w:pPr>
        <w:pStyle w:val="BodyText"/>
        <w:rPr>
          <w:lang w:eastAsia="en-US"/>
        </w:rPr>
      </w:pPr>
      <w:r>
        <w:rPr>
          <w:lang w:eastAsia="en-US"/>
        </w:rPr>
        <w:t xml:space="preserve">Our hazards, near miss events and incidents are notified, investigated and analysed in order to identify facts, draw conclusions and develop corrective actions to prevent reoccurrences. In the previous 12-month period, 18 members of our combined workforce were injured. Although all 18 have been classified as meeting the threshold for total recordable injury frequency rate (TRIFR) inclusion, 14 of these were for injuries where treatment or alternative duties saw the injured person return to normal work in less than a week. The total lost days were 50. For further information and data on our expanded safety results, see </w:t>
      </w:r>
      <w:r w:rsidR="0010793A">
        <w:rPr>
          <w:lang w:eastAsia="en-US"/>
        </w:rPr>
        <w:fldChar w:fldCharType="begin"/>
      </w:r>
      <w:r w:rsidR="0010793A">
        <w:rPr>
          <w:lang w:eastAsia="en-US"/>
        </w:rPr>
        <w:instrText xml:space="preserve"> REF _Ref89644345 \h </w:instrText>
      </w:r>
      <w:r w:rsidR="0010793A">
        <w:rPr>
          <w:lang w:eastAsia="en-US"/>
        </w:rPr>
      </w:r>
      <w:r w:rsidR="0010793A">
        <w:rPr>
          <w:lang w:eastAsia="en-US"/>
        </w:rPr>
        <w:fldChar w:fldCharType="separate"/>
      </w:r>
      <w:r w:rsidR="00472151" w:rsidRPr="00E45A77">
        <w:rPr>
          <w:lang w:eastAsia="en-US"/>
        </w:rPr>
        <w:t xml:space="preserve">Table </w:t>
      </w:r>
      <w:r w:rsidR="00472151">
        <w:rPr>
          <w:noProof/>
          <w:lang w:eastAsia="en-US"/>
        </w:rPr>
        <w:t>9</w:t>
      </w:r>
      <w:r w:rsidR="0010793A">
        <w:rPr>
          <w:lang w:eastAsia="en-US"/>
        </w:rPr>
        <w:fldChar w:fldCharType="end"/>
      </w:r>
      <w:r>
        <w:rPr>
          <w:lang w:eastAsia="en-US"/>
        </w:rPr>
        <w:t xml:space="preserve"> and </w:t>
      </w:r>
      <w:r w:rsidR="0010793A">
        <w:rPr>
          <w:lang w:eastAsia="en-US"/>
        </w:rPr>
        <w:fldChar w:fldCharType="begin"/>
      </w:r>
      <w:r w:rsidR="0010793A">
        <w:rPr>
          <w:lang w:eastAsia="en-US"/>
        </w:rPr>
        <w:instrText xml:space="preserve"> REF _Ref89644354 \h </w:instrText>
      </w:r>
      <w:r w:rsidR="0010793A">
        <w:rPr>
          <w:lang w:eastAsia="en-US"/>
        </w:rPr>
      </w:r>
      <w:r w:rsidR="0010793A">
        <w:rPr>
          <w:lang w:eastAsia="en-US"/>
        </w:rPr>
        <w:fldChar w:fldCharType="separate"/>
      </w:r>
      <w:r w:rsidR="00472151" w:rsidRPr="001763DB">
        <w:rPr>
          <w:lang w:eastAsia="en-US"/>
        </w:rPr>
        <w:t xml:space="preserve">Table </w:t>
      </w:r>
      <w:r w:rsidR="00472151">
        <w:rPr>
          <w:noProof/>
          <w:lang w:eastAsia="en-US"/>
        </w:rPr>
        <w:t>10</w:t>
      </w:r>
      <w:r w:rsidR="0010793A">
        <w:rPr>
          <w:lang w:eastAsia="en-US"/>
        </w:rPr>
        <w:fldChar w:fldCharType="end"/>
      </w:r>
      <w:r>
        <w:rPr>
          <w:lang w:eastAsia="en-US"/>
        </w:rPr>
        <w:t>.</w:t>
      </w:r>
    </w:p>
    <w:p w14:paraId="5599B906" w14:textId="7886BB8B" w:rsidR="00E45A77" w:rsidRDefault="00E45A77" w:rsidP="00E45A77">
      <w:pPr>
        <w:pStyle w:val="Caption"/>
        <w:rPr>
          <w:lang w:eastAsia="en-US"/>
        </w:rPr>
      </w:pPr>
      <w:r w:rsidRPr="00E45A77">
        <w:rPr>
          <w:lang w:eastAsia="en-US"/>
        </w:rPr>
        <w:t xml:space="preserve">Figure </w:t>
      </w:r>
      <w:r>
        <w:rPr>
          <w:lang w:eastAsia="en-US"/>
        </w:rPr>
        <w:fldChar w:fldCharType="begin"/>
      </w:r>
      <w:r>
        <w:rPr>
          <w:lang w:eastAsia="en-US"/>
        </w:rPr>
        <w:instrText xml:space="preserve"> SEQ Figure \* ARABIC </w:instrText>
      </w:r>
      <w:r>
        <w:rPr>
          <w:lang w:eastAsia="en-US"/>
        </w:rPr>
        <w:fldChar w:fldCharType="separate"/>
      </w:r>
      <w:r w:rsidR="00472151">
        <w:rPr>
          <w:noProof/>
          <w:lang w:eastAsia="en-US"/>
        </w:rPr>
        <w:t>2</w:t>
      </w:r>
      <w:r>
        <w:rPr>
          <w:lang w:eastAsia="en-US"/>
        </w:rPr>
        <w:fldChar w:fldCharType="end"/>
      </w:r>
      <w:r w:rsidRPr="00E45A77">
        <w:rPr>
          <w:lang w:eastAsia="en-US"/>
        </w:rPr>
        <w:t>: Total Recordable Injury Frequency Rate (TRIFR)</w:t>
      </w:r>
    </w:p>
    <w:p w14:paraId="6F4115FA" w14:textId="39F61227" w:rsidR="00E45A77" w:rsidRPr="0070419E" w:rsidRDefault="00DA31B6" w:rsidP="0091187B">
      <w:pPr>
        <w:spacing w:after="120"/>
        <w:rPr>
          <w:lang w:eastAsia="en-US"/>
        </w:rPr>
      </w:pPr>
      <w:r>
        <w:rPr>
          <w:noProof/>
          <w:lang w:eastAsia="en-US"/>
        </w:rPr>
        <w:drawing>
          <wp:inline distT="0" distB="0" distL="0" distR="0" wp14:anchorId="4A938F63" wp14:editId="5DA7C3AB">
            <wp:extent cx="5781431" cy="2186305"/>
            <wp:effectExtent l="0" t="0" r="0" b="0"/>
            <wp:docPr id="16" name="Picture 16" descr="A chart showing the total recordable injury frequency rate for the period July 2014 to April 2021. As detailed below, the chart shows a sustained reduction in injuries for the period July 2014 through to April 2018 and a sustained low injury rates thereon following slight increases in May 2019, November 2019 and October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hart showing the total recordable injury frequency rate for the period July 2014 to April 2021. As detailed below, the chart shows a sustained reduction in injuries for the period July 2014 through to April 2018 and a sustained low injury rates thereon following slight increases in May 2019, November 2019 and October 2020.  "/>
                    <pic:cNvPicPr/>
                  </pic:nvPicPr>
                  <pic:blipFill rotWithShape="1">
                    <a:blip r:embed="rId28" cstate="print">
                      <a:extLst>
                        <a:ext uri="{28A0092B-C50C-407E-A947-70E740481C1C}">
                          <a14:useLocalDpi xmlns:a14="http://schemas.microsoft.com/office/drawing/2010/main" val="0"/>
                        </a:ext>
                      </a:extLst>
                    </a:blip>
                    <a:srcRect l="5461"/>
                    <a:stretch/>
                  </pic:blipFill>
                  <pic:spPr bwMode="auto">
                    <a:xfrm>
                      <a:off x="0" y="0"/>
                      <a:ext cx="5781714" cy="2186412"/>
                    </a:xfrm>
                    <a:prstGeom prst="rect">
                      <a:avLst/>
                    </a:prstGeom>
                    <a:ln>
                      <a:noFill/>
                    </a:ln>
                    <a:extLst>
                      <a:ext uri="{53640926-AAD7-44D8-BBD7-CCE9431645EC}">
                        <a14:shadowObscured xmlns:a14="http://schemas.microsoft.com/office/drawing/2010/main"/>
                      </a:ext>
                    </a:extLst>
                  </pic:spPr>
                </pic:pic>
              </a:graphicData>
            </a:graphic>
          </wp:inline>
        </w:drawing>
      </w:r>
    </w:p>
    <w:p w14:paraId="6DAF68D4" w14:textId="7D55886B" w:rsidR="00B17C6A" w:rsidRDefault="00B17C6A" w:rsidP="00FA3C1F">
      <w:pPr>
        <w:pStyle w:val="BodyText"/>
        <w:rPr>
          <w:lang w:eastAsia="en-US"/>
        </w:rPr>
        <w:sectPr w:rsidR="00B17C6A" w:rsidSect="00CF70F9">
          <w:endnotePr>
            <w:numFmt w:val="decimal"/>
          </w:endnotePr>
          <w:type w:val="continuous"/>
          <w:pgSz w:w="11900" w:h="16840"/>
          <w:pgMar w:top="1134" w:right="851" w:bottom="1134" w:left="1418" w:header="709" w:footer="709" w:gutter="0"/>
          <w:cols w:space="289"/>
          <w:docGrid w:linePitch="360"/>
        </w:sectPr>
      </w:pPr>
    </w:p>
    <w:p w14:paraId="0AE9B877" w14:textId="3ACDBF14" w:rsidR="00E45A77" w:rsidRDefault="00E45A77" w:rsidP="00E45A77">
      <w:pPr>
        <w:pStyle w:val="Caption"/>
        <w:rPr>
          <w:lang w:eastAsia="en-US"/>
        </w:rPr>
      </w:pPr>
      <w:bookmarkStart w:id="570" w:name="_Ref89644345"/>
      <w:r w:rsidRPr="00E45A77">
        <w:rPr>
          <w:lang w:eastAsia="en-US"/>
        </w:rPr>
        <w:lastRenderedPageBreak/>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9</w:t>
      </w:r>
      <w:r>
        <w:rPr>
          <w:lang w:eastAsia="en-US"/>
        </w:rPr>
        <w:fldChar w:fldCharType="end"/>
      </w:r>
      <w:bookmarkEnd w:id="570"/>
      <w:r w:rsidRPr="00E45A77">
        <w:rPr>
          <w:lang w:eastAsia="en-US"/>
        </w:rPr>
        <w:t>: Number of reported safety incidents and lost time standard claims per 100 full time equivalent (FTE) staff</w:t>
      </w:r>
    </w:p>
    <w:tbl>
      <w:tblPr>
        <w:tblStyle w:val="Style1"/>
        <w:tblW w:w="5000" w:type="pct"/>
        <w:tblLook w:val="04A0" w:firstRow="1" w:lastRow="0" w:firstColumn="1" w:lastColumn="0" w:noHBand="0" w:noVBand="1"/>
      </w:tblPr>
      <w:tblGrid>
        <w:gridCol w:w="1176"/>
        <w:gridCol w:w="1340"/>
        <w:gridCol w:w="1340"/>
        <w:gridCol w:w="1340"/>
        <w:gridCol w:w="1341"/>
        <w:gridCol w:w="1341"/>
        <w:gridCol w:w="1341"/>
        <w:gridCol w:w="1341"/>
        <w:gridCol w:w="1341"/>
        <w:gridCol w:w="1341"/>
        <w:gridCol w:w="1329"/>
      </w:tblGrid>
      <w:tr w:rsidR="00C45D68" w14:paraId="40C3540F" w14:textId="77777777" w:rsidTr="000C4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 w:type="pct"/>
            <w:tcBorders>
              <w:top w:val="single" w:sz="4" w:space="0" w:color="auto"/>
            </w:tcBorders>
            <w:vAlign w:val="bottom"/>
          </w:tcPr>
          <w:p w14:paraId="7D92D24A" w14:textId="010891AB" w:rsidR="00E45A77" w:rsidRDefault="00E45A77" w:rsidP="007E689B">
            <w:pPr>
              <w:pStyle w:val="TableBodyText"/>
              <w:rPr>
                <w:lang w:eastAsia="en-US"/>
              </w:rPr>
            </w:pPr>
            <w:bookmarkStart w:id="571" w:name="ColumnTitle_22"/>
            <w:r>
              <w:rPr>
                <w:lang w:eastAsia="en-US"/>
              </w:rPr>
              <w:t>Year</w:t>
            </w:r>
          </w:p>
        </w:tc>
        <w:tc>
          <w:tcPr>
            <w:tcW w:w="460" w:type="pct"/>
            <w:tcBorders>
              <w:top w:val="single" w:sz="4" w:space="0" w:color="auto"/>
            </w:tcBorders>
            <w:vAlign w:val="bottom"/>
          </w:tcPr>
          <w:p w14:paraId="049A6EF3" w14:textId="1036ED0C"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FTE</w:t>
            </w:r>
          </w:p>
        </w:tc>
        <w:tc>
          <w:tcPr>
            <w:tcW w:w="460" w:type="pct"/>
            <w:tcBorders>
              <w:top w:val="single" w:sz="4" w:space="0" w:color="auto"/>
            </w:tcBorders>
            <w:vAlign w:val="bottom"/>
          </w:tcPr>
          <w:p w14:paraId="21D3EBC4" w14:textId="77777777"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Hazards</w:t>
            </w:r>
          </w:p>
          <w:p w14:paraId="339F22BD" w14:textId="108469B0"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w:t>
            </w:r>
          </w:p>
        </w:tc>
        <w:tc>
          <w:tcPr>
            <w:tcW w:w="460" w:type="pct"/>
            <w:tcBorders>
              <w:top w:val="single" w:sz="4" w:space="0" w:color="auto"/>
            </w:tcBorders>
            <w:vAlign w:val="bottom"/>
          </w:tcPr>
          <w:p w14:paraId="587DDD17" w14:textId="77777777"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Hazards</w:t>
            </w:r>
          </w:p>
          <w:p w14:paraId="7B048AEB" w14:textId="01EA99C7"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No./100 FTE</w:t>
            </w:r>
          </w:p>
        </w:tc>
        <w:tc>
          <w:tcPr>
            <w:tcW w:w="460" w:type="pct"/>
            <w:tcBorders>
              <w:top w:val="single" w:sz="4" w:space="0" w:color="auto"/>
            </w:tcBorders>
            <w:vAlign w:val="bottom"/>
          </w:tcPr>
          <w:p w14:paraId="5BA35744" w14:textId="77777777"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Incidents</w:t>
            </w:r>
          </w:p>
          <w:p w14:paraId="7852468A" w14:textId="4F790A13"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w:t>
            </w:r>
          </w:p>
        </w:tc>
        <w:tc>
          <w:tcPr>
            <w:tcW w:w="460" w:type="pct"/>
            <w:tcBorders>
              <w:top w:val="single" w:sz="4" w:space="0" w:color="auto"/>
            </w:tcBorders>
            <w:vAlign w:val="bottom"/>
          </w:tcPr>
          <w:p w14:paraId="58CF00DE" w14:textId="77777777"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Incidents</w:t>
            </w:r>
          </w:p>
          <w:p w14:paraId="07690F00" w14:textId="6BD0BEBF"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No./100 FTE</w:t>
            </w:r>
          </w:p>
        </w:tc>
        <w:tc>
          <w:tcPr>
            <w:tcW w:w="460" w:type="pct"/>
            <w:tcBorders>
              <w:top w:val="single" w:sz="4" w:space="0" w:color="auto"/>
            </w:tcBorders>
            <w:vAlign w:val="bottom"/>
          </w:tcPr>
          <w:p w14:paraId="450FEE5F" w14:textId="77777777" w:rsidR="00C45D68"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Total</w:t>
            </w:r>
            <w:r w:rsidR="00C45D68">
              <w:rPr>
                <w:lang w:eastAsia="en-US"/>
              </w:rPr>
              <w:t xml:space="preserve"> </w:t>
            </w:r>
            <w:r>
              <w:rPr>
                <w:lang w:eastAsia="en-US"/>
              </w:rPr>
              <w:t>(Hazards</w:t>
            </w:r>
          </w:p>
          <w:p w14:paraId="6F7A5952" w14:textId="0F388336"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 Incidents)</w:t>
            </w:r>
          </w:p>
          <w:p w14:paraId="64713802" w14:textId="22D7B59B"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w:t>
            </w:r>
          </w:p>
        </w:tc>
        <w:tc>
          <w:tcPr>
            <w:tcW w:w="460" w:type="pct"/>
            <w:tcBorders>
              <w:top w:val="single" w:sz="4" w:space="0" w:color="auto"/>
            </w:tcBorders>
            <w:vAlign w:val="bottom"/>
          </w:tcPr>
          <w:p w14:paraId="7470BAE0" w14:textId="77777777" w:rsidR="00C45D68"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Total (Hazards</w:t>
            </w:r>
          </w:p>
          <w:p w14:paraId="498D75E0" w14:textId="23BE109F"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 Incidents)</w:t>
            </w:r>
          </w:p>
          <w:p w14:paraId="667E89BA" w14:textId="1300C508"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No./100 FTE</w:t>
            </w:r>
          </w:p>
        </w:tc>
        <w:tc>
          <w:tcPr>
            <w:tcW w:w="460" w:type="pct"/>
            <w:tcBorders>
              <w:top w:val="single" w:sz="4" w:space="0" w:color="auto"/>
            </w:tcBorders>
            <w:vAlign w:val="bottom"/>
          </w:tcPr>
          <w:p w14:paraId="3A3DD97B" w14:textId="77777777" w:rsidR="00C45D68"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Lost time</w:t>
            </w:r>
          </w:p>
          <w:p w14:paraId="7F7B606E" w14:textId="597FB950" w:rsidR="00C45D68" w:rsidRDefault="007E689B"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s</w:t>
            </w:r>
            <w:r w:rsidR="00E45A77">
              <w:rPr>
                <w:lang w:eastAsia="en-US"/>
              </w:rPr>
              <w:t>tandard</w:t>
            </w:r>
          </w:p>
          <w:p w14:paraId="5FE6E959" w14:textId="594D246D"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claims</w:t>
            </w:r>
          </w:p>
          <w:p w14:paraId="1F769F15" w14:textId="25DAC6A9"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w:t>
            </w:r>
          </w:p>
        </w:tc>
        <w:tc>
          <w:tcPr>
            <w:tcW w:w="460" w:type="pct"/>
            <w:tcBorders>
              <w:top w:val="single" w:sz="4" w:space="0" w:color="auto"/>
            </w:tcBorders>
            <w:vAlign w:val="bottom"/>
          </w:tcPr>
          <w:p w14:paraId="65846AD3" w14:textId="77777777" w:rsidR="00C45D68"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Lost time</w:t>
            </w:r>
          </w:p>
          <w:p w14:paraId="2E8FE464" w14:textId="240318C4"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standard claims</w:t>
            </w:r>
          </w:p>
          <w:p w14:paraId="24C19B6F" w14:textId="04A5FFFD"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r>
              <w:rPr>
                <w:lang w:eastAsia="en-US"/>
              </w:rPr>
              <w:t>No./100 FTE</w:t>
            </w:r>
          </w:p>
        </w:tc>
        <w:tc>
          <w:tcPr>
            <w:tcW w:w="456" w:type="pct"/>
            <w:tcBorders>
              <w:top w:val="single" w:sz="4" w:space="0" w:color="auto"/>
            </w:tcBorders>
            <w:vAlign w:val="bottom"/>
          </w:tcPr>
          <w:p w14:paraId="17E5F849" w14:textId="77777777"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Lost time standard claims</w:t>
            </w:r>
          </w:p>
          <w:p w14:paraId="69CC84FC" w14:textId="77777777" w:rsidR="00E45A77" w:rsidRDefault="00E45A77" w:rsidP="007E689B">
            <w:pPr>
              <w:pStyle w:val="TableBodyText"/>
              <w:cnfStyle w:val="100000000000" w:firstRow="1" w:lastRow="0" w:firstColumn="0" w:lastColumn="0" w:oddVBand="0" w:evenVBand="0" w:oddHBand="0" w:evenHBand="0" w:firstRowFirstColumn="0" w:firstRowLastColumn="0" w:lastRowFirstColumn="0" w:lastRowLastColumn="0"/>
              <w:rPr>
                <w:b w:val="0"/>
                <w:bCs/>
                <w:lang w:eastAsia="en-US"/>
              </w:rPr>
            </w:pPr>
            <w:r>
              <w:rPr>
                <w:lang w:eastAsia="en-US"/>
              </w:rPr>
              <w:t>Average cost per claim</w:t>
            </w:r>
          </w:p>
          <w:p w14:paraId="3274AAA5" w14:textId="716EE47D" w:rsidR="001763DB" w:rsidRDefault="00926282" w:rsidP="007E689B">
            <w:pPr>
              <w:pStyle w:val="TableBodyText"/>
              <w:cnfStyle w:val="100000000000" w:firstRow="1" w:lastRow="0" w:firstColumn="0" w:lastColumn="0" w:oddVBand="0" w:evenVBand="0" w:oddHBand="0" w:evenHBand="0" w:firstRowFirstColumn="0" w:firstRowLastColumn="0" w:lastRowFirstColumn="0" w:lastRowLastColumn="0"/>
              <w:rPr>
                <w:lang w:eastAsia="en-US"/>
              </w:rPr>
            </w:pPr>
            <w:hyperlink w:anchor="NoteTable9" w:history="1">
              <w:r w:rsidR="001763DB" w:rsidRPr="001763DB">
                <w:rPr>
                  <w:rStyle w:val="Hyperlink"/>
                  <w:lang w:eastAsia="en-US"/>
                </w:rPr>
                <w:t>refer note</w:t>
              </w:r>
            </w:hyperlink>
          </w:p>
        </w:tc>
      </w:tr>
      <w:bookmarkEnd w:id="571"/>
      <w:tr w:rsidR="00E45A77" w14:paraId="73AFE597" w14:textId="77777777" w:rsidTr="007E689B">
        <w:tc>
          <w:tcPr>
            <w:cnfStyle w:val="001000000000" w:firstRow="0" w:lastRow="0" w:firstColumn="1" w:lastColumn="0" w:oddVBand="0" w:evenVBand="0" w:oddHBand="0" w:evenHBand="0" w:firstRowFirstColumn="0" w:firstRowLastColumn="0" w:lastRowFirstColumn="0" w:lastRowLastColumn="0"/>
            <w:tcW w:w="404" w:type="pct"/>
            <w:vAlign w:val="top"/>
          </w:tcPr>
          <w:p w14:paraId="207C8E4E" w14:textId="2F84EE46" w:rsidR="00E45A77" w:rsidRDefault="00B17C6A" w:rsidP="007E689B">
            <w:pPr>
              <w:pStyle w:val="TableBodyText"/>
              <w:rPr>
                <w:lang w:eastAsia="en-US"/>
              </w:rPr>
            </w:pPr>
            <w:r>
              <w:rPr>
                <w:lang w:eastAsia="en-US"/>
              </w:rPr>
              <w:t>2016-17</w:t>
            </w:r>
          </w:p>
        </w:tc>
        <w:tc>
          <w:tcPr>
            <w:tcW w:w="460" w:type="pct"/>
            <w:vAlign w:val="top"/>
          </w:tcPr>
          <w:p w14:paraId="656C0B6B" w14:textId="2C07E475"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1002</w:t>
            </w:r>
          </w:p>
        </w:tc>
        <w:tc>
          <w:tcPr>
            <w:tcW w:w="460" w:type="pct"/>
            <w:vAlign w:val="top"/>
          </w:tcPr>
          <w:p w14:paraId="7CFEF3D7" w14:textId="38C076F4"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503</w:t>
            </w:r>
          </w:p>
        </w:tc>
        <w:tc>
          <w:tcPr>
            <w:tcW w:w="460" w:type="pct"/>
            <w:vAlign w:val="top"/>
          </w:tcPr>
          <w:p w14:paraId="5BDD757E" w14:textId="71B11585"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50.2</w:t>
            </w:r>
          </w:p>
        </w:tc>
        <w:tc>
          <w:tcPr>
            <w:tcW w:w="460" w:type="pct"/>
            <w:vAlign w:val="top"/>
          </w:tcPr>
          <w:p w14:paraId="59F13C50" w14:textId="375B3D92"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438</w:t>
            </w:r>
          </w:p>
        </w:tc>
        <w:tc>
          <w:tcPr>
            <w:tcW w:w="460" w:type="pct"/>
            <w:vAlign w:val="top"/>
          </w:tcPr>
          <w:p w14:paraId="16A3A53A" w14:textId="3E27EA0E"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43.7</w:t>
            </w:r>
          </w:p>
        </w:tc>
        <w:tc>
          <w:tcPr>
            <w:tcW w:w="460" w:type="pct"/>
            <w:vAlign w:val="top"/>
          </w:tcPr>
          <w:p w14:paraId="1F066595" w14:textId="668FC721"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941</w:t>
            </w:r>
          </w:p>
        </w:tc>
        <w:tc>
          <w:tcPr>
            <w:tcW w:w="460" w:type="pct"/>
            <w:vAlign w:val="top"/>
          </w:tcPr>
          <w:p w14:paraId="5373D1DB" w14:textId="0A4CD2AF"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93.9</w:t>
            </w:r>
          </w:p>
        </w:tc>
        <w:tc>
          <w:tcPr>
            <w:tcW w:w="460" w:type="pct"/>
            <w:vAlign w:val="top"/>
          </w:tcPr>
          <w:p w14:paraId="1D469866" w14:textId="403B473C"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1</w:t>
            </w:r>
          </w:p>
        </w:tc>
        <w:tc>
          <w:tcPr>
            <w:tcW w:w="460" w:type="pct"/>
            <w:vAlign w:val="top"/>
          </w:tcPr>
          <w:p w14:paraId="385152BA" w14:textId="1BA83304"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0.10</w:t>
            </w:r>
          </w:p>
        </w:tc>
        <w:tc>
          <w:tcPr>
            <w:tcW w:w="456" w:type="pct"/>
            <w:vAlign w:val="top"/>
          </w:tcPr>
          <w:p w14:paraId="22DF82F6" w14:textId="49AB8BC3" w:rsidR="00E45A77" w:rsidRDefault="00B17C6A"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$65,339</w:t>
            </w:r>
          </w:p>
        </w:tc>
      </w:tr>
      <w:tr w:rsidR="001763DB" w14:paraId="65627B04" w14:textId="77777777" w:rsidTr="007E689B">
        <w:tc>
          <w:tcPr>
            <w:cnfStyle w:val="001000000000" w:firstRow="0" w:lastRow="0" w:firstColumn="1" w:lastColumn="0" w:oddVBand="0" w:evenVBand="0" w:oddHBand="0" w:evenHBand="0" w:firstRowFirstColumn="0" w:firstRowLastColumn="0" w:lastRowFirstColumn="0" w:lastRowLastColumn="0"/>
            <w:tcW w:w="404" w:type="pct"/>
            <w:vAlign w:val="top"/>
          </w:tcPr>
          <w:p w14:paraId="72E458CB" w14:textId="500E7C32" w:rsidR="001763DB" w:rsidRDefault="001763DB" w:rsidP="007E689B">
            <w:pPr>
              <w:pStyle w:val="TableBodyText"/>
              <w:rPr>
                <w:lang w:eastAsia="en-US"/>
              </w:rPr>
            </w:pPr>
            <w:r>
              <w:rPr>
                <w:lang w:eastAsia="en-US"/>
              </w:rPr>
              <w:t>2017-18</w:t>
            </w:r>
          </w:p>
        </w:tc>
        <w:tc>
          <w:tcPr>
            <w:tcW w:w="460" w:type="pct"/>
            <w:vAlign w:val="top"/>
          </w:tcPr>
          <w:p w14:paraId="3D2F5E08" w14:textId="0547167B"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1029</w:t>
            </w:r>
          </w:p>
        </w:tc>
        <w:tc>
          <w:tcPr>
            <w:tcW w:w="460" w:type="pct"/>
            <w:vAlign w:val="top"/>
          </w:tcPr>
          <w:p w14:paraId="5D371D2A" w14:textId="716A4C39"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546</w:t>
            </w:r>
          </w:p>
        </w:tc>
        <w:tc>
          <w:tcPr>
            <w:tcW w:w="460" w:type="pct"/>
            <w:vAlign w:val="top"/>
          </w:tcPr>
          <w:p w14:paraId="2666C04E" w14:textId="71630EC0"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53.1</w:t>
            </w:r>
          </w:p>
        </w:tc>
        <w:tc>
          <w:tcPr>
            <w:tcW w:w="460" w:type="pct"/>
            <w:vAlign w:val="top"/>
          </w:tcPr>
          <w:p w14:paraId="4EEC4754" w14:textId="573A246B"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303</w:t>
            </w:r>
          </w:p>
        </w:tc>
        <w:tc>
          <w:tcPr>
            <w:tcW w:w="460" w:type="pct"/>
            <w:vAlign w:val="top"/>
          </w:tcPr>
          <w:p w14:paraId="597936EF" w14:textId="3CCD895C"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29.4</w:t>
            </w:r>
          </w:p>
        </w:tc>
        <w:tc>
          <w:tcPr>
            <w:tcW w:w="460" w:type="pct"/>
            <w:vAlign w:val="top"/>
          </w:tcPr>
          <w:p w14:paraId="1A3D4B5D" w14:textId="02F3A1B2"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763</w:t>
            </w:r>
          </w:p>
        </w:tc>
        <w:tc>
          <w:tcPr>
            <w:tcW w:w="460" w:type="pct"/>
            <w:vAlign w:val="top"/>
          </w:tcPr>
          <w:p w14:paraId="3C80EEC6" w14:textId="53BE811F"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74.1</w:t>
            </w:r>
          </w:p>
        </w:tc>
        <w:tc>
          <w:tcPr>
            <w:tcW w:w="460" w:type="pct"/>
            <w:vAlign w:val="top"/>
          </w:tcPr>
          <w:p w14:paraId="3955006A" w14:textId="4E6C5941"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w:t>
            </w:r>
          </w:p>
        </w:tc>
        <w:tc>
          <w:tcPr>
            <w:tcW w:w="460" w:type="pct"/>
            <w:vAlign w:val="top"/>
          </w:tcPr>
          <w:p w14:paraId="0CFDBE39" w14:textId="4439FDE7"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0.30</w:t>
            </w:r>
          </w:p>
        </w:tc>
        <w:tc>
          <w:tcPr>
            <w:tcW w:w="456" w:type="pct"/>
            <w:vAlign w:val="top"/>
          </w:tcPr>
          <w:p w14:paraId="7D7750C4" w14:textId="3E09B66C"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$59,736</w:t>
            </w:r>
          </w:p>
        </w:tc>
      </w:tr>
      <w:tr w:rsidR="001763DB" w14:paraId="6FF20EB8" w14:textId="77777777" w:rsidTr="007E689B">
        <w:tc>
          <w:tcPr>
            <w:cnfStyle w:val="001000000000" w:firstRow="0" w:lastRow="0" w:firstColumn="1" w:lastColumn="0" w:oddVBand="0" w:evenVBand="0" w:oddHBand="0" w:evenHBand="0" w:firstRowFirstColumn="0" w:firstRowLastColumn="0" w:lastRowFirstColumn="0" w:lastRowLastColumn="0"/>
            <w:tcW w:w="404" w:type="pct"/>
            <w:vAlign w:val="top"/>
          </w:tcPr>
          <w:p w14:paraId="5C532AEA" w14:textId="5E303FE4" w:rsidR="001763DB" w:rsidRDefault="001763DB" w:rsidP="007E689B">
            <w:pPr>
              <w:pStyle w:val="TableBodyText"/>
              <w:rPr>
                <w:lang w:eastAsia="en-US"/>
              </w:rPr>
            </w:pPr>
            <w:r>
              <w:rPr>
                <w:lang w:eastAsia="en-US"/>
              </w:rPr>
              <w:t>2018-19</w:t>
            </w:r>
          </w:p>
        </w:tc>
        <w:tc>
          <w:tcPr>
            <w:tcW w:w="460" w:type="pct"/>
            <w:vAlign w:val="top"/>
          </w:tcPr>
          <w:p w14:paraId="7DA243C5" w14:textId="2F532A6C"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1096</w:t>
            </w:r>
          </w:p>
        </w:tc>
        <w:tc>
          <w:tcPr>
            <w:tcW w:w="460" w:type="pct"/>
            <w:vAlign w:val="top"/>
          </w:tcPr>
          <w:p w14:paraId="550EEAEE" w14:textId="4D51AFC7"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529</w:t>
            </w:r>
          </w:p>
        </w:tc>
        <w:tc>
          <w:tcPr>
            <w:tcW w:w="460" w:type="pct"/>
            <w:vAlign w:val="top"/>
          </w:tcPr>
          <w:p w14:paraId="38578ACC" w14:textId="308F91CA"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48.3</w:t>
            </w:r>
          </w:p>
        </w:tc>
        <w:tc>
          <w:tcPr>
            <w:tcW w:w="460" w:type="pct"/>
            <w:vAlign w:val="top"/>
          </w:tcPr>
          <w:p w14:paraId="117481E3" w14:textId="16078E66"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333</w:t>
            </w:r>
          </w:p>
        </w:tc>
        <w:tc>
          <w:tcPr>
            <w:tcW w:w="460" w:type="pct"/>
            <w:vAlign w:val="top"/>
          </w:tcPr>
          <w:p w14:paraId="3DA7A9C5" w14:textId="322912B1"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30.4</w:t>
            </w:r>
          </w:p>
        </w:tc>
        <w:tc>
          <w:tcPr>
            <w:tcW w:w="460" w:type="pct"/>
            <w:vAlign w:val="top"/>
          </w:tcPr>
          <w:p w14:paraId="6428CF45" w14:textId="48ABBBE2"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862</w:t>
            </w:r>
          </w:p>
        </w:tc>
        <w:tc>
          <w:tcPr>
            <w:tcW w:w="460" w:type="pct"/>
            <w:vAlign w:val="top"/>
          </w:tcPr>
          <w:p w14:paraId="0CA468B4" w14:textId="315F4A6A"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78.6</w:t>
            </w:r>
          </w:p>
        </w:tc>
        <w:tc>
          <w:tcPr>
            <w:tcW w:w="460" w:type="pct"/>
            <w:vAlign w:val="top"/>
          </w:tcPr>
          <w:p w14:paraId="1A5184AE" w14:textId="2FB6809A"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4</w:t>
            </w:r>
          </w:p>
        </w:tc>
        <w:tc>
          <w:tcPr>
            <w:tcW w:w="460" w:type="pct"/>
            <w:vAlign w:val="top"/>
          </w:tcPr>
          <w:p w14:paraId="445BBF08" w14:textId="165366F2"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0.36</w:t>
            </w:r>
          </w:p>
        </w:tc>
        <w:tc>
          <w:tcPr>
            <w:tcW w:w="456" w:type="pct"/>
            <w:vAlign w:val="top"/>
          </w:tcPr>
          <w:p w14:paraId="0EBC7C1D" w14:textId="36009FBD"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$77,333</w:t>
            </w:r>
          </w:p>
        </w:tc>
      </w:tr>
      <w:tr w:rsidR="001763DB" w14:paraId="0D94FD25" w14:textId="77777777" w:rsidTr="000C436B">
        <w:tc>
          <w:tcPr>
            <w:cnfStyle w:val="001000000000" w:firstRow="0" w:lastRow="0" w:firstColumn="1" w:lastColumn="0" w:oddVBand="0" w:evenVBand="0" w:oddHBand="0" w:evenHBand="0" w:firstRowFirstColumn="0" w:firstRowLastColumn="0" w:lastRowFirstColumn="0" w:lastRowLastColumn="0"/>
            <w:tcW w:w="404" w:type="pct"/>
            <w:vAlign w:val="top"/>
          </w:tcPr>
          <w:p w14:paraId="4128723D" w14:textId="2A9FB9EA" w:rsidR="001763DB" w:rsidRDefault="001763DB" w:rsidP="007E689B">
            <w:pPr>
              <w:pStyle w:val="TableBodyText"/>
              <w:rPr>
                <w:lang w:eastAsia="en-US"/>
              </w:rPr>
            </w:pPr>
            <w:r>
              <w:rPr>
                <w:lang w:eastAsia="en-US"/>
              </w:rPr>
              <w:t>2019-20</w:t>
            </w:r>
          </w:p>
        </w:tc>
        <w:tc>
          <w:tcPr>
            <w:tcW w:w="460" w:type="pct"/>
            <w:vAlign w:val="top"/>
          </w:tcPr>
          <w:p w14:paraId="47B35352" w14:textId="0CBA37EA"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1132</w:t>
            </w:r>
          </w:p>
        </w:tc>
        <w:tc>
          <w:tcPr>
            <w:tcW w:w="460" w:type="pct"/>
            <w:vAlign w:val="top"/>
          </w:tcPr>
          <w:p w14:paraId="45903D5E" w14:textId="3DB734BC"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426</w:t>
            </w:r>
          </w:p>
        </w:tc>
        <w:tc>
          <w:tcPr>
            <w:tcW w:w="460" w:type="pct"/>
            <w:vAlign w:val="top"/>
          </w:tcPr>
          <w:p w14:paraId="498F0B0D" w14:textId="2735766A"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37.6</w:t>
            </w:r>
          </w:p>
        </w:tc>
        <w:tc>
          <w:tcPr>
            <w:tcW w:w="460" w:type="pct"/>
            <w:vAlign w:val="top"/>
          </w:tcPr>
          <w:p w14:paraId="0FA7CBA4" w14:textId="628AE502"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247</w:t>
            </w:r>
          </w:p>
        </w:tc>
        <w:tc>
          <w:tcPr>
            <w:tcW w:w="460" w:type="pct"/>
            <w:vAlign w:val="top"/>
          </w:tcPr>
          <w:p w14:paraId="333C04DB" w14:textId="000F5088"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21.8</w:t>
            </w:r>
          </w:p>
        </w:tc>
        <w:tc>
          <w:tcPr>
            <w:tcW w:w="460" w:type="pct"/>
            <w:vAlign w:val="top"/>
          </w:tcPr>
          <w:p w14:paraId="20931AD4" w14:textId="628C7C86"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673</w:t>
            </w:r>
          </w:p>
        </w:tc>
        <w:tc>
          <w:tcPr>
            <w:tcW w:w="460" w:type="pct"/>
            <w:vAlign w:val="top"/>
          </w:tcPr>
          <w:p w14:paraId="4679059E" w14:textId="54E9CE06"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59.4</w:t>
            </w:r>
          </w:p>
        </w:tc>
        <w:tc>
          <w:tcPr>
            <w:tcW w:w="460" w:type="pct"/>
            <w:vAlign w:val="top"/>
          </w:tcPr>
          <w:p w14:paraId="2BD946A2" w14:textId="28919F16"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5</w:t>
            </w:r>
          </w:p>
        </w:tc>
        <w:tc>
          <w:tcPr>
            <w:tcW w:w="460" w:type="pct"/>
            <w:vAlign w:val="top"/>
          </w:tcPr>
          <w:p w14:paraId="49776C39" w14:textId="2FB7572C"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0.44</w:t>
            </w:r>
          </w:p>
        </w:tc>
        <w:tc>
          <w:tcPr>
            <w:tcW w:w="456" w:type="pct"/>
            <w:vAlign w:val="top"/>
          </w:tcPr>
          <w:p w14:paraId="057FA977" w14:textId="71BFD31B"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$79,392</w:t>
            </w:r>
          </w:p>
        </w:tc>
      </w:tr>
      <w:tr w:rsidR="001763DB" w14:paraId="16B397E5" w14:textId="77777777" w:rsidTr="000C436B">
        <w:tc>
          <w:tcPr>
            <w:cnfStyle w:val="001000000000" w:firstRow="0" w:lastRow="0" w:firstColumn="1" w:lastColumn="0" w:oddVBand="0" w:evenVBand="0" w:oddHBand="0" w:evenHBand="0" w:firstRowFirstColumn="0" w:firstRowLastColumn="0" w:lastRowFirstColumn="0" w:lastRowLastColumn="0"/>
            <w:tcW w:w="404" w:type="pct"/>
            <w:tcBorders>
              <w:bottom w:val="single" w:sz="4" w:space="0" w:color="auto"/>
            </w:tcBorders>
            <w:vAlign w:val="top"/>
          </w:tcPr>
          <w:p w14:paraId="07EC709E" w14:textId="678F9118" w:rsidR="001763DB" w:rsidRDefault="001763DB" w:rsidP="007E689B">
            <w:pPr>
              <w:pStyle w:val="TableBodyText"/>
              <w:rPr>
                <w:lang w:eastAsia="en-US"/>
              </w:rPr>
            </w:pPr>
            <w:r>
              <w:rPr>
                <w:lang w:eastAsia="en-US"/>
              </w:rPr>
              <w:t>2020-21</w:t>
            </w:r>
          </w:p>
        </w:tc>
        <w:tc>
          <w:tcPr>
            <w:tcW w:w="460" w:type="pct"/>
            <w:tcBorders>
              <w:bottom w:val="single" w:sz="4" w:space="0" w:color="auto"/>
            </w:tcBorders>
            <w:vAlign w:val="top"/>
          </w:tcPr>
          <w:p w14:paraId="14A91466" w14:textId="30679721"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1164</w:t>
            </w:r>
          </w:p>
        </w:tc>
        <w:tc>
          <w:tcPr>
            <w:tcW w:w="460" w:type="pct"/>
            <w:tcBorders>
              <w:bottom w:val="single" w:sz="4" w:space="0" w:color="auto"/>
            </w:tcBorders>
            <w:vAlign w:val="top"/>
          </w:tcPr>
          <w:p w14:paraId="35804CF8" w14:textId="5ACE3624"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395</w:t>
            </w:r>
          </w:p>
        </w:tc>
        <w:tc>
          <w:tcPr>
            <w:tcW w:w="460" w:type="pct"/>
            <w:tcBorders>
              <w:bottom w:val="single" w:sz="4" w:space="0" w:color="auto"/>
            </w:tcBorders>
            <w:vAlign w:val="top"/>
          </w:tcPr>
          <w:p w14:paraId="16159D9D" w14:textId="5DA21C31"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33.9</w:t>
            </w:r>
          </w:p>
        </w:tc>
        <w:tc>
          <w:tcPr>
            <w:tcW w:w="460" w:type="pct"/>
            <w:tcBorders>
              <w:bottom w:val="single" w:sz="4" w:space="0" w:color="auto"/>
            </w:tcBorders>
            <w:vAlign w:val="top"/>
          </w:tcPr>
          <w:p w14:paraId="564C4981" w14:textId="6C426D9F"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322</w:t>
            </w:r>
          </w:p>
        </w:tc>
        <w:tc>
          <w:tcPr>
            <w:tcW w:w="460" w:type="pct"/>
            <w:tcBorders>
              <w:bottom w:val="single" w:sz="4" w:space="0" w:color="auto"/>
            </w:tcBorders>
            <w:vAlign w:val="top"/>
          </w:tcPr>
          <w:p w14:paraId="47ACBFEA" w14:textId="02D115C4"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27.6</w:t>
            </w:r>
          </w:p>
        </w:tc>
        <w:tc>
          <w:tcPr>
            <w:tcW w:w="460" w:type="pct"/>
            <w:tcBorders>
              <w:bottom w:val="single" w:sz="4" w:space="0" w:color="auto"/>
            </w:tcBorders>
            <w:vAlign w:val="top"/>
          </w:tcPr>
          <w:p w14:paraId="494B5CFB" w14:textId="34F6A587"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717</w:t>
            </w:r>
          </w:p>
        </w:tc>
        <w:tc>
          <w:tcPr>
            <w:tcW w:w="460" w:type="pct"/>
            <w:tcBorders>
              <w:bottom w:val="single" w:sz="4" w:space="0" w:color="auto"/>
            </w:tcBorders>
            <w:vAlign w:val="top"/>
          </w:tcPr>
          <w:p w14:paraId="6B3AF561" w14:textId="559A048D"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61.6</w:t>
            </w:r>
          </w:p>
        </w:tc>
        <w:tc>
          <w:tcPr>
            <w:tcW w:w="460" w:type="pct"/>
            <w:tcBorders>
              <w:bottom w:val="single" w:sz="4" w:space="0" w:color="auto"/>
            </w:tcBorders>
            <w:vAlign w:val="top"/>
          </w:tcPr>
          <w:p w14:paraId="4FE46F2B" w14:textId="10AD8817"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7</w:t>
            </w:r>
          </w:p>
        </w:tc>
        <w:tc>
          <w:tcPr>
            <w:tcW w:w="460" w:type="pct"/>
            <w:tcBorders>
              <w:bottom w:val="single" w:sz="4" w:space="0" w:color="auto"/>
            </w:tcBorders>
            <w:vAlign w:val="top"/>
          </w:tcPr>
          <w:p w14:paraId="098991E0" w14:textId="157747E1"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0.60</w:t>
            </w:r>
          </w:p>
        </w:tc>
        <w:tc>
          <w:tcPr>
            <w:tcW w:w="456" w:type="pct"/>
            <w:tcBorders>
              <w:bottom w:val="single" w:sz="4" w:space="0" w:color="auto"/>
            </w:tcBorders>
            <w:vAlign w:val="top"/>
          </w:tcPr>
          <w:p w14:paraId="7DADFC43" w14:textId="4B698E6E" w:rsidR="001763DB" w:rsidRDefault="001763DB" w:rsidP="007E689B">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$94,746</w:t>
            </w:r>
          </w:p>
        </w:tc>
      </w:tr>
    </w:tbl>
    <w:p w14:paraId="0A1AD4B2" w14:textId="77777777" w:rsidR="001763DB" w:rsidRDefault="001763DB" w:rsidP="001763DB">
      <w:pPr>
        <w:pStyle w:val="BodyText"/>
        <w:rPr>
          <w:lang w:eastAsia="en-US"/>
        </w:rPr>
      </w:pPr>
      <w:bookmarkStart w:id="572" w:name="NoteTable9"/>
      <w:r>
        <w:rPr>
          <w:lang w:eastAsia="en-US"/>
        </w:rPr>
        <w:t>Note</w:t>
      </w:r>
      <w:bookmarkEnd w:id="572"/>
      <w:r>
        <w:rPr>
          <w:lang w:eastAsia="en-US"/>
        </w:rPr>
        <w:t>: Includes payments to date and estimates of outstanding claim costs advised by WorkCover.</w:t>
      </w:r>
    </w:p>
    <w:p w14:paraId="5533FE09" w14:textId="448DEA0C" w:rsidR="00292930" w:rsidRDefault="00292930" w:rsidP="00292930">
      <w:pPr>
        <w:pStyle w:val="Caption"/>
        <w:rPr>
          <w:lang w:eastAsia="en-US"/>
        </w:rPr>
      </w:pPr>
      <w:bookmarkStart w:id="573" w:name="_Ref89644354"/>
      <w:bookmarkStart w:id="574" w:name="_Ref89797299"/>
      <w:bookmarkStart w:id="575" w:name="TypesofInjury"/>
      <w:r w:rsidRPr="001763DB">
        <w:rPr>
          <w:lang w:eastAsia="en-US"/>
        </w:rPr>
        <w:t xml:space="preserve">Table </w:t>
      </w:r>
      <w:r>
        <w:rPr>
          <w:lang w:eastAsia="en-US"/>
        </w:rPr>
        <w:fldChar w:fldCharType="begin"/>
      </w:r>
      <w:r>
        <w:rPr>
          <w:lang w:eastAsia="en-US"/>
        </w:rPr>
        <w:instrText xml:space="preserve"> SEQ Table \* ARABIC </w:instrText>
      </w:r>
      <w:r>
        <w:rPr>
          <w:lang w:eastAsia="en-US"/>
        </w:rPr>
        <w:fldChar w:fldCharType="separate"/>
      </w:r>
      <w:r w:rsidR="00472151">
        <w:rPr>
          <w:noProof/>
          <w:lang w:eastAsia="en-US"/>
        </w:rPr>
        <w:t>10</w:t>
      </w:r>
      <w:r>
        <w:rPr>
          <w:lang w:eastAsia="en-US"/>
        </w:rPr>
        <w:fldChar w:fldCharType="end"/>
      </w:r>
      <w:bookmarkEnd w:id="573"/>
      <w:r w:rsidRPr="001763DB">
        <w:rPr>
          <w:lang w:eastAsia="en-US"/>
        </w:rPr>
        <w:t>: Types of Injury</w:t>
      </w:r>
      <w:bookmarkEnd w:id="574"/>
    </w:p>
    <w:tbl>
      <w:tblPr>
        <w:tblStyle w:val="Style1"/>
        <w:tblW w:w="5000" w:type="pct"/>
        <w:tblLook w:val="04A0" w:firstRow="1" w:lastRow="0" w:firstColumn="1" w:lastColumn="0" w:noHBand="0" w:noVBand="1"/>
      </w:tblPr>
      <w:tblGrid>
        <w:gridCol w:w="3312"/>
        <w:gridCol w:w="2253"/>
        <w:gridCol w:w="2253"/>
        <w:gridCol w:w="2253"/>
        <w:gridCol w:w="2253"/>
        <w:gridCol w:w="2247"/>
      </w:tblGrid>
      <w:tr w:rsidR="00292930" w:rsidRPr="00292930" w14:paraId="0EA57962" w14:textId="77777777" w:rsidTr="000C4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pct"/>
            <w:tcBorders>
              <w:top w:val="single" w:sz="4" w:space="0" w:color="auto"/>
            </w:tcBorders>
            <w:vAlign w:val="bottom"/>
          </w:tcPr>
          <w:p w14:paraId="46A577E9" w14:textId="77777777" w:rsidR="00292930" w:rsidRPr="00292930" w:rsidRDefault="00292930" w:rsidP="00292930">
            <w:pPr>
              <w:pStyle w:val="TableBodyText"/>
            </w:pPr>
            <w:bookmarkStart w:id="576" w:name="ColumnTitle_23"/>
            <w:bookmarkEnd w:id="575"/>
            <w:r w:rsidRPr="00292930">
              <w:t>Item</w:t>
            </w:r>
          </w:p>
        </w:tc>
        <w:tc>
          <w:tcPr>
            <w:tcW w:w="773" w:type="pct"/>
            <w:tcBorders>
              <w:top w:val="single" w:sz="4" w:space="0" w:color="auto"/>
            </w:tcBorders>
            <w:vAlign w:val="bottom"/>
          </w:tcPr>
          <w:p w14:paraId="54F5FAE9" w14:textId="77777777" w:rsidR="00292930" w:rsidRPr="00292930" w:rsidRDefault="00292930" w:rsidP="00292930">
            <w:pPr>
              <w:pStyle w:val="TableBodyText"/>
              <w:cnfStyle w:val="100000000000" w:firstRow="1" w:lastRow="0" w:firstColumn="0" w:lastColumn="0" w:oddVBand="0" w:evenVBand="0" w:oddHBand="0" w:evenHBand="0" w:firstRowFirstColumn="0" w:firstRowLastColumn="0" w:lastRowFirstColumn="0" w:lastRowLastColumn="0"/>
            </w:pPr>
            <w:r w:rsidRPr="00292930">
              <w:t>2016-17</w:t>
            </w:r>
          </w:p>
        </w:tc>
        <w:tc>
          <w:tcPr>
            <w:tcW w:w="773" w:type="pct"/>
            <w:tcBorders>
              <w:top w:val="single" w:sz="4" w:space="0" w:color="auto"/>
            </w:tcBorders>
            <w:vAlign w:val="bottom"/>
          </w:tcPr>
          <w:p w14:paraId="7BA7B19B" w14:textId="77777777" w:rsidR="00292930" w:rsidRPr="00292930" w:rsidRDefault="00292930" w:rsidP="00292930">
            <w:pPr>
              <w:pStyle w:val="TableBodyText"/>
              <w:cnfStyle w:val="100000000000" w:firstRow="1" w:lastRow="0" w:firstColumn="0" w:lastColumn="0" w:oddVBand="0" w:evenVBand="0" w:oddHBand="0" w:evenHBand="0" w:firstRowFirstColumn="0" w:firstRowLastColumn="0" w:lastRowFirstColumn="0" w:lastRowLastColumn="0"/>
            </w:pPr>
            <w:r w:rsidRPr="00292930">
              <w:t>2017-18</w:t>
            </w:r>
          </w:p>
        </w:tc>
        <w:tc>
          <w:tcPr>
            <w:tcW w:w="773" w:type="pct"/>
            <w:tcBorders>
              <w:top w:val="single" w:sz="4" w:space="0" w:color="auto"/>
            </w:tcBorders>
            <w:vAlign w:val="bottom"/>
          </w:tcPr>
          <w:p w14:paraId="6B5575E7" w14:textId="77777777" w:rsidR="00292930" w:rsidRPr="00292930" w:rsidRDefault="00292930" w:rsidP="00292930">
            <w:pPr>
              <w:pStyle w:val="TableBodyText"/>
              <w:cnfStyle w:val="100000000000" w:firstRow="1" w:lastRow="0" w:firstColumn="0" w:lastColumn="0" w:oddVBand="0" w:evenVBand="0" w:oddHBand="0" w:evenHBand="0" w:firstRowFirstColumn="0" w:firstRowLastColumn="0" w:lastRowFirstColumn="0" w:lastRowLastColumn="0"/>
            </w:pPr>
            <w:r w:rsidRPr="00292930">
              <w:t>2018-19</w:t>
            </w:r>
          </w:p>
        </w:tc>
        <w:tc>
          <w:tcPr>
            <w:tcW w:w="773" w:type="pct"/>
            <w:tcBorders>
              <w:top w:val="single" w:sz="4" w:space="0" w:color="auto"/>
            </w:tcBorders>
            <w:vAlign w:val="bottom"/>
          </w:tcPr>
          <w:p w14:paraId="4898FCA7" w14:textId="77777777" w:rsidR="00292930" w:rsidRPr="00292930" w:rsidRDefault="00292930" w:rsidP="00292930">
            <w:pPr>
              <w:pStyle w:val="TableBodyText"/>
              <w:cnfStyle w:val="100000000000" w:firstRow="1" w:lastRow="0" w:firstColumn="0" w:lastColumn="0" w:oddVBand="0" w:evenVBand="0" w:oddHBand="0" w:evenHBand="0" w:firstRowFirstColumn="0" w:firstRowLastColumn="0" w:lastRowFirstColumn="0" w:lastRowLastColumn="0"/>
            </w:pPr>
            <w:r w:rsidRPr="00292930">
              <w:t>2019-20</w:t>
            </w:r>
          </w:p>
        </w:tc>
        <w:tc>
          <w:tcPr>
            <w:tcW w:w="771" w:type="pct"/>
            <w:tcBorders>
              <w:top w:val="single" w:sz="4" w:space="0" w:color="auto"/>
            </w:tcBorders>
            <w:vAlign w:val="bottom"/>
          </w:tcPr>
          <w:p w14:paraId="30217580" w14:textId="77777777" w:rsidR="00292930" w:rsidRPr="00292930" w:rsidRDefault="00292930" w:rsidP="00292930">
            <w:pPr>
              <w:pStyle w:val="TableBodyText"/>
              <w:cnfStyle w:val="100000000000" w:firstRow="1" w:lastRow="0" w:firstColumn="0" w:lastColumn="0" w:oddVBand="0" w:evenVBand="0" w:oddHBand="0" w:evenHBand="0" w:firstRowFirstColumn="0" w:firstRowLastColumn="0" w:lastRowFirstColumn="0" w:lastRowLastColumn="0"/>
            </w:pPr>
            <w:r w:rsidRPr="00292930">
              <w:t>2020-21</w:t>
            </w:r>
          </w:p>
        </w:tc>
      </w:tr>
      <w:bookmarkEnd w:id="576"/>
      <w:tr w:rsidR="00292930" w:rsidRPr="00292930" w14:paraId="3AEE2404" w14:textId="77777777" w:rsidTr="00292930">
        <w:tc>
          <w:tcPr>
            <w:cnfStyle w:val="001000000000" w:firstRow="0" w:lastRow="0" w:firstColumn="1" w:lastColumn="0" w:oddVBand="0" w:evenVBand="0" w:oddHBand="0" w:evenHBand="0" w:firstRowFirstColumn="0" w:firstRowLastColumn="0" w:lastRowFirstColumn="0" w:lastRowLastColumn="0"/>
            <w:tcW w:w="1137" w:type="pct"/>
            <w:vAlign w:val="top"/>
          </w:tcPr>
          <w:p w14:paraId="7D2E5BD2" w14:textId="77777777" w:rsidR="00292930" w:rsidRPr="00292930" w:rsidRDefault="00292930" w:rsidP="00292930">
            <w:pPr>
              <w:pStyle w:val="TableBodyText"/>
            </w:pPr>
            <w:r w:rsidRPr="00292930">
              <w:t>Lost time injury (LTI)</w:t>
            </w:r>
          </w:p>
        </w:tc>
        <w:tc>
          <w:tcPr>
            <w:tcW w:w="773" w:type="pct"/>
            <w:vAlign w:val="top"/>
          </w:tcPr>
          <w:p w14:paraId="76858278"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6</w:t>
            </w:r>
          </w:p>
        </w:tc>
        <w:tc>
          <w:tcPr>
            <w:tcW w:w="773" w:type="pct"/>
            <w:vAlign w:val="top"/>
          </w:tcPr>
          <w:p w14:paraId="7AEB271B"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3</w:t>
            </w:r>
          </w:p>
        </w:tc>
        <w:tc>
          <w:tcPr>
            <w:tcW w:w="773" w:type="pct"/>
            <w:vAlign w:val="top"/>
          </w:tcPr>
          <w:p w14:paraId="2A483E35"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7</w:t>
            </w:r>
          </w:p>
        </w:tc>
        <w:tc>
          <w:tcPr>
            <w:tcW w:w="773" w:type="pct"/>
            <w:vAlign w:val="top"/>
          </w:tcPr>
          <w:p w14:paraId="3087336C"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7</w:t>
            </w:r>
          </w:p>
        </w:tc>
        <w:tc>
          <w:tcPr>
            <w:tcW w:w="771" w:type="pct"/>
            <w:vAlign w:val="top"/>
          </w:tcPr>
          <w:p w14:paraId="4DCC8A9A"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7</w:t>
            </w:r>
          </w:p>
        </w:tc>
      </w:tr>
      <w:tr w:rsidR="00292930" w:rsidRPr="00292930" w14:paraId="665EE121" w14:textId="77777777" w:rsidTr="00292930">
        <w:tc>
          <w:tcPr>
            <w:cnfStyle w:val="001000000000" w:firstRow="0" w:lastRow="0" w:firstColumn="1" w:lastColumn="0" w:oddVBand="0" w:evenVBand="0" w:oddHBand="0" w:evenHBand="0" w:firstRowFirstColumn="0" w:firstRowLastColumn="0" w:lastRowFirstColumn="0" w:lastRowLastColumn="0"/>
            <w:tcW w:w="1137" w:type="pct"/>
            <w:vAlign w:val="top"/>
          </w:tcPr>
          <w:p w14:paraId="5CE880C6" w14:textId="77777777" w:rsidR="00292930" w:rsidRPr="00292930" w:rsidRDefault="00292930" w:rsidP="00292930">
            <w:pPr>
              <w:pStyle w:val="TableBodyText"/>
            </w:pPr>
            <w:r w:rsidRPr="00292930">
              <w:t>Restricted work injury (RWI) / Medical treatment injury (MTI)</w:t>
            </w:r>
          </w:p>
        </w:tc>
        <w:tc>
          <w:tcPr>
            <w:tcW w:w="773" w:type="pct"/>
            <w:vAlign w:val="top"/>
          </w:tcPr>
          <w:p w14:paraId="5EA1052B"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6</w:t>
            </w:r>
          </w:p>
        </w:tc>
        <w:tc>
          <w:tcPr>
            <w:tcW w:w="773" w:type="pct"/>
            <w:vAlign w:val="top"/>
          </w:tcPr>
          <w:p w14:paraId="62502945"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10</w:t>
            </w:r>
          </w:p>
        </w:tc>
        <w:tc>
          <w:tcPr>
            <w:tcW w:w="773" w:type="pct"/>
            <w:vAlign w:val="top"/>
          </w:tcPr>
          <w:p w14:paraId="384C366D"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9</w:t>
            </w:r>
          </w:p>
        </w:tc>
        <w:tc>
          <w:tcPr>
            <w:tcW w:w="773" w:type="pct"/>
            <w:vAlign w:val="top"/>
          </w:tcPr>
          <w:p w14:paraId="5ED0BED3"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4</w:t>
            </w:r>
          </w:p>
        </w:tc>
        <w:tc>
          <w:tcPr>
            <w:tcW w:w="771" w:type="pct"/>
            <w:vAlign w:val="top"/>
          </w:tcPr>
          <w:p w14:paraId="09358C95"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10</w:t>
            </w:r>
          </w:p>
        </w:tc>
      </w:tr>
      <w:tr w:rsidR="00292930" w:rsidRPr="00292930" w14:paraId="7B7063A8" w14:textId="77777777" w:rsidTr="00292930">
        <w:tc>
          <w:tcPr>
            <w:cnfStyle w:val="001000000000" w:firstRow="0" w:lastRow="0" w:firstColumn="1" w:lastColumn="0" w:oddVBand="0" w:evenVBand="0" w:oddHBand="0" w:evenHBand="0" w:firstRowFirstColumn="0" w:firstRowLastColumn="0" w:lastRowFirstColumn="0" w:lastRowLastColumn="0"/>
            <w:tcW w:w="1137" w:type="pct"/>
            <w:tcBorders>
              <w:bottom w:val="single" w:sz="4" w:space="0" w:color="auto"/>
            </w:tcBorders>
            <w:vAlign w:val="top"/>
          </w:tcPr>
          <w:p w14:paraId="60EFA73F" w14:textId="77777777" w:rsidR="00292930" w:rsidRPr="00292930" w:rsidRDefault="00292930" w:rsidP="00292930">
            <w:pPr>
              <w:pStyle w:val="TableBodyText"/>
            </w:pPr>
            <w:r w:rsidRPr="00292930">
              <w:t>First Aid</w:t>
            </w:r>
          </w:p>
        </w:tc>
        <w:tc>
          <w:tcPr>
            <w:tcW w:w="773" w:type="pct"/>
            <w:tcBorders>
              <w:bottom w:val="single" w:sz="4" w:space="0" w:color="auto"/>
            </w:tcBorders>
            <w:vAlign w:val="top"/>
          </w:tcPr>
          <w:p w14:paraId="64F00A2E"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78</w:t>
            </w:r>
          </w:p>
        </w:tc>
        <w:tc>
          <w:tcPr>
            <w:tcW w:w="773" w:type="pct"/>
            <w:tcBorders>
              <w:bottom w:val="single" w:sz="4" w:space="0" w:color="auto"/>
            </w:tcBorders>
            <w:vAlign w:val="top"/>
          </w:tcPr>
          <w:p w14:paraId="67C36EEF"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74</w:t>
            </w:r>
          </w:p>
        </w:tc>
        <w:tc>
          <w:tcPr>
            <w:tcW w:w="773" w:type="pct"/>
            <w:tcBorders>
              <w:bottom w:val="single" w:sz="4" w:space="0" w:color="auto"/>
            </w:tcBorders>
            <w:vAlign w:val="top"/>
          </w:tcPr>
          <w:p w14:paraId="4F83BA10"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59</w:t>
            </w:r>
          </w:p>
        </w:tc>
        <w:tc>
          <w:tcPr>
            <w:tcW w:w="773" w:type="pct"/>
            <w:tcBorders>
              <w:bottom w:val="single" w:sz="4" w:space="0" w:color="auto"/>
            </w:tcBorders>
            <w:vAlign w:val="top"/>
          </w:tcPr>
          <w:p w14:paraId="0B85DF97"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47</w:t>
            </w:r>
          </w:p>
        </w:tc>
        <w:tc>
          <w:tcPr>
            <w:tcW w:w="771" w:type="pct"/>
            <w:tcBorders>
              <w:bottom w:val="single" w:sz="4" w:space="0" w:color="auto"/>
            </w:tcBorders>
            <w:vAlign w:val="top"/>
          </w:tcPr>
          <w:p w14:paraId="29DF6D49"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pPr>
            <w:r w:rsidRPr="00292930">
              <w:t>72</w:t>
            </w:r>
          </w:p>
        </w:tc>
      </w:tr>
      <w:tr w:rsidR="00292930" w:rsidRPr="00292930" w14:paraId="4FDCF175" w14:textId="77777777" w:rsidTr="00292930">
        <w:tc>
          <w:tcPr>
            <w:cnfStyle w:val="001000000000" w:firstRow="0" w:lastRow="0" w:firstColumn="1" w:lastColumn="0" w:oddVBand="0" w:evenVBand="0" w:oddHBand="0" w:evenHBand="0" w:firstRowFirstColumn="0" w:firstRowLastColumn="0" w:lastRowFirstColumn="0" w:lastRowLastColumn="0"/>
            <w:tcW w:w="1137" w:type="pct"/>
            <w:tcBorders>
              <w:top w:val="single" w:sz="4" w:space="0" w:color="auto"/>
              <w:bottom w:val="single" w:sz="4" w:space="0" w:color="auto"/>
            </w:tcBorders>
            <w:vAlign w:val="top"/>
          </w:tcPr>
          <w:p w14:paraId="21AC1194" w14:textId="77777777" w:rsidR="00292930" w:rsidRPr="00292930" w:rsidRDefault="00292930" w:rsidP="00292930">
            <w:pPr>
              <w:pStyle w:val="TableBodyText"/>
              <w:rPr>
                <w:rStyle w:val="Bold"/>
              </w:rPr>
            </w:pPr>
            <w:r w:rsidRPr="00292930">
              <w:rPr>
                <w:rStyle w:val="Bold"/>
              </w:rPr>
              <w:t>Total</w:t>
            </w:r>
          </w:p>
        </w:tc>
        <w:tc>
          <w:tcPr>
            <w:tcW w:w="773" w:type="pct"/>
            <w:tcBorders>
              <w:top w:val="single" w:sz="4" w:space="0" w:color="auto"/>
              <w:bottom w:val="single" w:sz="4" w:space="0" w:color="auto"/>
            </w:tcBorders>
            <w:vAlign w:val="top"/>
          </w:tcPr>
          <w:p w14:paraId="612B23D2"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92930">
              <w:rPr>
                <w:rStyle w:val="Bold"/>
              </w:rPr>
              <w:t>90</w:t>
            </w:r>
          </w:p>
        </w:tc>
        <w:tc>
          <w:tcPr>
            <w:tcW w:w="773" w:type="pct"/>
            <w:tcBorders>
              <w:top w:val="single" w:sz="4" w:space="0" w:color="auto"/>
              <w:bottom w:val="single" w:sz="4" w:space="0" w:color="auto"/>
            </w:tcBorders>
            <w:vAlign w:val="top"/>
          </w:tcPr>
          <w:p w14:paraId="4F0A0CF3"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92930">
              <w:rPr>
                <w:rStyle w:val="Bold"/>
              </w:rPr>
              <w:t>88</w:t>
            </w:r>
          </w:p>
        </w:tc>
        <w:tc>
          <w:tcPr>
            <w:tcW w:w="773" w:type="pct"/>
            <w:tcBorders>
              <w:top w:val="single" w:sz="4" w:space="0" w:color="auto"/>
              <w:bottom w:val="single" w:sz="4" w:space="0" w:color="auto"/>
            </w:tcBorders>
            <w:vAlign w:val="top"/>
          </w:tcPr>
          <w:p w14:paraId="4F9FA210"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92930">
              <w:rPr>
                <w:rStyle w:val="Bold"/>
              </w:rPr>
              <w:t>75</w:t>
            </w:r>
          </w:p>
        </w:tc>
        <w:tc>
          <w:tcPr>
            <w:tcW w:w="773" w:type="pct"/>
            <w:tcBorders>
              <w:top w:val="single" w:sz="4" w:space="0" w:color="auto"/>
              <w:bottom w:val="single" w:sz="4" w:space="0" w:color="auto"/>
            </w:tcBorders>
            <w:vAlign w:val="top"/>
          </w:tcPr>
          <w:p w14:paraId="3A192D35"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92930">
              <w:rPr>
                <w:rStyle w:val="Bold"/>
              </w:rPr>
              <w:t>58</w:t>
            </w:r>
          </w:p>
        </w:tc>
        <w:tc>
          <w:tcPr>
            <w:tcW w:w="771" w:type="pct"/>
            <w:tcBorders>
              <w:top w:val="single" w:sz="4" w:space="0" w:color="auto"/>
              <w:bottom w:val="single" w:sz="4" w:space="0" w:color="auto"/>
            </w:tcBorders>
            <w:vAlign w:val="top"/>
          </w:tcPr>
          <w:p w14:paraId="72E82B95" w14:textId="77777777" w:rsidR="00292930" w:rsidRPr="00292930" w:rsidRDefault="00292930" w:rsidP="0029293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92930">
              <w:rPr>
                <w:rStyle w:val="Bold"/>
              </w:rPr>
              <w:t>89</w:t>
            </w:r>
          </w:p>
        </w:tc>
      </w:tr>
    </w:tbl>
    <w:p w14:paraId="39628C63" w14:textId="77777777" w:rsidR="00292930" w:rsidRDefault="00292930" w:rsidP="001763DB">
      <w:pPr>
        <w:pStyle w:val="BodyText"/>
        <w:rPr>
          <w:lang w:eastAsia="en-US"/>
        </w:rPr>
      </w:pPr>
    </w:p>
    <w:p w14:paraId="1A173AD6" w14:textId="1E8041A1" w:rsidR="00292930" w:rsidRDefault="00292930" w:rsidP="001763DB">
      <w:pPr>
        <w:pStyle w:val="BodyText"/>
        <w:rPr>
          <w:lang w:eastAsia="en-US"/>
        </w:rPr>
        <w:sectPr w:rsidR="00292930" w:rsidSect="00CF70F9">
          <w:endnotePr>
            <w:numFmt w:val="decimal"/>
          </w:endnotePr>
          <w:pgSz w:w="16840" w:h="11900" w:orient="landscape"/>
          <w:pgMar w:top="1134" w:right="851" w:bottom="1134" w:left="1418" w:header="709" w:footer="709" w:gutter="0"/>
          <w:cols w:space="289"/>
          <w:docGrid w:linePitch="360"/>
        </w:sectPr>
      </w:pPr>
    </w:p>
    <w:p w14:paraId="37BD0AE4" w14:textId="77777777" w:rsidR="001E12AC" w:rsidRDefault="001E12AC" w:rsidP="001E12AC">
      <w:pPr>
        <w:pStyle w:val="Heading1"/>
      </w:pPr>
      <w:bookmarkStart w:id="577" w:name="_Toc89723068"/>
      <w:bookmarkStart w:id="578" w:name="_Toc89723225"/>
      <w:bookmarkStart w:id="579" w:name="_Toc89723285"/>
      <w:bookmarkStart w:id="580" w:name="_Toc89860549"/>
      <w:bookmarkStart w:id="581" w:name="_Toc89860693"/>
      <w:bookmarkStart w:id="582" w:name="_Toc90326011"/>
      <w:bookmarkStart w:id="583" w:name="_Toc93659417"/>
      <w:r>
        <w:lastRenderedPageBreak/>
        <w:t>Our Business</w:t>
      </w:r>
      <w:bookmarkEnd w:id="577"/>
      <w:bookmarkEnd w:id="578"/>
      <w:bookmarkEnd w:id="579"/>
      <w:bookmarkEnd w:id="580"/>
      <w:bookmarkEnd w:id="581"/>
      <w:bookmarkEnd w:id="582"/>
      <w:bookmarkEnd w:id="583"/>
    </w:p>
    <w:p w14:paraId="4F1488E4" w14:textId="786123D6" w:rsidR="00E45A77" w:rsidRDefault="001E12AC" w:rsidP="001E12AC">
      <w:pPr>
        <w:pStyle w:val="PullBox"/>
      </w:pPr>
      <w:r>
        <w:t>When delivering services Melbourne Water always considers social responsibility and financial accountability.</w:t>
      </w:r>
    </w:p>
    <w:p w14:paraId="2C5CB92D" w14:textId="1E3A74BA" w:rsidR="00E45A77" w:rsidRDefault="001E12AC" w:rsidP="001E12AC">
      <w:pPr>
        <w:pStyle w:val="Heading2"/>
      </w:pPr>
      <w:bookmarkStart w:id="584" w:name="_Toc89723069"/>
      <w:bookmarkStart w:id="585" w:name="_Toc89723226"/>
      <w:bookmarkStart w:id="586" w:name="_Toc89723286"/>
      <w:bookmarkStart w:id="587" w:name="_Toc89860550"/>
      <w:bookmarkStart w:id="588" w:name="_Toc89860694"/>
      <w:bookmarkStart w:id="589" w:name="_Toc90326012"/>
      <w:bookmarkStart w:id="590" w:name="OrgStructure"/>
      <w:bookmarkStart w:id="591" w:name="_Toc93659418"/>
      <w:r w:rsidRPr="001E12AC">
        <w:t>Organisational</w:t>
      </w:r>
      <w:r>
        <w:t xml:space="preserve"> </w:t>
      </w:r>
      <w:r w:rsidRPr="001E12AC">
        <w:t>Structure</w:t>
      </w:r>
      <w:bookmarkEnd w:id="584"/>
      <w:bookmarkEnd w:id="585"/>
      <w:bookmarkEnd w:id="586"/>
      <w:bookmarkEnd w:id="587"/>
      <w:bookmarkEnd w:id="588"/>
      <w:bookmarkEnd w:id="589"/>
      <w:bookmarkEnd w:id="591"/>
    </w:p>
    <w:bookmarkEnd w:id="590"/>
    <w:p w14:paraId="439CD0AC" w14:textId="3D28F8FF" w:rsidR="001E12AC" w:rsidRDefault="00097FA2" w:rsidP="00097FA2">
      <w:r>
        <w:rPr>
          <w:noProof/>
        </w:rPr>
        <w:drawing>
          <wp:inline distT="0" distB="0" distL="0" distR="0" wp14:anchorId="5F89502F" wp14:editId="08A679A8">
            <wp:extent cx="5954400" cy="4849200"/>
            <wp:effectExtent l="0" t="0" r="8255" b="8890"/>
            <wp:docPr id="4" name="Picture 4" descr="Organisational chart. See details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rganisational chart. See details below."/>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54400" cy="4849200"/>
                    </a:xfrm>
                    <a:prstGeom prst="rect">
                      <a:avLst/>
                    </a:prstGeom>
                  </pic:spPr>
                </pic:pic>
              </a:graphicData>
            </a:graphic>
          </wp:inline>
        </w:drawing>
      </w:r>
    </w:p>
    <w:p w14:paraId="4D72D903" w14:textId="0759794C" w:rsidR="00097FA2" w:rsidRDefault="00097FA2" w:rsidP="00097FA2">
      <w:pPr>
        <w:pStyle w:val="ListBullet"/>
      </w:pPr>
      <w:r>
        <w:t>Level One, Board of Directors:</w:t>
      </w:r>
    </w:p>
    <w:p w14:paraId="49FC1FAE" w14:textId="24207EBA" w:rsidR="00097FA2" w:rsidRDefault="00097FA2" w:rsidP="00097FA2">
      <w:pPr>
        <w:pStyle w:val="ListBullet2"/>
      </w:pPr>
      <w:r>
        <w:t>Chair, John Thwaites (Audit, Risk and Finance Committee)</w:t>
      </w:r>
    </w:p>
    <w:p w14:paraId="68583D03" w14:textId="2CAE0BBD" w:rsidR="00097FA2" w:rsidRDefault="00097FA2" w:rsidP="00097FA2">
      <w:pPr>
        <w:pStyle w:val="ListBullet2"/>
      </w:pPr>
      <w:r>
        <w:t>Deputy Chair, Merran Kelsall (Audit, Risk and Finance Committee)</w:t>
      </w:r>
    </w:p>
    <w:p w14:paraId="1C297E06" w14:textId="0FF385EF" w:rsidR="00097FA2" w:rsidRDefault="00097FA2" w:rsidP="00097FA2">
      <w:pPr>
        <w:pStyle w:val="ListBullet2"/>
      </w:pPr>
      <w:r>
        <w:t>Director, Russell Anderson (People, Safety and Renumeration Committee</w:t>
      </w:r>
      <w:r w:rsidR="00740B9B">
        <w:t>,</w:t>
      </w:r>
      <w:r>
        <w:t xml:space="preserve"> Customer and Service Delivery Committee)</w:t>
      </w:r>
    </w:p>
    <w:p w14:paraId="7ED46F29" w14:textId="4659C92B" w:rsidR="00097FA2" w:rsidRDefault="00097FA2" w:rsidP="00097FA2">
      <w:pPr>
        <w:pStyle w:val="ListBullet2"/>
      </w:pPr>
      <w:r>
        <w:t>Director, Kathleen Bailey-Lord (People, Safety and Renumeration Committee)</w:t>
      </w:r>
    </w:p>
    <w:p w14:paraId="36B986EF" w14:textId="4A8E3765" w:rsidR="00097FA2" w:rsidRDefault="00097FA2" w:rsidP="00097FA2">
      <w:pPr>
        <w:pStyle w:val="ListBullet2"/>
      </w:pPr>
      <w:r>
        <w:t>Managing Director, Michael Wandmaker</w:t>
      </w:r>
    </w:p>
    <w:p w14:paraId="067A4F3A" w14:textId="2B264308" w:rsidR="00097FA2" w:rsidRDefault="00097FA2" w:rsidP="00097FA2">
      <w:pPr>
        <w:pStyle w:val="ListBullet2"/>
      </w:pPr>
      <w:r>
        <w:t>Director, Hugh Gleeson (Audit, Risk and Finance Committee, People, Safety and Renumeration Committee)</w:t>
      </w:r>
    </w:p>
    <w:p w14:paraId="1D3E13BA" w14:textId="1F0C9069" w:rsidR="00097FA2" w:rsidRDefault="00097FA2" w:rsidP="00097FA2">
      <w:pPr>
        <w:pStyle w:val="ListBullet2"/>
      </w:pPr>
      <w:r>
        <w:t>Director, Robyn McLeod (People, Safety and Renumeration Committee, Customer and Service Delivery Committee)</w:t>
      </w:r>
    </w:p>
    <w:p w14:paraId="71878E20" w14:textId="14B83415" w:rsidR="00097FA2" w:rsidRPr="00740B9B" w:rsidRDefault="00097FA2" w:rsidP="00740B9B">
      <w:pPr>
        <w:pStyle w:val="ListBullet2"/>
      </w:pPr>
      <w:r w:rsidRPr="00740B9B">
        <w:lastRenderedPageBreak/>
        <w:t>Director Fiona Rowland (Audit, Risk and Finance Committee, Customer and Service Delivery Committee)</w:t>
      </w:r>
    </w:p>
    <w:p w14:paraId="78644D5E" w14:textId="5AF9105D" w:rsidR="00097FA2" w:rsidRDefault="00097FA2" w:rsidP="00740B9B">
      <w:pPr>
        <w:pStyle w:val="ListBullet2"/>
      </w:pPr>
      <w:r>
        <w:t>Director, Garry Smith (Customer and Service Delivery Committee)</w:t>
      </w:r>
    </w:p>
    <w:p w14:paraId="3AF91725" w14:textId="0D7987EA" w:rsidR="00097FA2" w:rsidRDefault="00097FA2" w:rsidP="00740B9B">
      <w:pPr>
        <w:pStyle w:val="ListBullet"/>
      </w:pPr>
      <w:r>
        <w:t>Level Two:</w:t>
      </w:r>
    </w:p>
    <w:p w14:paraId="00F9B3FF" w14:textId="393BA705" w:rsidR="00097FA2" w:rsidRDefault="00097FA2" w:rsidP="00740B9B">
      <w:pPr>
        <w:pStyle w:val="ListBullet2"/>
      </w:pPr>
      <w:r>
        <w:t>Chief Financial Officer, Anthony O’Shannessy</w:t>
      </w:r>
    </w:p>
    <w:p w14:paraId="067AF10B" w14:textId="058942BE" w:rsidR="00097FA2" w:rsidRDefault="00097FA2" w:rsidP="00740B9B">
      <w:pPr>
        <w:pStyle w:val="ListBullet2"/>
      </w:pPr>
      <w:r>
        <w:t>Executive General Manager Service Delivery, Nerina Dei Lorenzo</w:t>
      </w:r>
    </w:p>
    <w:p w14:paraId="357DD757" w14:textId="03E1F9BE" w:rsidR="00097FA2" w:rsidRDefault="00097FA2" w:rsidP="00740B9B">
      <w:pPr>
        <w:pStyle w:val="ListBullet2"/>
      </w:pPr>
      <w:r>
        <w:t>General Counsel and Company Secretary, Emma Braun</w:t>
      </w:r>
    </w:p>
    <w:p w14:paraId="37BAE740" w14:textId="3DF57C23" w:rsidR="00097FA2" w:rsidRDefault="00097FA2" w:rsidP="00740B9B">
      <w:pPr>
        <w:pStyle w:val="ListBullet2"/>
      </w:pPr>
      <w:r>
        <w:t>General Manager Integrated Planning, Chris Williams</w:t>
      </w:r>
    </w:p>
    <w:p w14:paraId="18465726" w14:textId="074CE4BA" w:rsidR="00097FA2" w:rsidRDefault="00097FA2" w:rsidP="00740B9B">
      <w:pPr>
        <w:pStyle w:val="ListBullet2"/>
      </w:pPr>
      <w:r>
        <w:t>General Manager Customer and Strategy, Gavan O’Neill</w:t>
      </w:r>
    </w:p>
    <w:p w14:paraId="5D89F890" w14:textId="19BB8FC2" w:rsidR="00097FA2" w:rsidRDefault="00097FA2" w:rsidP="00740B9B">
      <w:pPr>
        <w:pStyle w:val="ListBullet2"/>
      </w:pPr>
      <w:r>
        <w:t>General Manager People and Capability, Paula Jeffs</w:t>
      </w:r>
    </w:p>
    <w:p w14:paraId="11118927" w14:textId="167D16B1" w:rsidR="00097FA2" w:rsidRDefault="00097FA2" w:rsidP="00740B9B">
      <w:pPr>
        <w:pStyle w:val="ListBullet2"/>
      </w:pPr>
      <w:r>
        <w:t>General Manager Safety,</w:t>
      </w:r>
      <w:r w:rsidR="00740B9B">
        <w:t xml:space="preserve"> Health, Environment and Quality,</w:t>
      </w:r>
      <w:r>
        <w:t xml:space="preserve"> David Tregoweth</w:t>
      </w:r>
    </w:p>
    <w:p w14:paraId="68C752AA" w14:textId="3B0D93FB" w:rsidR="00097FA2" w:rsidRDefault="00097FA2" w:rsidP="00740B9B">
      <w:pPr>
        <w:pStyle w:val="ListBullet2"/>
      </w:pPr>
      <w:r>
        <w:t>General Manager Major Program Delivery, Eamonn Kelly</w:t>
      </w:r>
    </w:p>
    <w:p w14:paraId="41BB381F" w14:textId="08314308" w:rsidR="00097FA2" w:rsidRDefault="00097FA2" w:rsidP="00740B9B">
      <w:pPr>
        <w:pStyle w:val="ListBullet2"/>
      </w:pPr>
      <w:r>
        <w:t>Chief Technology Officer, Geoff Purcell</w:t>
      </w:r>
    </w:p>
    <w:p w14:paraId="4664DA79" w14:textId="57DC365A" w:rsidR="00097FA2" w:rsidRDefault="00097FA2" w:rsidP="00740B9B">
      <w:pPr>
        <w:pStyle w:val="ListBullet2"/>
      </w:pPr>
      <w:r>
        <w:t>General Manager Waterways and Land, Kirsten Shelley</w:t>
      </w:r>
    </w:p>
    <w:p w14:paraId="361E016C" w14:textId="2C503F66" w:rsidR="00740B9B" w:rsidRDefault="00740B9B" w:rsidP="00740B9B">
      <w:pPr>
        <w:pStyle w:val="ListBullet2"/>
      </w:pPr>
      <w:r>
        <w:t>General Manager Infrastructure Operations, Craig Dixon</w:t>
      </w:r>
    </w:p>
    <w:p w14:paraId="6E963F5D" w14:textId="76FBEA14" w:rsidR="00097FA2" w:rsidRDefault="00097FA2" w:rsidP="00740B9B">
      <w:pPr>
        <w:pStyle w:val="ListBullet2"/>
      </w:pPr>
      <w:r>
        <w:t>General Manager Asset Management Services, Tim Wood</w:t>
      </w:r>
    </w:p>
    <w:p w14:paraId="3F1F51E3" w14:textId="77777777" w:rsidR="001E12AC" w:rsidRDefault="001E12AC" w:rsidP="001E12AC">
      <w:pPr>
        <w:pStyle w:val="Heading2"/>
      </w:pPr>
      <w:bookmarkStart w:id="592" w:name="_Toc89723070"/>
      <w:bookmarkStart w:id="593" w:name="_Toc89723227"/>
      <w:bookmarkStart w:id="594" w:name="_Toc89723287"/>
      <w:bookmarkStart w:id="595" w:name="_Ref89797238"/>
      <w:bookmarkStart w:id="596" w:name="_Ref89810489"/>
      <w:bookmarkStart w:id="597" w:name="_Toc89860551"/>
      <w:bookmarkStart w:id="598" w:name="_Toc89860695"/>
      <w:bookmarkStart w:id="599" w:name="_Toc90326013"/>
      <w:bookmarkStart w:id="600" w:name="CorporateGovernance"/>
      <w:bookmarkStart w:id="601" w:name="_Toc93659419"/>
      <w:r>
        <w:t>Corporate Governance</w:t>
      </w:r>
      <w:bookmarkEnd w:id="592"/>
      <w:bookmarkEnd w:id="593"/>
      <w:bookmarkEnd w:id="594"/>
      <w:bookmarkEnd w:id="595"/>
      <w:bookmarkEnd w:id="596"/>
      <w:bookmarkEnd w:id="597"/>
      <w:bookmarkEnd w:id="598"/>
      <w:bookmarkEnd w:id="599"/>
      <w:bookmarkEnd w:id="601"/>
    </w:p>
    <w:bookmarkEnd w:id="600"/>
    <w:p w14:paraId="4E0B6612" w14:textId="0A610A7F" w:rsidR="001E12AC" w:rsidRDefault="001E12AC" w:rsidP="001E12AC">
      <w:pPr>
        <w:pStyle w:val="PullBox"/>
      </w:pPr>
      <w:r>
        <w:t>Melbourne Water is committed to ensuring that its corporate governance framework, policies and practices are of a high standard. Delivering on this commitment requires Melbourne Water to have a sound understanding of current governance requirements and practices, as well as being attuned to emerging governance trends and shifting stakeholder expectations.</w:t>
      </w:r>
    </w:p>
    <w:p w14:paraId="5295B57C" w14:textId="6A505D9F" w:rsidR="001E12AC" w:rsidRDefault="001E12AC" w:rsidP="001E12AC">
      <w:pPr>
        <w:pStyle w:val="GreyBox"/>
      </w:pPr>
      <w:r w:rsidRPr="00296848">
        <w:t xml:space="preserve">Aligns with goals </w:t>
      </w:r>
      <w:r>
        <w:t>4, 6, 11, 12 and 13</w:t>
      </w:r>
    </w:p>
    <w:p w14:paraId="2EBCD5E2" w14:textId="77777777" w:rsidR="001E12AC" w:rsidRDefault="001E12AC" w:rsidP="008C0D31">
      <w:pPr>
        <w:pStyle w:val="Heading3"/>
      </w:pPr>
      <w:bookmarkStart w:id="602" w:name="_Toc89723071"/>
      <w:bookmarkStart w:id="603" w:name="_Toc90326014"/>
      <w:bookmarkStart w:id="604" w:name="_Toc93659420"/>
      <w:r>
        <w:t>Ethics and values</w:t>
      </w:r>
      <w:bookmarkEnd w:id="602"/>
      <w:bookmarkEnd w:id="603"/>
      <w:bookmarkEnd w:id="604"/>
    </w:p>
    <w:p w14:paraId="1C60301B" w14:textId="73630400" w:rsidR="001E12AC" w:rsidRDefault="001E12AC" w:rsidP="001E12AC">
      <w:pPr>
        <w:pStyle w:val="BodyText"/>
        <w:rPr>
          <w:lang w:eastAsia="en-US"/>
        </w:rPr>
      </w:pPr>
      <w:r>
        <w:rPr>
          <w:lang w:eastAsia="en-US"/>
        </w:rPr>
        <w:t>Melbourne Water’s directors and employees are committed to operating ethically and in the best interests of customers,</w:t>
      </w:r>
      <w:r w:rsidR="008C0D31">
        <w:rPr>
          <w:lang w:eastAsia="en-US"/>
        </w:rPr>
        <w:t xml:space="preserve"> </w:t>
      </w:r>
      <w:r>
        <w:rPr>
          <w:lang w:eastAsia="en-US"/>
        </w:rPr>
        <w:t>the Victorian Government, employees, suppliers and other</w:t>
      </w:r>
      <w:r w:rsidR="008C0D31">
        <w:rPr>
          <w:lang w:eastAsia="en-US"/>
        </w:rPr>
        <w:t xml:space="preserve"> </w:t>
      </w:r>
      <w:r>
        <w:rPr>
          <w:lang w:eastAsia="en-US"/>
        </w:rPr>
        <w:t xml:space="preserve">stakeholders. The organisation has adopted the </w:t>
      </w:r>
      <w:r w:rsidRPr="008C0D31">
        <w:rPr>
          <w:rStyle w:val="ItalicText"/>
        </w:rPr>
        <w:t>Melbourne</w:t>
      </w:r>
      <w:r w:rsidR="008C0D31" w:rsidRPr="008C0D31">
        <w:rPr>
          <w:rStyle w:val="ItalicText"/>
        </w:rPr>
        <w:t xml:space="preserve"> </w:t>
      </w:r>
      <w:r w:rsidRPr="008C0D31">
        <w:rPr>
          <w:rStyle w:val="ItalicText"/>
        </w:rPr>
        <w:t>Water Code of Conduct</w:t>
      </w:r>
      <w:r>
        <w:rPr>
          <w:lang w:eastAsia="en-US"/>
        </w:rPr>
        <w:t>.</w:t>
      </w:r>
    </w:p>
    <w:p w14:paraId="75C5DA68" w14:textId="77777777" w:rsidR="008C0D31" w:rsidRDefault="001E12AC" w:rsidP="001E12AC">
      <w:pPr>
        <w:pStyle w:val="BodyText"/>
        <w:rPr>
          <w:lang w:eastAsia="en-US"/>
        </w:rPr>
      </w:pPr>
      <w:r>
        <w:rPr>
          <w:lang w:eastAsia="en-US"/>
        </w:rPr>
        <w:t>All directors, managers and employees are expected to perform</w:t>
      </w:r>
      <w:r w:rsidR="008C0D31">
        <w:rPr>
          <w:lang w:eastAsia="en-US"/>
        </w:rPr>
        <w:t xml:space="preserve"> </w:t>
      </w:r>
      <w:r>
        <w:rPr>
          <w:lang w:eastAsia="en-US"/>
        </w:rPr>
        <w:t>their duties with integrity and honesty. This expectation</w:t>
      </w:r>
      <w:r w:rsidR="008C0D31">
        <w:rPr>
          <w:lang w:eastAsia="en-US"/>
        </w:rPr>
        <w:t xml:space="preserve"> </w:t>
      </w:r>
      <w:r>
        <w:rPr>
          <w:lang w:eastAsia="en-US"/>
        </w:rPr>
        <w:t>extends to dealing with our people, customers, suppliers and</w:t>
      </w:r>
      <w:r w:rsidR="008C0D31">
        <w:rPr>
          <w:lang w:eastAsia="en-US"/>
        </w:rPr>
        <w:t xml:space="preserve"> </w:t>
      </w:r>
      <w:r>
        <w:rPr>
          <w:lang w:eastAsia="en-US"/>
        </w:rPr>
        <w:t>the community. Melbourne Water employees and managers</w:t>
      </w:r>
      <w:r w:rsidR="008C0D31">
        <w:rPr>
          <w:lang w:eastAsia="en-US"/>
        </w:rPr>
        <w:t xml:space="preserve"> </w:t>
      </w:r>
      <w:r>
        <w:rPr>
          <w:lang w:eastAsia="en-US"/>
        </w:rPr>
        <w:t xml:space="preserve">must comply with the </w:t>
      </w:r>
      <w:r w:rsidRPr="008C0D31">
        <w:rPr>
          <w:rStyle w:val="ItalicText"/>
        </w:rPr>
        <w:t>Melbourne Water Code of Conduct</w:t>
      </w:r>
      <w:r>
        <w:rPr>
          <w:lang w:eastAsia="en-US"/>
        </w:rPr>
        <w:t>.</w:t>
      </w:r>
    </w:p>
    <w:p w14:paraId="30CF0E8B" w14:textId="18A535E0" w:rsidR="001E12AC" w:rsidRDefault="001E12AC" w:rsidP="001E12AC">
      <w:pPr>
        <w:pStyle w:val="BodyText"/>
        <w:rPr>
          <w:lang w:eastAsia="en-US"/>
        </w:rPr>
      </w:pPr>
      <w:r>
        <w:rPr>
          <w:lang w:eastAsia="en-US"/>
        </w:rPr>
        <w:t>Policies and procedures exist for directors and employees</w:t>
      </w:r>
      <w:r w:rsidR="008C0D31">
        <w:rPr>
          <w:lang w:eastAsia="en-US"/>
        </w:rPr>
        <w:t xml:space="preserve"> </w:t>
      </w:r>
      <w:r>
        <w:rPr>
          <w:lang w:eastAsia="en-US"/>
        </w:rPr>
        <w:t>regarding the identification of actual and potential conflicts of</w:t>
      </w:r>
      <w:r w:rsidR="008C0D31">
        <w:rPr>
          <w:lang w:eastAsia="en-US"/>
        </w:rPr>
        <w:t xml:space="preserve"> </w:t>
      </w:r>
      <w:r>
        <w:rPr>
          <w:lang w:eastAsia="en-US"/>
        </w:rPr>
        <w:t>interest. These documents are regularly updated. The Company Secretary maintains a Register of Directors’ Interests and a</w:t>
      </w:r>
      <w:r w:rsidR="008C0D31">
        <w:rPr>
          <w:lang w:eastAsia="en-US"/>
        </w:rPr>
        <w:t xml:space="preserve"> </w:t>
      </w:r>
      <w:r>
        <w:rPr>
          <w:lang w:eastAsia="en-US"/>
        </w:rPr>
        <w:t>register of gifts and invitations accepted by directors</w:t>
      </w:r>
      <w:r w:rsidR="008C0D31">
        <w:rPr>
          <w:lang w:eastAsia="en-US"/>
        </w:rPr>
        <w:t xml:space="preserve"> </w:t>
      </w:r>
      <w:r>
        <w:rPr>
          <w:lang w:eastAsia="en-US"/>
        </w:rPr>
        <w:t>and employees.</w:t>
      </w:r>
    </w:p>
    <w:p w14:paraId="3F0997E7" w14:textId="274CD924" w:rsidR="001E12AC" w:rsidRDefault="001E12AC" w:rsidP="001E12AC">
      <w:pPr>
        <w:pStyle w:val="BodyText"/>
        <w:rPr>
          <w:lang w:eastAsia="en-US"/>
        </w:rPr>
      </w:pPr>
      <w:r>
        <w:rPr>
          <w:lang w:eastAsia="en-US"/>
        </w:rPr>
        <w:t>As part of maintaining a safe and healthy working</w:t>
      </w:r>
      <w:r w:rsidR="008C0D31">
        <w:rPr>
          <w:lang w:eastAsia="en-US"/>
        </w:rPr>
        <w:t xml:space="preserve"> </w:t>
      </w:r>
      <w:r>
        <w:rPr>
          <w:lang w:eastAsia="en-US"/>
        </w:rPr>
        <w:t>environment, the Board has approved behavioural and</w:t>
      </w:r>
      <w:r w:rsidR="008C0D31">
        <w:rPr>
          <w:lang w:eastAsia="en-US"/>
        </w:rPr>
        <w:t xml:space="preserve"> </w:t>
      </w:r>
      <w:r>
        <w:rPr>
          <w:lang w:eastAsia="en-US"/>
        </w:rPr>
        <w:t>workplace policies for specific purposes, such as health and</w:t>
      </w:r>
      <w:r w:rsidR="008C0D31">
        <w:rPr>
          <w:lang w:eastAsia="en-US"/>
        </w:rPr>
        <w:t xml:space="preserve"> </w:t>
      </w:r>
      <w:r>
        <w:rPr>
          <w:lang w:eastAsia="en-US"/>
        </w:rPr>
        <w:t>safety, and equal opportunity. These policies are widely</w:t>
      </w:r>
      <w:r w:rsidR="008C0D31">
        <w:rPr>
          <w:lang w:eastAsia="en-US"/>
        </w:rPr>
        <w:t xml:space="preserve"> </w:t>
      </w:r>
      <w:r>
        <w:rPr>
          <w:lang w:eastAsia="en-US"/>
        </w:rPr>
        <w:t>publicised and made available to our employees.</w:t>
      </w:r>
    </w:p>
    <w:p w14:paraId="7F7CD952" w14:textId="77777777" w:rsidR="008C0D31" w:rsidRDefault="008C0D31" w:rsidP="008C0D31">
      <w:pPr>
        <w:pStyle w:val="Heading3"/>
      </w:pPr>
      <w:bookmarkStart w:id="605" w:name="_Toc89723072"/>
      <w:bookmarkStart w:id="606" w:name="_Toc90326015"/>
      <w:bookmarkStart w:id="607" w:name="_Toc93659421"/>
      <w:r>
        <w:t>Powers and accountability</w:t>
      </w:r>
      <w:bookmarkEnd w:id="605"/>
      <w:bookmarkEnd w:id="606"/>
      <w:bookmarkEnd w:id="607"/>
    </w:p>
    <w:p w14:paraId="73AA1506" w14:textId="7B100A56" w:rsidR="008C0D31" w:rsidRDefault="008C0D31" w:rsidP="008C0D31">
      <w:pPr>
        <w:pStyle w:val="BodyText"/>
        <w:rPr>
          <w:lang w:eastAsia="en-US"/>
        </w:rPr>
      </w:pPr>
      <w:r>
        <w:rPr>
          <w:lang w:eastAsia="en-US"/>
        </w:rPr>
        <w:t xml:space="preserve">Melbourne Water operates under the </w:t>
      </w:r>
      <w:r w:rsidRPr="008C0D31">
        <w:rPr>
          <w:rStyle w:val="ItalicText"/>
          <w:lang w:eastAsia="en-US"/>
        </w:rPr>
        <w:t>Water Act 1989</w:t>
      </w:r>
      <w:r>
        <w:rPr>
          <w:lang w:eastAsia="en-US"/>
        </w:rPr>
        <w:t xml:space="preserve"> (the Act).</w:t>
      </w:r>
    </w:p>
    <w:p w14:paraId="0A3B24AA" w14:textId="4851A908" w:rsidR="008C0D31" w:rsidRDefault="008C0D31" w:rsidP="008C0D31">
      <w:pPr>
        <w:pStyle w:val="BodyText"/>
        <w:rPr>
          <w:lang w:eastAsia="en-US"/>
        </w:rPr>
      </w:pPr>
      <w:r>
        <w:rPr>
          <w:lang w:eastAsia="en-US"/>
        </w:rPr>
        <w:t xml:space="preserve">Melbourne Water has one by-law: </w:t>
      </w:r>
      <w:r w:rsidRPr="008C0D31">
        <w:rPr>
          <w:rStyle w:val="ItalicText"/>
          <w:lang w:eastAsia="en-US"/>
        </w:rPr>
        <w:t>Extension By-Law No. 1:</w:t>
      </w:r>
      <w:r w:rsidRPr="008C0D31">
        <w:rPr>
          <w:rStyle w:val="ItalicText"/>
        </w:rPr>
        <w:t xml:space="preserve"> </w:t>
      </w:r>
      <w:r w:rsidRPr="008C0D31">
        <w:rPr>
          <w:rStyle w:val="ItalicText"/>
          <w:lang w:eastAsia="en-US"/>
        </w:rPr>
        <w:t>Water Supply Protection (2018).</w:t>
      </w:r>
    </w:p>
    <w:p w14:paraId="5839F7B0" w14:textId="46407204" w:rsidR="008C0D31" w:rsidRDefault="008C0D31" w:rsidP="008C0D31">
      <w:pPr>
        <w:pStyle w:val="BodyText"/>
        <w:rPr>
          <w:lang w:eastAsia="en-US"/>
        </w:rPr>
      </w:pPr>
      <w:r>
        <w:rPr>
          <w:lang w:eastAsia="en-US"/>
        </w:rPr>
        <w:lastRenderedPageBreak/>
        <w:t>The Minister for Water has delegated powers of management under the Act relating to licensed private water diversions from waterways to Melbourne Water, effective as of 1 July 1999. The Act and by-laws are available at</w:t>
      </w:r>
      <w:r w:rsidR="00D363B3">
        <w:rPr>
          <w:lang w:eastAsia="en-US"/>
        </w:rPr>
        <w:t xml:space="preserve"> the </w:t>
      </w:r>
      <w:hyperlink r:id="rId30" w:history="1">
        <w:r w:rsidR="00D363B3" w:rsidRPr="00D363B3">
          <w:rPr>
            <w:rStyle w:val="Hyperlink"/>
            <w:lang w:eastAsia="en-US"/>
          </w:rPr>
          <w:t>Victorian Legislation website</w:t>
        </w:r>
      </w:hyperlink>
      <w:r w:rsidR="00D363B3" w:rsidRPr="00D363B3">
        <w:rPr>
          <w:rStyle w:val="FootnoteReference"/>
          <w:lang w:eastAsia="en-US"/>
        </w:rPr>
        <w:footnoteReference w:id="6"/>
      </w:r>
      <w:r w:rsidR="00D363B3">
        <w:rPr>
          <w:lang w:eastAsia="en-US"/>
        </w:rPr>
        <w:t>.</w:t>
      </w:r>
    </w:p>
    <w:p w14:paraId="64552741" w14:textId="793F4817" w:rsidR="008C0D31" w:rsidRDefault="008C0D31" w:rsidP="008C0D31">
      <w:pPr>
        <w:pStyle w:val="BodyText"/>
        <w:rPr>
          <w:lang w:eastAsia="en-US"/>
        </w:rPr>
      </w:pPr>
      <w:r>
        <w:rPr>
          <w:lang w:eastAsia="en-US"/>
        </w:rPr>
        <w:t xml:space="preserve">The Hon Lisa Neville, MP, Minister for Water, was the Minister responsible for Melbourne Water from 1 July 2020 to 30 June 2021. The Hon Richard Wynne acted as the Minister for Water from 15 February 2021 to 30 June 2021. Melbourne Water works with officers of </w:t>
      </w:r>
      <w:r w:rsidR="0030196D">
        <w:rPr>
          <w:lang w:eastAsia="en-US"/>
        </w:rPr>
        <w:t>Department of Environment, Land, Water and Planning</w:t>
      </w:r>
      <w:r>
        <w:rPr>
          <w:lang w:eastAsia="en-US"/>
        </w:rPr>
        <w:t xml:space="preserve"> and the Department of Treasury and Finance (DTF). Statutory and other reports are provided, covering Melbourne Water’s performance against the objectives and performance indicators stated in the </w:t>
      </w:r>
      <w:r w:rsidRPr="008C0D31">
        <w:rPr>
          <w:rStyle w:val="ItalicText"/>
          <w:lang w:eastAsia="en-US"/>
        </w:rPr>
        <w:t>Corporate</w:t>
      </w:r>
      <w:r w:rsidRPr="008C0D31">
        <w:rPr>
          <w:rStyle w:val="ItalicText"/>
        </w:rPr>
        <w:t xml:space="preserve"> </w:t>
      </w:r>
      <w:r w:rsidRPr="008C0D31">
        <w:rPr>
          <w:rStyle w:val="ItalicText"/>
          <w:lang w:eastAsia="en-US"/>
        </w:rPr>
        <w:t>Plan</w:t>
      </w:r>
      <w:r>
        <w:rPr>
          <w:lang w:eastAsia="en-US"/>
        </w:rPr>
        <w:t>.</w:t>
      </w:r>
    </w:p>
    <w:p w14:paraId="4A32F80B" w14:textId="0778BE78" w:rsidR="008C0D31" w:rsidRDefault="008C0D31" w:rsidP="008C0D31">
      <w:pPr>
        <w:pStyle w:val="BodyText"/>
        <w:rPr>
          <w:lang w:eastAsia="en-US"/>
        </w:rPr>
      </w:pPr>
      <w:r>
        <w:rPr>
          <w:lang w:eastAsia="en-US"/>
        </w:rPr>
        <w:t>There have been no recorded incidents of non-compliance with laws or regulations resulting in sanctions or fines.</w:t>
      </w:r>
    </w:p>
    <w:p w14:paraId="1AD00616" w14:textId="77777777" w:rsidR="008C0D31" w:rsidRDefault="008C0D31" w:rsidP="008C0D31">
      <w:pPr>
        <w:pStyle w:val="Heading3"/>
      </w:pPr>
      <w:bookmarkStart w:id="608" w:name="_Toc89723073"/>
      <w:bookmarkStart w:id="609" w:name="_Toc90326016"/>
      <w:bookmarkStart w:id="610" w:name="PrimaryResponsibilities"/>
      <w:bookmarkStart w:id="611" w:name="_Toc93659422"/>
      <w:r>
        <w:t>Primary responsibilities</w:t>
      </w:r>
      <w:bookmarkEnd w:id="608"/>
      <w:bookmarkEnd w:id="609"/>
      <w:bookmarkEnd w:id="611"/>
    </w:p>
    <w:bookmarkEnd w:id="610"/>
    <w:p w14:paraId="0E9944D9" w14:textId="2D5AEF13" w:rsidR="008C0D31" w:rsidRDefault="008C0D31" w:rsidP="008C0D31">
      <w:pPr>
        <w:pStyle w:val="BodyText"/>
        <w:rPr>
          <w:lang w:eastAsia="en-US"/>
        </w:rPr>
      </w:pPr>
      <w:r>
        <w:rPr>
          <w:lang w:eastAsia="en-US"/>
        </w:rPr>
        <w:t xml:space="preserve">Melbourne Water’s Board has adopted a charter that defines its role and responsibilities within the legislative framework provided by the </w:t>
      </w:r>
      <w:r w:rsidRPr="008C0D31">
        <w:rPr>
          <w:rStyle w:val="ItalicText"/>
          <w:lang w:eastAsia="en-US"/>
        </w:rPr>
        <w:t>Water Act 1989</w:t>
      </w:r>
      <w:r>
        <w:rPr>
          <w:lang w:eastAsia="en-US"/>
        </w:rPr>
        <w:t xml:space="preserve"> and other applicable legislation including the </w:t>
      </w:r>
      <w:r w:rsidRPr="008C0D31">
        <w:rPr>
          <w:rStyle w:val="ItalicText"/>
          <w:lang w:eastAsia="en-US"/>
        </w:rPr>
        <w:t>Public Administration Act 2004</w:t>
      </w:r>
      <w:r>
        <w:rPr>
          <w:lang w:eastAsia="en-US"/>
        </w:rPr>
        <w:t>. The Board makes plans to achieve specific objectives, including:</w:t>
      </w:r>
    </w:p>
    <w:p w14:paraId="0A29C6D5" w14:textId="0A72D9CF" w:rsidR="008C0D31" w:rsidRDefault="008C0D31" w:rsidP="00C778D6">
      <w:pPr>
        <w:pStyle w:val="ListBullet"/>
        <w:rPr>
          <w:lang w:eastAsia="en-US"/>
        </w:rPr>
      </w:pPr>
      <w:r>
        <w:rPr>
          <w:lang w:eastAsia="en-US"/>
        </w:rPr>
        <w:t>long-term, sustainable, outcomes – based on a triple bottom line approach</w:t>
      </w:r>
    </w:p>
    <w:p w14:paraId="25FC9D4B" w14:textId="60627B15" w:rsidR="008C0D31" w:rsidRDefault="008C0D31" w:rsidP="00C778D6">
      <w:pPr>
        <w:pStyle w:val="ListBullet"/>
        <w:rPr>
          <w:lang w:eastAsia="en-US"/>
        </w:rPr>
      </w:pPr>
      <w:r>
        <w:rPr>
          <w:lang w:eastAsia="en-US"/>
        </w:rPr>
        <w:t>approval of corporate plans together with key performance indicators linked to objectives</w:t>
      </w:r>
    </w:p>
    <w:p w14:paraId="78E8A6C9" w14:textId="282A4927" w:rsidR="008C0D31" w:rsidRDefault="008C0D31" w:rsidP="00C778D6">
      <w:pPr>
        <w:pStyle w:val="ListBullet"/>
        <w:rPr>
          <w:lang w:eastAsia="en-US"/>
        </w:rPr>
      </w:pPr>
      <w:r>
        <w:rPr>
          <w:lang w:eastAsia="en-US"/>
        </w:rPr>
        <w:t>approval of annual financial statements and monitoring of performance against objectives and risks</w:t>
      </w:r>
    </w:p>
    <w:p w14:paraId="6C6C6B9F" w14:textId="63534581" w:rsidR="008C0D31" w:rsidRDefault="008C0D31" w:rsidP="00C778D6">
      <w:pPr>
        <w:pStyle w:val="ListBullet"/>
        <w:rPr>
          <w:lang w:eastAsia="en-US"/>
        </w:rPr>
      </w:pPr>
      <w:r>
        <w:rPr>
          <w:lang w:eastAsia="en-US"/>
        </w:rPr>
        <w:t>monitoring safety, health and environmental standards and management systems.</w:t>
      </w:r>
    </w:p>
    <w:p w14:paraId="700C1F29" w14:textId="7F267220" w:rsidR="008C0D31" w:rsidRDefault="008C0D31" w:rsidP="008C0D31">
      <w:pPr>
        <w:pStyle w:val="BodyText"/>
        <w:rPr>
          <w:lang w:eastAsia="en-US"/>
        </w:rPr>
      </w:pPr>
      <w:r>
        <w:rPr>
          <w:lang w:eastAsia="en-US"/>
        </w:rPr>
        <w:t xml:space="preserve">The Board has ratified a </w:t>
      </w:r>
      <w:r w:rsidRPr="008C0D31">
        <w:rPr>
          <w:rStyle w:val="ItalicText"/>
        </w:rPr>
        <w:t>Corporate Governance Statement</w:t>
      </w:r>
      <w:r>
        <w:rPr>
          <w:lang w:eastAsia="en-US"/>
        </w:rPr>
        <w:t>. Key features of its activities include:</w:t>
      </w:r>
    </w:p>
    <w:p w14:paraId="3DF04A7C" w14:textId="7F2E7A39" w:rsidR="008C0D31" w:rsidRDefault="008C0D31" w:rsidP="00C778D6">
      <w:pPr>
        <w:pStyle w:val="ListBullet"/>
        <w:rPr>
          <w:lang w:eastAsia="en-US"/>
        </w:rPr>
      </w:pPr>
      <w:r>
        <w:rPr>
          <w:lang w:eastAsia="en-US"/>
        </w:rPr>
        <w:t>ensuring the Board meets frequently enough to fulfil its duties and obligations, holding 11 Board meetings during 2020-21, and undertaking site visits and strategy workshops with Melbourne Water’s Leadership Team. Special Board and committee meetings are convened as required to meet the needs of the business</w:t>
      </w:r>
    </w:p>
    <w:p w14:paraId="5D51109C" w14:textId="151E79B4" w:rsidR="008C0D31" w:rsidRDefault="008C0D31" w:rsidP="00C778D6">
      <w:pPr>
        <w:pStyle w:val="ListBullet"/>
        <w:rPr>
          <w:lang w:eastAsia="en-US"/>
        </w:rPr>
      </w:pPr>
      <w:r>
        <w:rPr>
          <w:lang w:eastAsia="en-US"/>
        </w:rPr>
        <w:t>a structured induction program for new Board and committee members</w:t>
      </w:r>
    </w:p>
    <w:p w14:paraId="6951C79C" w14:textId="27AF3D0A" w:rsidR="008C0D31" w:rsidRDefault="008C0D31" w:rsidP="00C778D6">
      <w:pPr>
        <w:pStyle w:val="ListBullet"/>
        <w:rPr>
          <w:lang w:eastAsia="en-US"/>
        </w:rPr>
      </w:pPr>
      <w:r>
        <w:rPr>
          <w:lang w:eastAsia="en-US"/>
        </w:rPr>
        <w:t>development opportunities for Board members on an ongoing basis</w:t>
      </w:r>
    </w:p>
    <w:p w14:paraId="626A5FBC" w14:textId="57406072" w:rsidR="008C0D31" w:rsidRDefault="008C0D31" w:rsidP="00C778D6">
      <w:pPr>
        <w:pStyle w:val="ListBullet"/>
        <w:rPr>
          <w:lang w:eastAsia="en-US"/>
        </w:rPr>
      </w:pPr>
      <w:r>
        <w:rPr>
          <w:lang w:eastAsia="en-US"/>
        </w:rPr>
        <w:t>conflicts of interest are declared and a director does not participate in decisions where such a conflict exists</w:t>
      </w:r>
    </w:p>
    <w:p w14:paraId="0CA53248" w14:textId="1669F3DE" w:rsidR="008C0D31" w:rsidRDefault="008C0D31" w:rsidP="00C778D6">
      <w:pPr>
        <w:pStyle w:val="ListBullet"/>
        <w:rPr>
          <w:lang w:eastAsia="en-US"/>
        </w:rPr>
      </w:pPr>
      <w:r>
        <w:rPr>
          <w:lang w:eastAsia="en-US"/>
        </w:rPr>
        <w:t>directors have the right to seek independent professional advice, at Melbourne Water’s expense, in connection with their duties and responsibilities</w:t>
      </w:r>
    </w:p>
    <w:p w14:paraId="04317F35" w14:textId="36EEC54F" w:rsidR="008C0D31" w:rsidRDefault="008C0D31" w:rsidP="00C778D6">
      <w:pPr>
        <w:pStyle w:val="ListBullet"/>
        <w:rPr>
          <w:lang w:eastAsia="en-US"/>
        </w:rPr>
      </w:pPr>
      <w:r>
        <w:rPr>
          <w:lang w:eastAsia="en-US"/>
        </w:rPr>
        <w:t>declarations of pecuniary interest by directors are made upon appointment, and thereafter annually, and confirmed at each Board meeting</w:t>
      </w:r>
    </w:p>
    <w:p w14:paraId="79E9BA50" w14:textId="5B30DF3A" w:rsidR="008C0D31" w:rsidRDefault="008C0D31" w:rsidP="00C778D6">
      <w:pPr>
        <w:pStyle w:val="ListBullet"/>
        <w:rPr>
          <w:lang w:eastAsia="en-US"/>
        </w:rPr>
      </w:pPr>
      <w:r>
        <w:rPr>
          <w:lang w:eastAsia="en-US"/>
        </w:rPr>
        <w:t>there is an annual review of Board performance.</w:t>
      </w:r>
    </w:p>
    <w:p w14:paraId="3E2FC900" w14:textId="2ADF7E9B" w:rsidR="008C0D31" w:rsidRDefault="008C0D31" w:rsidP="008C0D31">
      <w:pPr>
        <w:pStyle w:val="BodyText"/>
        <w:rPr>
          <w:lang w:eastAsia="en-US"/>
        </w:rPr>
      </w:pPr>
      <w:r>
        <w:rPr>
          <w:lang w:eastAsia="en-US"/>
        </w:rPr>
        <w:t>The Board has three committees, each comprised of four non-executive directors, who meet periodically to focus on: risk, audit, finance and sustainability; people, safety and remuneration; and customer and service delivery respectively. The Managing Director and the relevant General Manager attend committee meetings by invitation. The Board approves the charter for each committee.</w:t>
      </w:r>
    </w:p>
    <w:p w14:paraId="28B3AD08" w14:textId="77777777" w:rsidR="008C0D31" w:rsidRDefault="008C0D31" w:rsidP="008C0D31">
      <w:pPr>
        <w:pStyle w:val="Heading4"/>
      </w:pPr>
      <w:r>
        <w:lastRenderedPageBreak/>
        <w:t>Audit, Risk and Finance Committee</w:t>
      </w:r>
    </w:p>
    <w:p w14:paraId="416F4FF6" w14:textId="5D892DDD" w:rsidR="008C0D31" w:rsidRDefault="008C0D31" w:rsidP="008C0D31">
      <w:pPr>
        <w:pStyle w:val="BodyText"/>
        <w:rPr>
          <w:lang w:eastAsia="en-US"/>
        </w:rPr>
      </w:pPr>
      <w:r>
        <w:rPr>
          <w:lang w:eastAsia="en-US"/>
        </w:rPr>
        <w:t>The role of the Audit, Risk and Finance Committee (ARFC) is to assist the Board of Directors in fulfilling its responsibilities relating to:</w:t>
      </w:r>
    </w:p>
    <w:p w14:paraId="665B57FF" w14:textId="43EA9F33" w:rsidR="008C0D31" w:rsidRDefault="008C0D31" w:rsidP="008C0D31">
      <w:pPr>
        <w:pStyle w:val="ListBullet"/>
        <w:rPr>
          <w:lang w:eastAsia="en-US"/>
        </w:rPr>
      </w:pPr>
      <w:r>
        <w:rPr>
          <w:lang w:eastAsia="en-US"/>
        </w:rPr>
        <w:t>financial management framework and reporting process</w:t>
      </w:r>
    </w:p>
    <w:p w14:paraId="2DF0B1CF" w14:textId="60675DC5" w:rsidR="008C0D31" w:rsidRDefault="008C0D31" w:rsidP="00C778D6">
      <w:pPr>
        <w:pStyle w:val="ListBullet"/>
        <w:rPr>
          <w:lang w:eastAsia="en-US"/>
        </w:rPr>
      </w:pPr>
      <w:r>
        <w:rPr>
          <w:lang w:eastAsia="en-US"/>
        </w:rPr>
        <w:t xml:space="preserve">reviewing and monitoring the Enterprise Risk Profile, and emerging sources of risks and the mitigation measures in place to deal with those risks, including in relation to </w:t>
      </w:r>
      <w:r w:rsidR="00965CBF">
        <w:rPr>
          <w:lang w:eastAsia="en-US"/>
        </w:rPr>
        <w:t>Information Technology</w:t>
      </w:r>
      <w:r>
        <w:rPr>
          <w:lang w:eastAsia="en-US"/>
        </w:rPr>
        <w:t xml:space="preserve"> security and climate change</w:t>
      </w:r>
    </w:p>
    <w:p w14:paraId="05E211E4" w14:textId="2BD2F598" w:rsidR="008C0D31" w:rsidRDefault="008C0D31" w:rsidP="008C0D31">
      <w:pPr>
        <w:pStyle w:val="ListBullet"/>
        <w:rPr>
          <w:lang w:eastAsia="en-US"/>
        </w:rPr>
      </w:pPr>
      <w:r>
        <w:rPr>
          <w:lang w:eastAsia="en-US"/>
        </w:rPr>
        <w:t>corporate governance</w:t>
      </w:r>
    </w:p>
    <w:p w14:paraId="4CD51A70" w14:textId="3105A6AB" w:rsidR="008C0D31" w:rsidRDefault="008C0D31" w:rsidP="008C0D31">
      <w:pPr>
        <w:pStyle w:val="ListBullet"/>
        <w:rPr>
          <w:lang w:eastAsia="en-US"/>
        </w:rPr>
      </w:pPr>
      <w:r>
        <w:rPr>
          <w:lang w:eastAsia="en-US"/>
        </w:rPr>
        <w:t>audit (internal and external) and assurance</w:t>
      </w:r>
    </w:p>
    <w:p w14:paraId="266426E3" w14:textId="305E62B5" w:rsidR="008C0D31" w:rsidRDefault="008C0D31" w:rsidP="008C0D31">
      <w:pPr>
        <w:pStyle w:val="ListBullet"/>
        <w:rPr>
          <w:lang w:eastAsia="en-US"/>
        </w:rPr>
      </w:pPr>
      <w:r>
        <w:rPr>
          <w:lang w:eastAsia="en-US"/>
        </w:rPr>
        <w:t>information technology.</w:t>
      </w:r>
    </w:p>
    <w:p w14:paraId="109F3F10" w14:textId="735A4D75" w:rsidR="008C0D31" w:rsidRDefault="008C0D31" w:rsidP="008C0D31">
      <w:pPr>
        <w:pStyle w:val="BodyText"/>
        <w:rPr>
          <w:lang w:eastAsia="en-US"/>
        </w:rPr>
      </w:pPr>
      <w:r>
        <w:rPr>
          <w:lang w:eastAsia="en-US"/>
        </w:rPr>
        <w:t xml:space="preserve">The </w:t>
      </w:r>
      <w:r w:rsidR="00965CBF">
        <w:rPr>
          <w:lang w:eastAsia="en-US"/>
        </w:rPr>
        <w:t>Audit, Risk and Finance Committee</w:t>
      </w:r>
      <w:r>
        <w:rPr>
          <w:lang w:eastAsia="en-US"/>
        </w:rPr>
        <w:t xml:space="preserve"> comprised Merran Kelsall (Chair), John Thwaites,</w:t>
      </w:r>
      <w:r w:rsidR="005851EA">
        <w:rPr>
          <w:lang w:eastAsia="en-US"/>
        </w:rPr>
        <w:t xml:space="preserve"> </w:t>
      </w:r>
      <w:r>
        <w:rPr>
          <w:lang w:eastAsia="en-US"/>
        </w:rPr>
        <w:t>Fiona Rowland and Hugh Gleeson for the period 1 July 2020</w:t>
      </w:r>
      <w:r w:rsidR="005851EA">
        <w:rPr>
          <w:lang w:eastAsia="en-US"/>
        </w:rPr>
        <w:t xml:space="preserve"> </w:t>
      </w:r>
      <w:r>
        <w:rPr>
          <w:lang w:eastAsia="en-US"/>
        </w:rPr>
        <w:t xml:space="preserve">to 30 June 2021. A report about the activities of the </w:t>
      </w:r>
      <w:r w:rsidR="00965CBF">
        <w:rPr>
          <w:lang w:eastAsia="en-US"/>
        </w:rPr>
        <w:t>Audit, Risk and Finance Committee</w:t>
      </w:r>
      <w:r>
        <w:rPr>
          <w:lang w:eastAsia="en-US"/>
        </w:rPr>
        <w:t xml:space="preserve"> in</w:t>
      </w:r>
      <w:r w:rsidR="005851EA">
        <w:rPr>
          <w:lang w:eastAsia="en-US"/>
        </w:rPr>
        <w:t xml:space="preserve"> </w:t>
      </w:r>
      <w:r>
        <w:rPr>
          <w:lang w:eastAsia="en-US"/>
        </w:rPr>
        <w:t>fulfilling its charter is prepared annually.</w:t>
      </w:r>
    </w:p>
    <w:p w14:paraId="4842F5D8" w14:textId="77777777" w:rsidR="008C0D31" w:rsidRDefault="008C0D31" w:rsidP="005851EA">
      <w:pPr>
        <w:pStyle w:val="Heading4"/>
      </w:pPr>
      <w:r>
        <w:t>People, Safety and Remuneration Committee</w:t>
      </w:r>
    </w:p>
    <w:p w14:paraId="61F1079B" w14:textId="6FCDD674" w:rsidR="008C0D31" w:rsidRDefault="008C0D31" w:rsidP="008C0D31">
      <w:pPr>
        <w:pStyle w:val="BodyText"/>
        <w:rPr>
          <w:lang w:eastAsia="en-US"/>
        </w:rPr>
      </w:pPr>
      <w:r>
        <w:rPr>
          <w:lang w:eastAsia="en-US"/>
        </w:rPr>
        <w:t>The role of the People, Safety and Remuneration Committee (PSRC) is to assist the Board of Directors in fulfilling its responsibilities relating to:</w:t>
      </w:r>
    </w:p>
    <w:p w14:paraId="76BDB360" w14:textId="522CA256" w:rsidR="008C0D31" w:rsidRDefault="008C0D31" w:rsidP="005851EA">
      <w:pPr>
        <w:pStyle w:val="ListBullet"/>
        <w:rPr>
          <w:lang w:eastAsia="en-US"/>
        </w:rPr>
      </w:pPr>
      <w:r>
        <w:rPr>
          <w:lang w:eastAsia="en-US"/>
        </w:rPr>
        <w:t>workplace health and safety</w:t>
      </w:r>
    </w:p>
    <w:p w14:paraId="6697638E" w14:textId="1B50BB7C" w:rsidR="008C0D31" w:rsidRDefault="008C0D31" w:rsidP="005851EA">
      <w:pPr>
        <w:pStyle w:val="ListBullet"/>
        <w:rPr>
          <w:lang w:eastAsia="en-US"/>
        </w:rPr>
      </w:pPr>
      <w:r>
        <w:rPr>
          <w:lang w:eastAsia="en-US"/>
        </w:rPr>
        <w:t>workplace culture</w:t>
      </w:r>
    </w:p>
    <w:p w14:paraId="3976C3ED" w14:textId="0D233CFF" w:rsidR="008C0D31" w:rsidRDefault="008C0D31" w:rsidP="00C778D6">
      <w:pPr>
        <w:pStyle w:val="ListBullet"/>
        <w:rPr>
          <w:lang w:eastAsia="en-US"/>
        </w:rPr>
      </w:pPr>
      <w:r>
        <w:rPr>
          <w:lang w:eastAsia="en-US"/>
        </w:rPr>
        <w:t>strategic human resources (including but not limited to</w:t>
      </w:r>
      <w:r w:rsidR="005851EA">
        <w:rPr>
          <w:lang w:eastAsia="en-US"/>
        </w:rPr>
        <w:t xml:space="preserve"> </w:t>
      </w:r>
      <w:r>
        <w:rPr>
          <w:lang w:eastAsia="en-US"/>
        </w:rPr>
        <w:t>diversity and inclusion, change management, employee</w:t>
      </w:r>
      <w:r w:rsidR="005851EA">
        <w:rPr>
          <w:lang w:eastAsia="en-US"/>
        </w:rPr>
        <w:t xml:space="preserve"> </w:t>
      </w:r>
      <w:r>
        <w:rPr>
          <w:lang w:eastAsia="en-US"/>
        </w:rPr>
        <w:t>engagement)</w:t>
      </w:r>
    </w:p>
    <w:p w14:paraId="1C471CAA" w14:textId="2353876F" w:rsidR="008C0D31" w:rsidRDefault="008C0D31" w:rsidP="005851EA">
      <w:pPr>
        <w:pStyle w:val="ListBullet"/>
        <w:rPr>
          <w:lang w:eastAsia="en-US"/>
        </w:rPr>
      </w:pPr>
      <w:r>
        <w:rPr>
          <w:lang w:eastAsia="en-US"/>
        </w:rPr>
        <w:t>organisational capability</w:t>
      </w:r>
    </w:p>
    <w:p w14:paraId="39C448BD" w14:textId="77777777" w:rsidR="008C0D31" w:rsidRDefault="008C0D31" w:rsidP="005851EA">
      <w:pPr>
        <w:pStyle w:val="ListBullet"/>
        <w:rPr>
          <w:lang w:eastAsia="en-US"/>
        </w:rPr>
      </w:pPr>
      <w:r>
        <w:rPr>
          <w:lang w:eastAsia="en-US"/>
        </w:rPr>
        <w:t>remuneration.</w:t>
      </w:r>
    </w:p>
    <w:p w14:paraId="0F3562F4" w14:textId="44672FF2" w:rsidR="008C0D31" w:rsidRDefault="008C0D31" w:rsidP="008C0D31">
      <w:pPr>
        <w:pStyle w:val="BodyText"/>
        <w:rPr>
          <w:lang w:eastAsia="en-US"/>
        </w:rPr>
      </w:pPr>
      <w:r>
        <w:rPr>
          <w:lang w:eastAsia="en-US"/>
        </w:rPr>
        <w:t>For details of directors’ and executives’ remuneration, refer to</w:t>
      </w:r>
      <w:r w:rsidR="005851EA">
        <w:rPr>
          <w:lang w:eastAsia="en-US"/>
        </w:rPr>
        <w:t xml:space="preserve"> </w:t>
      </w:r>
      <w:r>
        <w:rPr>
          <w:lang w:eastAsia="en-US"/>
        </w:rPr>
        <w:t>the financial statements.</w:t>
      </w:r>
    </w:p>
    <w:p w14:paraId="35C0FBC6" w14:textId="0207A482" w:rsidR="008C0D31" w:rsidRDefault="008C0D31" w:rsidP="008C0D31">
      <w:pPr>
        <w:pStyle w:val="BodyText"/>
        <w:rPr>
          <w:lang w:eastAsia="en-US"/>
        </w:rPr>
      </w:pPr>
      <w:r>
        <w:rPr>
          <w:lang w:eastAsia="en-US"/>
        </w:rPr>
        <w:t xml:space="preserve">The </w:t>
      </w:r>
      <w:r w:rsidR="00965CBF">
        <w:rPr>
          <w:lang w:eastAsia="en-US"/>
        </w:rPr>
        <w:t xml:space="preserve">People, Safety and Remuneration Committee </w:t>
      </w:r>
      <w:r>
        <w:rPr>
          <w:lang w:eastAsia="en-US"/>
        </w:rPr>
        <w:t xml:space="preserve"> comprised Kathleen Bailey-Lord (Chair), Russell</w:t>
      </w:r>
      <w:r w:rsidR="005851EA">
        <w:rPr>
          <w:lang w:eastAsia="en-US"/>
        </w:rPr>
        <w:t xml:space="preserve"> </w:t>
      </w:r>
      <w:r>
        <w:rPr>
          <w:lang w:eastAsia="en-US"/>
        </w:rPr>
        <w:t>Anderson, Hugh Gleeson and Robyn McLeod for the period 1 July</w:t>
      </w:r>
      <w:r w:rsidR="005851EA">
        <w:rPr>
          <w:lang w:eastAsia="en-US"/>
        </w:rPr>
        <w:t xml:space="preserve"> </w:t>
      </w:r>
      <w:r>
        <w:rPr>
          <w:lang w:eastAsia="en-US"/>
        </w:rPr>
        <w:t xml:space="preserve">2020 to 30 June 2021. A report about the activities of the </w:t>
      </w:r>
      <w:r w:rsidR="00965CBF">
        <w:rPr>
          <w:lang w:eastAsia="en-US"/>
        </w:rPr>
        <w:t xml:space="preserve">People, Safety and Remuneration Committee </w:t>
      </w:r>
      <w:r>
        <w:rPr>
          <w:lang w:eastAsia="en-US"/>
        </w:rPr>
        <w:t xml:space="preserve"> in</w:t>
      </w:r>
      <w:r w:rsidR="005851EA">
        <w:rPr>
          <w:lang w:eastAsia="en-US"/>
        </w:rPr>
        <w:t xml:space="preserve"> </w:t>
      </w:r>
      <w:r>
        <w:rPr>
          <w:lang w:eastAsia="en-US"/>
        </w:rPr>
        <w:t>fulfilling its charter is prepared annually.</w:t>
      </w:r>
    </w:p>
    <w:p w14:paraId="4787A3FC" w14:textId="77777777" w:rsidR="008C0D31" w:rsidRDefault="008C0D31" w:rsidP="00775630">
      <w:pPr>
        <w:pStyle w:val="Heading4"/>
      </w:pPr>
      <w:r>
        <w:t>Customer and Service Delivery Committee</w:t>
      </w:r>
    </w:p>
    <w:p w14:paraId="18A67E08" w14:textId="7477EFB8" w:rsidR="008C0D31" w:rsidRDefault="008C0D31" w:rsidP="008C0D31">
      <w:pPr>
        <w:pStyle w:val="BodyText"/>
        <w:rPr>
          <w:lang w:eastAsia="en-US"/>
        </w:rPr>
      </w:pPr>
      <w:r>
        <w:rPr>
          <w:lang w:eastAsia="en-US"/>
        </w:rPr>
        <w:t>The role of the Customer and Service Delivery Committee</w:t>
      </w:r>
      <w:r w:rsidR="00775630">
        <w:rPr>
          <w:lang w:eastAsia="en-US"/>
        </w:rPr>
        <w:t xml:space="preserve"> </w:t>
      </w:r>
      <w:r>
        <w:rPr>
          <w:lang w:eastAsia="en-US"/>
        </w:rPr>
        <w:t>(CSDC) is to assist the Board of Directors in fulfilling its</w:t>
      </w:r>
      <w:r w:rsidR="00775630">
        <w:rPr>
          <w:lang w:eastAsia="en-US"/>
        </w:rPr>
        <w:t xml:space="preserve"> </w:t>
      </w:r>
      <w:r>
        <w:rPr>
          <w:lang w:eastAsia="en-US"/>
        </w:rPr>
        <w:t>business objectives and responsibilities relating to:</w:t>
      </w:r>
    </w:p>
    <w:p w14:paraId="482A7057" w14:textId="5AE290A2" w:rsidR="008C0D31" w:rsidRDefault="008C0D31" w:rsidP="00C778D6">
      <w:pPr>
        <w:pStyle w:val="ListBullet"/>
        <w:rPr>
          <w:lang w:eastAsia="en-US"/>
        </w:rPr>
      </w:pPr>
      <w:r>
        <w:rPr>
          <w:lang w:eastAsia="en-US"/>
        </w:rPr>
        <w:t>delivery of services and experiences our customers and</w:t>
      </w:r>
      <w:r w:rsidR="00775630">
        <w:rPr>
          <w:lang w:eastAsia="en-US"/>
        </w:rPr>
        <w:t xml:space="preserve"> </w:t>
      </w:r>
      <w:r>
        <w:rPr>
          <w:lang w:eastAsia="en-US"/>
        </w:rPr>
        <w:t>community value</w:t>
      </w:r>
    </w:p>
    <w:p w14:paraId="1F249CE3" w14:textId="0C8571BB" w:rsidR="008C0D31" w:rsidRDefault="008C0D31" w:rsidP="00775630">
      <w:pPr>
        <w:pStyle w:val="ListBullet"/>
        <w:rPr>
          <w:lang w:eastAsia="en-US"/>
        </w:rPr>
      </w:pPr>
      <w:r>
        <w:rPr>
          <w:lang w:eastAsia="en-US"/>
        </w:rPr>
        <w:t>affordable asset delivery to enable these services</w:t>
      </w:r>
    </w:p>
    <w:p w14:paraId="5AA37DCA" w14:textId="2F8199EF" w:rsidR="008C0D31" w:rsidRDefault="008C0D31" w:rsidP="00775630">
      <w:pPr>
        <w:pStyle w:val="ListBullet"/>
        <w:rPr>
          <w:lang w:eastAsia="en-US"/>
        </w:rPr>
      </w:pPr>
      <w:r>
        <w:rPr>
          <w:lang w:eastAsia="en-US"/>
        </w:rPr>
        <w:t>protecting the environment and public health.</w:t>
      </w:r>
    </w:p>
    <w:p w14:paraId="699008EC" w14:textId="344FB5F0" w:rsidR="008C0D31" w:rsidRDefault="008C0D31" w:rsidP="008C0D31">
      <w:pPr>
        <w:pStyle w:val="BodyText"/>
        <w:rPr>
          <w:lang w:eastAsia="en-US"/>
        </w:rPr>
      </w:pPr>
      <w:r>
        <w:rPr>
          <w:lang w:eastAsia="en-US"/>
        </w:rPr>
        <w:t xml:space="preserve">The </w:t>
      </w:r>
      <w:r w:rsidR="00965CBF">
        <w:rPr>
          <w:lang w:eastAsia="en-US"/>
        </w:rPr>
        <w:t>Customer and Service Delivery Committee</w:t>
      </w:r>
      <w:r>
        <w:rPr>
          <w:lang w:eastAsia="en-US"/>
        </w:rPr>
        <w:t xml:space="preserve"> comprised Garry Smith (Chair), Russell Anderson,</w:t>
      </w:r>
      <w:r w:rsidR="00775630">
        <w:rPr>
          <w:lang w:eastAsia="en-US"/>
        </w:rPr>
        <w:t xml:space="preserve"> </w:t>
      </w:r>
      <w:r>
        <w:rPr>
          <w:lang w:eastAsia="en-US"/>
        </w:rPr>
        <w:t>Fiona Rowland and Robyn McLeod for the period 1 July 2020</w:t>
      </w:r>
      <w:r w:rsidR="00775630">
        <w:rPr>
          <w:lang w:eastAsia="en-US"/>
        </w:rPr>
        <w:t xml:space="preserve"> </w:t>
      </w:r>
      <w:r>
        <w:rPr>
          <w:lang w:eastAsia="en-US"/>
        </w:rPr>
        <w:t xml:space="preserve">to 30 June 2021. A report about the activities of the </w:t>
      </w:r>
      <w:r w:rsidR="00965CBF">
        <w:rPr>
          <w:lang w:eastAsia="en-US"/>
        </w:rPr>
        <w:t>Customer and Service Delivery Committee</w:t>
      </w:r>
      <w:r>
        <w:rPr>
          <w:lang w:eastAsia="en-US"/>
        </w:rPr>
        <w:t xml:space="preserve"> in</w:t>
      </w:r>
      <w:r w:rsidR="00775630">
        <w:rPr>
          <w:lang w:eastAsia="en-US"/>
        </w:rPr>
        <w:t xml:space="preserve"> </w:t>
      </w:r>
      <w:r>
        <w:rPr>
          <w:lang w:eastAsia="en-US"/>
        </w:rPr>
        <w:t>fulfilling its charter is prepared annually.</w:t>
      </w:r>
    </w:p>
    <w:p w14:paraId="1CF0C368" w14:textId="77777777" w:rsidR="00775630" w:rsidRDefault="00775630" w:rsidP="00775630">
      <w:pPr>
        <w:pStyle w:val="Heading3"/>
      </w:pPr>
      <w:bookmarkStart w:id="612" w:name="_Toc89723074"/>
      <w:bookmarkStart w:id="613" w:name="_Toc90326017"/>
      <w:bookmarkStart w:id="614" w:name="BoardofDirectors"/>
      <w:bookmarkStart w:id="615" w:name="_Toc93659423"/>
      <w:r>
        <w:t>Board of Directors</w:t>
      </w:r>
      <w:bookmarkEnd w:id="612"/>
      <w:bookmarkEnd w:id="613"/>
      <w:bookmarkEnd w:id="615"/>
    </w:p>
    <w:bookmarkEnd w:id="614"/>
    <w:p w14:paraId="243A05B7" w14:textId="6719F417" w:rsidR="00775630" w:rsidRDefault="00775630" w:rsidP="00775630">
      <w:pPr>
        <w:pStyle w:val="BodyText"/>
        <w:rPr>
          <w:lang w:eastAsia="en-US"/>
        </w:rPr>
      </w:pPr>
      <w:r>
        <w:rPr>
          <w:lang w:eastAsia="en-US"/>
        </w:rPr>
        <w:t>The Minister for Water, in consultation with the Treasurer, appoints the directors of Melbourne Water for terms of up to four years and the Victorian Government sets their remuneration. Directors are eligible for reappointment for subsequent terms.</w:t>
      </w:r>
    </w:p>
    <w:p w14:paraId="6992B3C1" w14:textId="77777777" w:rsidR="00775630" w:rsidRDefault="00775630" w:rsidP="00775630">
      <w:pPr>
        <w:pStyle w:val="BodyText"/>
        <w:rPr>
          <w:lang w:eastAsia="en-US"/>
        </w:rPr>
      </w:pPr>
      <w:r>
        <w:rPr>
          <w:lang w:eastAsia="en-US"/>
        </w:rPr>
        <w:lastRenderedPageBreak/>
        <w:t>In making new appointments to the Board, the Victorian Government ensures the Board has the necessary combination of skills and experience. The Managing Director is appointed by the Board, subject to the approval of the Minister in consultation with the Treasurer, for a term of up to five years.</w:t>
      </w:r>
    </w:p>
    <w:p w14:paraId="10FA3AF2" w14:textId="7844717C" w:rsidR="00775630" w:rsidRDefault="00775630" w:rsidP="00775630">
      <w:pPr>
        <w:pStyle w:val="BodyText"/>
        <w:rPr>
          <w:lang w:eastAsia="en-US"/>
        </w:rPr>
      </w:pPr>
      <w:r>
        <w:rPr>
          <w:lang w:eastAsia="en-US"/>
        </w:rPr>
        <w:t>Typically, annual reviews are conducted on the performance of the Board as a whole and of individual members pursuant to a Statement of Obligations issued by the Minister. The outcomes of these performance reviews are reported to the Treasurer and the Minister.</w:t>
      </w:r>
    </w:p>
    <w:p w14:paraId="6C3F647E" w14:textId="40D60D85" w:rsidR="00775630" w:rsidRDefault="00775630" w:rsidP="00775630">
      <w:pPr>
        <w:pStyle w:val="BodyText"/>
        <w:rPr>
          <w:lang w:eastAsia="en-US"/>
        </w:rPr>
      </w:pPr>
      <w:r>
        <w:rPr>
          <w:lang w:eastAsia="en-US"/>
        </w:rPr>
        <w:t>The Board of Directors currently comprises a non-executive chair, seven non-executive directors and the Managing Director.</w:t>
      </w:r>
    </w:p>
    <w:p w14:paraId="56FF2065" w14:textId="77777777" w:rsidR="00775630" w:rsidRPr="00775630" w:rsidRDefault="00775630" w:rsidP="00775630">
      <w:pPr>
        <w:pStyle w:val="BodyText"/>
        <w:rPr>
          <w:rStyle w:val="Bold"/>
        </w:rPr>
      </w:pPr>
      <w:r w:rsidRPr="00775630">
        <w:rPr>
          <w:rStyle w:val="Bold"/>
        </w:rPr>
        <w:t>John Thwaites, Chair</w:t>
      </w:r>
    </w:p>
    <w:p w14:paraId="27613F86" w14:textId="39216AA8" w:rsidR="00775630" w:rsidRDefault="00775630" w:rsidP="00775630">
      <w:pPr>
        <w:pStyle w:val="BodyText"/>
        <w:rPr>
          <w:lang w:eastAsia="en-US"/>
        </w:rPr>
      </w:pPr>
      <w:r>
        <w:rPr>
          <w:lang w:eastAsia="en-US"/>
        </w:rPr>
        <w:t>John Thwaites was appointed to the Board on 1 October 2015. He is the Chair of Melbourne Water.</w:t>
      </w:r>
    </w:p>
    <w:p w14:paraId="1A8A8416" w14:textId="14B92E6A" w:rsidR="00775630" w:rsidRDefault="00775630" w:rsidP="00775630">
      <w:pPr>
        <w:pStyle w:val="BodyText"/>
        <w:rPr>
          <w:lang w:eastAsia="en-US"/>
        </w:rPr>
      </w:pPr>
      <w:r>
        <w:rPr>
          <w:lang w:eastAsia="en-US"/>
        </w:rPr>
        <w:t>Mr Thwaites is a Professorial Fellow at Monash University, the Chair of ClimateWorks Australia and the Monash Sustainable Development Institute, and a Director of Fairtrade Australia New Zealand.</w:t>
      </w:r>
    </w:p>
    <w:p w14:paraId="6FCF660A" w14:textId="2D7BA09D" w:rsidR="00775630" w:rsidRDefault="00775630" w:rsidP="00775630">
      <w:pPr>
        <w:pStyle w:val="BodyText"/>
        <w:rPr>
          <w:lang w:eastAsia="en-US"/>
        </w:rPr>
      </w:pPr>
      <w:r>
        <w:rPr>
          <w:lang w:eastAsia="en-US"/>
        </w:rPr>
        <w:t xml:space="preserve">Mr Thwaites is a Co-Chair of the Leadership Council of the </w:t>
      </w:r>
      <w:r w:rsidR="0030196D">
        <w:rPr>
          <w:lang w:eastAsia="en-US"/>
        </w:rPr>
        <w:t>United Nations</w:t>
      </w:r>
      <w:r>
        <w:rPr>
          <w:lang w:eastAsia="en-US"/>
        </w:rPr>
        <w:t xml:space="preserve"> Sustainable Development Solutions Network (SDSN), launched by the Secretary General of the United Nations to provide expert advice and support on the Sustainable Development Goals and Chair of the </w:t>
      </w:r>
      <w:r w:rsidR="00965CBF">
        <w:rPr>
          <w:lang w:eastAsia="en-US"/>
        </w:rPr>
        <w:t>Sustainable Development Solutions Network</w:t>
      </w:r>
      <w:r>
        <w:rPr>
          <w:lang w:eastAsia="en-US"/>
        </w:rPr>
        <w:t xml:space="preserve"> Association. He was also previously the Chair of the Peter Cullen Water and Environment Trust, the Australian Building Codes Board and the Australian Centre for the Moving Image. In 2013, Mr Thwaites was named as one of the 100 Global Sustainability Leaders by ABC Carbon Express.</w:t>
      </w:r>
    </w:p>
    <w:p w14:paraId="40E3F89B" w14:textId="11230BB8" w:rsidR="00775630" w:rsidRDefault="00775630" w:rsidP="00775630">
      <w:pPr>
        <w:pStyle w:val="BodyText"/>
        <w:rPr>
          <w:lang w:eastAsia="en-US"/>
        </w:rPr>
      </w:pPr>
      <w:r>
        <w:rPr>
          <w:lang w:eastAsia="en-US"/>
        </w:rPr>
        <w:t>Mr Thwaites was Deputy Premier of Victoria from 1999 until his retirement in 2007. During this period, he was Minister for Health, Minister for Planning, Minister for Environment, Minister for Water, Minister for Victorian Communities and Victoria’s first Minister for Climate Change. In these portfolios he was responsible for major reforms in social policy, health, environment and water.</w:t>
      </w:r>
    </w:p>
    <w:p w14:paraId="427F585F" w14:textId="20E2A50C" w:rsidR="00775630" w:rsidRDefault="00775630" w:rsidP="00775630">
      <w:pPr>
        <w:pStyle w:val="BodyText"/>
        <w:rPr>
          <w:lang w:eastAsia="en-US"/>
        </w:rPr>
      </w:pPr>
      <w:r>
        <w:rPr>
          <w:lang w:eastAsia="en-US"/>
        </w:rPr>
        <w:t>Prior to being elected to Parliament, Mr Thwaites was a barrister and Mayor of South Melbourne. He has degrees in Law (Honours) and Science from Monash University.</w:t>
      </w:r>
    </w:p>
    <w:p w14:paraId="5EDC9AB8" w14:textId="77777777" w:rsidR="00775630" w:rsidRPr="00775630" w:rsidRDefault="00775630" w:rsidP="00775630">
      <w:pPr>
        <w:pStyle w:val="BodyText"/>
        <w:rPr>
          <w:rStyle w:val="Bold"/>
          <w:lang w:eastAsia="en-US"/>
        </w:rPr>
      </w:pPr>
      <w:r w:rsidRPr="00775630">
        <w:rPr>
          <w:rStyle w:val="Bold"/>
          <w:lang w:eastAsia="en-US"/>
        </w:rPr>
        <w:t xml:space="preserve">Michael Wandmaker, Managing Director </w:t>
      </w:r>
    </w:p>
    <w:p w14:paraId="5028807A" w14:textId="35CD6BB0" w:rsidR="00775630" w:rsidRDefault="00775630" w:rsidP="00775630">
      <w:pPr>
        <w:pStyle w:val="BodyText"/>
        <w:rPr>
          <w:lang w:eastAsia="en-US"/>
        </w:rPr>
      </w:pPr>
      <w:r>
        <w:rPr>
          <w:lang w:eastAsia="en-US"/>
        </w:rPr>
        <w:t>Michael Wandmaker is Managing Director of Melbourne Water.</w:t>
      </w:r>
    </w:p>
    <w:p w14:paraId="003C9147" w14:textId="0056D808" w:rsidR="00775630" w:rsidRDefault="00775630" w:rsidP="00775630">
      <w:pPr>
        <w:pStyle w:val="BodyText"/>
        <w:rPr>
          <w:lang w:eastAsia="en-US"/>
        </w:rPr>
      </w:pPr>
      <w:r>
        <w:rPr>
          <w:lang w:eastAsia="en-US"/>
        </w:rPr>
        <w:t>Mr Wandmaker has extensive senior leadership experience across several industries, both in Australia and internationally, and is a Fellow of the Institute of Engineers. He is currently a director of the Committee for Melbourne. Mr Wandmaker was previously President of FT Services, CEO of Silcar Maintenance Services, Vice President at Siemens Canada Ltd, and held various executive positions with Tyco Services and Transfield Holdings Pty Ltd. Prior to becoming Managing Director at Melbourne Water, Mr Wandmaker was Group President and Acting CEO of UGL Limited.</w:t>
      </w:r>
    </w:p>
    <w:p w14:paraId="7C565C6C" w14:textId="5B5BD7FD" w:rsidR="00775630" w:rsidRDefault="00775630" w:rsidP="00775630">
      <w:pPr>
        <w:pStyle w:val="BodyText"/>
        <w:rPr>
          <w:lang w:eastAsia="en-US"/>
        </w:rPr>
      </w:pPr>
      <w:r>
        <w:rPr>
          <w:lang w:eastAsia="en-US"/>
        </w:rPr>
        <w:t>Mr Wandmaker was appointed Managing Director on 22 September 2014.</w:t>
      </w:r>
    </w:p>
    <w:p w14:paraId="18248F3A" w14:textId="77777777" w:rsidR="00775630" w:rsidRPr="00775630" w:rsidRDefault="00775630" w:rsidP="000C436B">
      <w:pPr>
        <w:pStyle w:val="BodyText"/>
        <w:keepNext/>
        <w:keepLines/>
        <w:rPr>
          <w:rStyle w:val="Bold"/>
          <w:lang w:eastAsia="en-US"/>
        </w:rPr>
      </w:pPr>
      <w:r w:rsidRPr="00775630">
        <w:rPr>
          <w:rStyle w:val="Bold"/>
          <w:lang w:eastAsia="en-US"/>
        </w:rPr>
        <w:lastRenderedPageBreak/>
        <w:t xml:space="preserve">Merran Kelsall, Director and Deputy Chair </w:t>
      </w:r>
    </w:p>
    <w:p w14:paraId="430EDBA2" w14:textId="62F71D1B" w:rsidR="00775630" w:rsidRDefault="00775630" w:rsidP="000C436B">
      <w:pPr>
        <w:pStyle w:val="BodyText"/>
        <w:keepNext/>
        <w:keepLines/>
        <w:rPr>
          <w:lang w:eastAsia="en-US"/>
        </w:rPr>
      </w:pPr>
      <w:r>
        <w:rPr>
          <w:lang w:eastAsia="en-US"/>
        </w:rPr>
        <w:t>Merran Kelsall was appointed to the Board on 1 October 2015. She is the Chair of the Audit, Risk and Finance Committee.</w:t>
      </w:r>
    </w:p>
    <w:p w14:paraId="24E93804" w14:textId="77DB021C" w:rsidR="00775630" w:rsidRDefault="00775630" w:rsidP="000C436B">
      <w:pPr>
        <w:pStyle w:val="BodyText"/>
        <w:keepNext/>
        <w:keepLines/>
        <w:rPr>
          <w:lang w:eastAsia="en-US"/>
        </w:rPr>
      </w:pPr>
      <w:r>
        <w:rPr>
          <w:lang w:eastAsia="en-US"/>
        </w:rPr>
        <w:t>Ms Kelsall is an experienced independent director who has considerable expertise in finance, audit, risk and compliance. She has served on many boards in the private and public sectors. Her current appointments include Chair and President of CPA Australia Ltd, directorships at Australian Red Cross Lifeblood, CareSuper, Hamilton Art Gallery and the Medical Indemnity Protection Society. She was previously Chair and CEO of Auditing and Assurance Standards Board, a Director of VicSuper and RACV Limited, a Member of International Auditing and Assurance Standards Board and Financial Reporting Council, and a Commissioner at Taxi Services Commission. She was also formerly a partner at BDO Chartered Accountants.</w:t>
      </w:r>
    </w:p>
    <w:p w14:paraId="59CAAFBE" w14:textId="0A644A0D" w:rsidR="00775630" w:rsidRDefault="00775630" w:rsidP="00775630">
      <w:pPr>
        <w:pStyle w:val="BodyText"/>
        <w:rPr>
          <w:lang w:eastAsia="en-US"/>
        </w:rPr>
      </w:pPr>
      <w:r>
        <w:rPr>
          <w:lang w:eastAsia="en-US"/>
        </w:rPr>
        <w:t>Ms Kelsall is a Professor of Practice at the School of Accounting, UNSW Business School.</w:t>
      </w:r>
    </w:p>
    <w:p w14:paraId="4FC4FF6A" w14:textId="77777777" w:rsidR="00775630" w:rsidRPr="00775630" w:rsidRDefault="00775630" w:rsidP="00775630">
      <w:pPr>
        <w:pStyle w:val="BodyText"/>
        <w:rPr>
          <w:rStyle w:val="Bold"/>
          <w:lang w:eastAsia="en-US"/>
        </w:rPr>
      </w:pPr>
      <w:r w:rsidRPr="00775630">
        <w:rPr>
          <w:rStyle w:val="Bold"/>
          <w:lang w:eastAsia="en-US"/>
        </w:rPr>
        <w:t>Russell Anderson, Director</w:t>
      </w:r>
    </w:p>
    <w:p w14:paraId="09CF3D1D" w14:textId="507A3436" w:rsidR="00775630" w:rsidRDefault="00775630" w:rsidP="00775630">
      <w:pPr>
        <w:pStyle w:val="BodyText"/>
        <w:rPr>
          <w:lang w:eastAsia="en-US"/>
        </w:rPr>
      </w:pPr>
      <w:r>
        <w:rPr>
          <w:lang w:eastAsia="en-US"/>
        </w:rPr>
        <w:t>Russell Anderson was appointed to the Board on 1 October 2017.</w:t>
      </w:r>
    </w:p>
    <w:p w14:paraId="5B64E58C" w14:textId="1586F774" w:rsidR="00775630" w:rsidRDefault="00775630" w:rsidP="00775630">
      <w:pPr>
        <w:pStyle w:val="BodyText"/>
        <w:rPr>
          <w:lang w:eastAsia="en-US"/>
        </w:rPr>
      </w:pPr>
      <w:r>
        <w:rPr>
          <w:lang w:eastAsia="en-US"/>
        </w:rPr>
        <w:t>Mr Anderson is currently Strategy, Governance and Risk Advisor at Australian Health Service Alliance Ltd and is also self-employed as a governance consultant to the water industry. Mr Anderson’s previous roles include as Strategy, Risk and Corporate Governance Manager for Australian Air Express Pty Ltd and Chief Internal Auditor, Air New Zealand Group.</w:t>
      </w:r>
    </w:p>
    <w:p w14:paraId="31E2861E" w14:textId="42095956" w:rsidR="00775630" w:rsidRDefault="00775630" w:rsidP="00775630">
      <w:pPr>
        <w:pStyle w:val="BodyText"/>
        <w:rPr>
          <w:lang w:eastAsia="en-US"/>
        </w:rPr>
      </w:pPr>
      <w:r>
        <w:rPr>
          <w:lang w:eastAsia="en-US"/>
        </w:rPr>
        <w:t>Mr Anderson has a Bachelor of Commerce and a Graduate Diploma of Applied Corporate Governance, and is a Fellow of the Governance Institute of Australia.</w:t>
      </w:r>
    </w:p>
    <w:p w14:paraId="4B40F83B" w14:textId="77777777" w:rsidR="00775630" w:rsidRPr="00775630" w:rsidRDefault="00775630" w:rsidP="00775630">
      <w:pPr>
        <w:pStyle w:val="BodyText"/>
        <w:rPr>
          <w:rStyle w:val="Bold"/>
          <w:lang w:eastAsia="en-US"/>
        </w:rPr>
      </w:pPr>
      <w:r w:rsidRPr="00775630">
        <w:rPr>
          <w:rStyle w:val="Bold"/>
          <w:lang w:eastAsia="en-US"/>
        </w:rPr>
        <w:t>Kathleen Bailey-Lord, Director</w:t>
      </w:r>
    </w:p>
    <w:p w14:paraId="1BBE9440" w14:textId="00C5A6CB" w:rsidR="00775630" w:rsidRDefault="00775630" w:rsidP="00775630">
      <w:pPr>
        <w:pStyle w:val="BodyText"/>
        <w:rPr>
          <w:lang w:eastAsia="en-US"/>
        </w:rPr>
      </w:pPr>
      <w:r>
        <w:rPr>
          <w:lang w:eastAsia="en-US"/>
        </w:rPr>
        <w:t>Kathleen Bailey-Lord was appointed to the Board in October 2015. She is the Chair of the People, Safety and Remuneration Committee.</w:t>
      </w:r>
    </w:p>
    <w:p w14:paraId="111DCC0C" w14:textId="1F5F081F" w:rsidR="00775630" w:rsidRDefault="00775630" w:rsidP="00775630">
      <w:pPr>
        <w:pStyle w:val="BodyText"/>
        <w:rPr>
          <w:lang w:eastAsia="en-US"/>
        </w:rPr>
      </w:pPr>
      <w:r>
        <w:rPr>
          <w:lang w:eastAsia="en-US"/>
        </w:rPr>
        <w:t>Ms Bailey-Lord is an experienced company board director having served on boards in the public, private and not for profit sectors. She is a Fellow of the Australian Institute of Company Directors (FAICD) and has a particular passion for building healthy workplace cultures that are ready for the digital age. She enjoyed an international senior executive career across diverse industries – technology, financial services, professional services and marketing.</w:t>
      </w:r>
    </w:p>
    <w:p w14:paraId="72488D4F" w14:textId="37AD8192" w:rsidR="00775630" w:rsidRDefault="00775630" w:rsidP="00775630">
      <w:pPr>
        <w:pStyle w:val="BodyText"/>
        <w:rPr>
          <w:lang w:eastAsia="en-US"/>
        </w:rPr>
      </w:pPr>
      <w:r>
        <w:rPr>
          <w:lang w:eastAsia="en-US"/>
        </w:rPr>
        <w:t>Ms Bailey-Lord currently serves as a non-executive director of Alinta Energy, QBE Insurance (Australia Pacific) where she chairs the People &amp; Remuneration Committee, Bank of Queensland where she is a member of all board committees and Monash College where she chairs the Audit &amp; Risk Committee.</w:t>
      </w:r>
    </w:p>
    <w:p w14:paraId="6461FA3F" w14:textId="77777777" w:rsidR="00775630" w:rsidRPr="00775630" w:rsidRDefault="00775630" w:rsidP="00775630">
      <w:pPr>
        <w:pStyle w:val="BodyText"/>
        <w:rPr>
          <w:rStyle w:val="Bold"/>
          <w:lang w:eastAsia="en-US"/>
        </w:rPr>
      </w:pPr>
      <w:r w:rsidRPr="00775630">
        <w:rPr>
          <w:rStyle w:val="Bold"/>
          <w:lang w:eastAsia="en-US"/>
        </w:rPr>
        <w:t>Hugh Gleeson, Director</w:t>
      </w:r>
    </w:p>
    <w:p w14:paraId="1DCA281E" w14:textId="77777777" w:rsidR="00775630" w:rsidRDefault="00775630" w:rsidP="00775630">
      <w:pPr>
        <w:pStyle w:val="BodyText"/>
        <w:rPr>
          <w:lang w:eastAsia="en-US"/>
        </w:rPr>
      </w:pPr>
      <w:r>
        <w:rPr>
          <w:lang w:eastAsia="en-US"/>
        </w:rPr>
        <w:t>Hugh Gleeson was appointed to the Board on 1 October 2015.</w:t>
      </w:r>
    </w:p>
    <w:p w14:paraId="2C2EBA21" w14:textId="55A2F3D2" w:rsidR="00775630" w:rsidRDefault="00775630" w:rsidP="00775630">
      <w:pPr>
        <w:pStyle w:val="BodyText"/>
        <w:rPr>
          <w:lang w:eastAsia="en-US"/>
        </w:rPr>
      </w:pPr>
      <w:r>
        <w:rPr>
          <w:lang w:eastAsia="en-US"/>
        </w:rPr>
        <w:t>Mr Gleeson is an experienced company director, a professional engineer, and has more than 30 years’ experience in the energy and utilities sector.</w:t>
      </w:r>
    </w:p>
    <w:p w14:paraId="5B6E9ADD" w14:textId="5B716797" w:rsidR="00775630" w:rsidRDefault="00775630" w:rsidP="00775630">
      <w:pPr>
        <w:pStyle w:val="BodyText"/>
        <w:rPr>
          <w:lang w:eastAsia="en-US"/>
        </w:rPr>
      </w:pPr>
      <w:r>
        <w:rPr>
          <w:lang w:eastAsia="en-US"/>
        </w:rPr>
        <w:t>Mr Gleeson is currently a director of Energy Queensland, the Ausgrid Partnership, the Collgar Windfarm and GDI-Allgas Energy. He retired as the CEO of electricity and gas distribution businesses, United Energy and Multinet Gas in 2015, following 12 years in that role. He has also served on the boards of Barwon Water, Energy Networks Australia and the Energy Supply Association of Australia.</w:t>
      </w:r>
    </w:p>
    <w:p w14:paraId="3D37ED6C" w14:textId="77777777" w:rsidR="00775630" w:rsidRPr="00775630" w:rsidRDefault="00775630" w:rsidP="000C436B">
      <w:pPr>
        <w:pStyle w:val="BodyText"/>
        <w:keepNext/>
        <w:rPr>
          <w:rStyle w:val="Bold"/>
          <w:lang w:eastAsia="en-US"/>
        </w:rPr>
      </w:pPr>
      <w:r w:rsidRPr="00775630">
        <w:rPr>
          <w:rStyle w:val="Bold"/>
          <w:lang w:eastAsia="en-US"/>
        </w:rPr>
        <w:lastRenderedPageBreak/>
        <w:t>Robyn McLeod, Director</w:t>
      </w:r>
    </w:p>
    <w:p w14:paraId="259C199C" w14:textId="77777777" w:rsidR="00775630" w:rsidRDefault="00775630" w:rsidP="00775630">
      <w:pPr>
        <w:pStyle w:val="BodyText"/>
        <w:rPr>
          <w:lang w:eastAsia="en-US"/>
        </w:rPr>
      </w:pPr>
      <w:r>
        <w:rPr>
          <w:lang w:eastAsia="en-US"/>
        </w:rPr>
        <w:t>Robyn McLeod was appointed to the Board on 1 October 2015.</w:t>
      </w:r>
    </w:p>
    <w:p w14:paraId="4D62B483" w14:textId="66D5BDF6" w:rsidR="00775630" w:rsidRDefault="00775630" w:rsidP="00775630">
      <w:pPr>
        <w:pStyle w:val="BodyText"/>
        <w:rPr>
          <w:lang w:eastAsia="en-US"/>
        </w:rPr>
      </w:pPr>
      <w:r>
        <w:rPr>
          <w:lang w:eastAsia="en-US"/>
        </w:rPr>
        <w:t>Ms McLeod is also currently a director of Monash Health and VicWater. Previous board positions include as an inaugural director of the Australian Centre for Social Innovation and Chair of this organisation's Audit, Risk and Finance Committee.</w:t>
      </w:r>
    </w:p>
    <w:p w14:paraId="00A303F1" w14:textId="5A082F4B" w:rsidR="00775630" w:rsidRDefault="00775630" w:rsidP="00775630">
      <w:pPr>
        <w:pStyle w:val="BodyText"/>
        <w:rPr>
          <w:lang w:eastAsia="en-US"/>
        </w:rPr>
      </w:pPr>
      <w:r>
        <w:rPr>
          <w:lang w:eastAsia="en-US"/>
        </w:rPr>
        <w:t>Ms McLeod has held the positions of Independent Commissioner for Water Security in South Australia, National Director of Water at KPMG, and Executive Director of Major Projects, Water, with the Department of Sustainability and Environment, Victoria, and has extensive experience in water governance.</w:t>
      </w:r>
    </w:p>
    <w:p w14:paraId="7BB521D0" w14:textId="2F7B5750" w:rsidR="00775630" w:rsidRDefault="00775630" w:rsidP="00775630">
      <w:pPr>
        <w:pStyle w:val="BodyText"/>
        <w:rPr>
          <w:lang w:eastAsia="en-US"/>
        </w:rPr>
      </w:pPr>
      <w:r>
        <w:rPr>
          <w:lang w:eastAsia="en-US"/>
        </w:rPr>
        <w:t>She was Chief of Staff to the Victorian Energy Resources and Ports Minister, and an advisor to the Victorian Environment and Education Minister. Ms McLeod has previously worked in the areas of corporate education, industrial relations and secondary teaching. She is a graduate of the Australian Institute of Company Directors, and completed the Senior Executive Fellows Program at The Kennedy School of Government, Harvard University.</w:t>
      </w:r>
    </w:p>
    <w:p w14:paraId="077FCC97" w14:textId="77777777" w:rsidR="00EE6590" w:rsidRPr="00EE6590" w:rsidRDefault="00EE6590" w:rsidP="00EE6590">
      <w:pPr>
        <w:pStyle w:val="BodyText"/>
        <w:rPr>
          <w:rStyle w:val="Bold"/>
          <w:lang w:eastAsia="en-US"/>
        </w:rPr>
      </w:pPr>
      <w:r w:rsidRPr="00EE6590">
        <w:rPr>
          <w:rStyle w:val="Bold"/>
          <w:lang w:eastAsia="en-US"/>
        </w:rPr>
        <w:t>Fiona Rowland, Director</w:t>
      </w:r>
    </w:p>
    <w:p w14:paraId="4CD87666" w14:textId="77777777" w:rsidR="00EE6590" w:rsidRDefault="00EE6590" w:rsidP="00EE6590">
      <w:pPr>
        <w:pStyle w:val="BodyText"/>
        <w:rPr>
          <w:lang w:eastAsia="en-US"/>
        </w:rPr>
      </w:pPr>
      <w:r>
        <w:rPr>
          <w:lang w:eastAsia="en-US"/>
        </w:rPr>
        <w:t>Fiona Rowland was appointed to the Board on 1 October 2017.</w:t>
      </w:r>
    </w:p>
    <w:p w14:paraId="6EE2D781" w14:textId="2314771C" w:rsidR="00EE6590" w:rsidRDefault="00EE6590" w:rsidP="00EE6590">
      <w:pPr>
        <w:pStyle w:val="BodyText"/>
        <w:rPr>
          <w:lang w:eastAsia="en-US"/>
        </w:rPr>
      </w:pPr>
      <w:r>
        <w:rPr>
          <w:lang w:eastAsia="en-US"/>
        </w:rPr>
        <w:t>Ms Rowland is an experienced company board director in the areas of financial services, trusts and asset management with 16 years’ executive management and CEO experience at the Bennelong Group, National Australia Bank, Australia and New Zealand Banking Group, UBS AG and UBS Wealth Management. She has been a member of numerous governance, compliance and investment committees in the banking and philanthropic sectors.</w:t>
      </w:r>
    </w:p>
    <w:p w14:paraId="58F5EA5B" w14:textId="5B67BDA5" w:rsidR="00EE6590" w:rsidRDefault="00EE6590" w:rsidP="00EE6590">
      <w:pPr>
        <w:pStyle w:val="BodyText"/>
        <w:rPr>
          <w:lang w:eastAsia="en-US"/>
        </w:rPr>
      </w:pPr>
      <w:r>
        <w:rPr>
          <w:lang w:eastAsia="en-US"/>
        </w:rPr>
        <w:t>Ms Rowland currently serves as a non-executive director of Macquarie Life Limited, Macquarie Investment Services Ltd, Infrastructure Specialist Asset Management Ltd and St Vincent’s Institute of Medical Research. She is also a Member of the Independent External Compliance Committee of Franklin Templeton Investments Australia Limited, Independent Consultant to Audit, Risk and Compliance Committee, UniSuper Limited and UniSuper Management Pty Ltd, and serves on the Advisory Group, Kearney Australia.</w:t>
      </w:r>
    </w:p>
    <w:p w14:paraId="5A0B91DA" w14:textId="42F8D0E6" w:rsidR="00EE6590" w:rsidRDefault="00EE6590" w:rsidP="00EE6590">
      <w:pPr>
        <w:pStyle w:val="BodyText"/>
        <w:rPr>
          <w:lang w:eastAsia="en-US"/>
        </w:rPr>
      </w:pPr>
      <w:r>
        <w:rPr>
          <w:lang w:eastAsia="en-US"/>
        </w:rPr>
        <w:t>Ms Rowland holds a Bachelor of Arts, a Bachelor of Law (Honours) and is admitted as a legal practitioner in Victoria. She is also a graduate of the Australian Institute of Company Directors.</w:t>
      </w:r>
    </w:p>
    <w:p w14:paraId="08E73DE0" w14:textId="77777777" w:rsidR="00EE6590" w:rsidRPr="00EE6590" w:rsidRDefault="00EE6590" w:rsidP="00EE6590">
      <w:pPr>
        <w:pStyle w:val="BodyText"/>
        <w:rPr>
          <w:rStyle w:val="Bold"/>
          <w:lang w:eastAsia="en-US"/>
        </w:rPr>
      </w:pPr>
      <w:bookmarkStart w:id="616" w:name="BoardofDirectorsend"/>
      <w:bookmarkStart w:id="617" w:name="CorporateGovernanceend"/>
      <w:r w:rsidRPr="00EE6590">
        <w:rPr>
          <w:rStyle w:val="Bold"/>
          <w:lang w:eastAsia="en-US"/>
        </w:rPr>
        <w:t>Garry Smith, Director</w:t>
      </w:r>
    </w:p>
    <w:bookmarkEnd w:id="616"/>
    <w:bookmarkEnd w:id="617"/>
    <w:p w14:paraId="1477D5AB" w14:textId="310A0ED5" w:rsidR="00EE6590" w:rsidRDefault="00EE6590" w:rsidP="00EE6590">
      <w:pPr>
        <w:pStyle w:val="BodyText"/>
        <w:rPr>
          <w:lang w:eastAsia="en-US"/>
        </w:rPr>
      </w:pPr>
      <w:r>
        <w:rPr>
          <w:lang w:eastAsia="en-US"/>
        </w:rPr>
        <w:t>Garry Smith was appointed to the Board in October 2012. He is the Chair of the Customer and Service Delivery Committee.</w:t>
      </w:r>
    </w:p>
    <w:p w14:paraId="4DFE4A7F" w14:textId="7BE9672F" w:rsidR="00EE6590" w:rsidRDefault="00EE6590" w:rsidP="00EE6590">
      <w:pPr>
        <w:pStyle w:val="BodyText"/>
        <w:rPr>
          <w:lang w:eastAsia="en-US"/>
        </w:rPr>
      </w:pPr>
      <w:r>
        <w:rPr>
          <w:lang w:eastAsia="en-US"/>
        </w:rPr>
        <w:t>Mr Smith has extensive experience in the water sector and is a director with DG Consulting (Aus) Pty Ltd, providing advice on water and natural resource management policy and strategy. He has previously held a range of senior management roles in the rural water industry and is currently a member of the Murray Darling Basin Authority’s Independent River Operations Review Group, and also their Independent Audit Group for salinity.</w:t>
      </w:r>
    </w:p>
    <w:p w14:paraId="29D16F35" w14:textId="6D4E679A" w:rsidR="00775630" w:rsidRDefault="00EE6590" w:rsidP="00EE6590">
      <w:pPr>
        <w:pStyle w:val="BodyText"/>
        <w:rPr>
          <w:lang w:eastAsia="en-US"/>
        </w:rPr>
      </w:pPr>
      <w:r>
        <w:rPr>
          <w:lang w:eastAsia="en-US"/>
        </w:rPr>
        <w:t>His previous roles include Chair of the Greater Shepparton Foundation, membership of the Advisory Board for the National Centre for Groundwater Research and Training, director of the eWater Co-operative Research Centre, member of the Water Accounting Standards Board and director of Scope.</w:t>
      </w:r>
    </w:p>
    <w:p w14:paraId="60D12165" w14:textId="63B86BB4" w:rsidR="00EE6590" w:rsidRDefault="00EE6590" w:rsidP="00A24984">
      <w:pPr>
        <w:pStyle w:val="Heading2"/>
      </w:pPr>
      <w:bookmarkStart w:id="618" w:name="_Ref89720384"/>
      <w:bookmarkStart w:id="619" w:name="_Toc89723075"/>
      <w:bookmarkStart w:id="620" w:name="_Toc89723228"/>
      <w:bookmarkStart w:id="621" w:name="_Toc89723288"/>
      <w:bookmarkStart w:id="622" w:name="_Toc89860552"/>
      <w:bookmarkStart w:id="623" w:name="_Toc89860696"/>
      <w:bookmarkStart w:id="624" w:name="_Toc90326018"/>
      <w:bookmarkStart w:id="625" w:name="_Toc93659424"/>
      <w:r>
        <w:lastRenderedPageBreak/>
        <w:t>Risk, Emergency and Asset Management</w:t>
      </w:r>
      <w:bookmarkEnd w:id="618"/>
      <w:bookmarkEnd w:id="619"/>
      <w:bookmarkEnd w:id="620"/>
      <w:bookmarkEnd w:id="621"/>
      <w:bookmarkEnd w:id="622"/>
      <w:bookmarkEnd w:id="623"/>
      <w:bookmarkEnd w:id="624"/>
      <w:bookmarkEnd w:id="625"/>
    </w:p>
    <w:p w14:paraId="434E2B90" w14:textId="10470BB5" w:rsidR="001E12AC" w:rsidRDefault="00EE6590" w:rsidP="00EE6590">
      <w:pPr>
        <w:pStyle w:val="PullBox"/>
      </w:pPr>
      <w:r>
        <w:t>Risk management is central to ensuring Melbourne Water understands and manages risks and uncertainties to enhance life and liveability.</w:t>
      </w:r>
    </w:p>
    <w:p w14:paraId="517296DB" w14:textId="32CD35F7" w:rsidR="00EE6590" w:rsidRDefault="00EE6590" w:rsidP="00EE6590">
      <w:pPr>
        <w:pStyle w:val="GreyBox"/>
      </w:pPr>
      <w:r w:rsidRPr="00296848">
        <w:t xml:space="preserve">Aligns with goals </w:t>
      </w:r>
      <w:r>
        <w:t>4, 6, 11, 12 and 13</w:t>
      </w:r>
    </w:p>
    <w:p w14:paraId="30727FEC" w14:textId="77777777" w:rsidR="00EE6590" w:rsidRDefault="00EE6590" w:rsidP="00EE6590">
      <w:pPr>
        <w:pStyle w:val="BodyText"/>
        <w:rPr>
          <w:lang w:eastAsia="en-US"/>
        </w:rPr>
      </w:pPr>
      <w:r>
        <w:rPr>
          <w:lang w:eastAsia="en-US"/>
        </w:rPr>
        <w:t>As a provider of essential services, strict regulatory compliance and strong risk management are critical to what we do. To meet these requirements, Melbourne Water has robust business systems and processes in place to monitor and report on our performance and to alert us early when we are off track.</w:t>
      </w:r>
    </w:p>
    <w:p w14:paraId="100A3191" w14:textId="5B952D41" w:rsidR="00EE6590" w:rsidRDefault="00EE6590" w:rsidP="00EE6590">
      <w:pPr>
        <w:pStyle w:val="BodyText"/>
        <w:rPr>
          <w:lang w:eastAsia="en-US"/>
        </w:rPr>
      </w:pPr>
      <w:r>
        <w:rPr>
          <w:lang w:eastAsia="en-US"/>
        </w:rPr>
        <w:t xml:space="preserve">Melbourne Water maintains an </w:t>
      </w:r>
      <w:r w:rsidRPr="00EE6590">
        <w:rPr>
          <w:rStyle w:val="ItalicText"/>
          <w:lang w:eastAsia="en-US"/>
        </w:rPr>
        <w:t>Enterprise Risk Management Framework</w:t>
      </w:r>
      <w:r>
        <w:rPr>
          <w:lang w:eastAsia="en-US"/>
        </w:rPr>
        <w:t xml:space="preserve"> consistent with the International Risk Management Standard (ISO 31000:2018) and the requirements of the Victorian Government's </w:t>
      </w:r>
      <w:r w:rsidRPr="00EE6590">
        <w:rPr>
          <w:rStyle w:val="ItalicText"/>
          <w:lang w:eastAsia="en-US"/>
        </w:rPr>
        <w:t>Risk Management Framework</w:t>
      </w:r>
      <w:r>
        <w:rPr>
          <w:lang w:eastAsia="en-US"/>
        </w:rPr>
        <w:t>.</w:t>
      </w:r>
    </w:p>
    <w:p w14:paraId="125228A3" w14:textId="22C25C64" w:rsidR="00EE6590" w:rsidRDefault="00EE6590" w:rsidP="00EE6590">
      <w:pPr>
        <w:pStyle w:val="BodyText"/>
        <w:rPr>
          <w:lang w:eastAsia="en-US"/>
        </w:rPr>
      </w:pPr>
      <w:r>
        <w:rPr>
          <w:lang w:eastAsia="en-US"/>
        </w:rPr>
        <w:t xml:space="preserve">Melbourne Water's </w:t>
      </w:r>
      <w:r w:rsidRPr="00EE6590">
        <w:rPr>
          <w:rStyle w:val="ItalicText"/>
          <w:lang w:eastAsia="en-US"/>
        </w:rPr>
        <w:t>Enterprise Risk Management Framework</w:t>
      </w:r>
      <w:r>
        <w:rPr>
          <w:lang w:eastAsia="en-US"/>
        </w:rPr>
        <w:t xml:space="preserve"> comprises a number of key elements which, when combined, create an environment for effectively managing risk and pursuing opportunities. This includes:</w:t>
      </w:r>
    </w:p>
    <w:p w14:paraId="5DA991BF" w14:textId="49D4E1D8" w:rsidR="00EE6590" w:rsidRDefault="00EE6590" w:rsidP="00C778D6">
      <w:pPr>
        <w:pStyle w:val="ListBullet"/>
        <w:rPr>
          <w:lang w:eastAsia="en-US"/>
        </w:rPr>
      </w:pPr>
      <w:r>
        <w:rPr>
          <w:lang w:eastAsia="en-US"/>
        </w:rPr>
        <w:t>an established Risk Management Policy and Risk Appetite Statement</w:t>
      </w:r>
    </w:p>
    <w:p w14:paraId="5A81DC93" w14:textId="46D8D083" w:rsidR="00EE6590" w:rsidRDefault="00EE6590" w:rsidP="00C778D6">
      <w:pPr>
        <w:pStyle w:val="ListBullet"/>
        <w:rPr>
          <w:lang w:eastAsia="en-US"/>
        </w:rPr>
      </w:pPr>
      <w:r>
        <w:rPr>
          <w:lang w:eastAsia="en-US"/>
        </w:rPr>
        <w:t>ongoing management of strategic, operational, financial and compliance risks that may impact on the achievement of our strategic direction, operational objectives and compliance obligations</w:t>
      </w:r>
    </w:p>
    <w:p w14:paraId="781FA765" w14:textId="005C71C7" w:rsidR="00EE6590" w:rsidRDefault="00EE6590" w:rsidP="00C778D6">
      <w:pPr>
        <w:pStyle w:val="ListBullet"/>
        <w:rPr>
          <w:lang w:eastAsia="en-US"/>
        </w:rPr>
      </w:pPr>
      <w:r>
        <w:rPr>
          <w:lang w:eastAsia="en-US"/>
        </w:rPr>
        <w:t>embedding physical and transition climate risks in our risk management process. These climate risks are considered by the Board at strategy workshops and regular risk briefings</w:t>
      </w:r>
    </w:p>
    <w:p w14:paraId="21067F1D" w14:textId="1041FFD6" w:rsidR="00EE6590" w:rsidRDefault="00EE6590" w:rsidP="00C778D6">
      <w:pPr>
        <w:pStyle w:val="ListBullet"/>
        <w:rPr>
          <w:lang w:eastAsia="en-US"/>
        </w:rPr>
      </w:pPr>
      <w:r>
        <w:rPr>
          <w:lang w:eastAsia="en-US"/>
        </w:rPr>
        <w:t>ongoing education and development of risk capability across the organisation and maintaining a positive risk culture</w:t>
      </w:r>
    </w:p>
    <w:p w14:paraId="2ED4630A" w14:textId="77777777" w:rsidR="00EE6590" w:rsidRDefault="00EE6590" w:rsidP="00C778D6">
      <w:pPr>
        <w:pStyle w:val="ListBullet"/>
        <w:rPr>
          <w:lang w:eastAsia="en-US"/>
        </w:rPr>
      </w:pPr>
      <w:r>
        <w:rPr>
          <w:lang w:eastAsia="en-US"/>
        </w:rPr>
        <w:t>providing ongoing assurance over our control environment through a comprehensive risk-based audit program, based on the three lines of defence</w:t>
      </w:r>
    </w:p>
    <w:p w14:paraId="06E62B4A" w14:textId="7FEB1D8C" w:rsidR="00EE6590" w:rsidRDefault="00EE6590" w:rsidP="00C778D6">
      <w:pPr>
        <w:pStyle w:val="ListBullet"/>
        <w:rPr>
          <w:lang w:eastAsia="en-US"/>
        </w:rPr>
      </w:pPr>
      <w:r>
        <w:rPr>
          <w:lang w:eastAsia="en-US"/>
        </w:rPr>
        <w:t>a comprehensive insurance portfolio.</w:t>
      </w:r>
    </w:p>
    <w:p w14:paraId="35216D30" w14:textId="3B755F68" w:rsidR="001E12AC" w:rsidRDefault="00EE6590" w:rsidP="00EE6590">
      <w:pPr>
        <w:pStyle w:val="BodyText"/>
        <w:rPr>
          <w:lang w:eastAsia="en-US"/>
        </w:rPr>
      </w:pPr>
      <w:r>
        <w:rPr>
          <w:lang w:eastAsia="en-US"/>
        </w:rPr>
        <w:t xml:space="preserve">Melbourne Water also maintains and tests our </w:t>
      </w:r>
      <w:r w:rsidRPr="00EE6590">
        <w:rPr>
          <w:rStyle w:val="ItalicText"/>
          <w:lang w:eastAsia="en-US"/>
        </w:rPr>
        <w:t>Emergency</w:t>
      </w:r>
      <w:r w:rsidRPr="00EE6590">
        <w:rPr>
          <w:rStyle w:val="ItalicText"/>
        </w:rPr>
        <w:t xml:space="preserve"> </w:t>
      </w:r>
      <w:r w:rsidRPr="00EE6590">
        <w:rPr>
          <w:rStyle w:val="ItalicText"/>
          <w:lang w:eastAsia="en-US"/>
        </w:rPr>
        <w:t>Management Framework</w:t>
      </w:r>
      <w:r>
        <w:rPr>
          <w:lang w:eastAsia="en-US"/>
        </w:rPr>
        <w:t>, which outlines controls with respect to the preparation, response and recovery from internal and external emergencies. The Framework aligns to Australian Inter-service Incident Management System 2017 (AIIMS) and includes contingency, business continuity, emergency response and disaster recovery planning.</w:t>
      </w:r>
    </w:p>
    <w:p w14:paraId="19572DB7" w14:textId="77777777" w:rsidR="00EE6590" w:rsidRDefault="00EE6590" w:rsidP="00A24984">
      <w:pPr>
        <w:pStyle w:val="Heading3"/>
      </w:pPr>
      <w:bookmarkStart w:id="626" w:name="_Toc89723076"/>
      <w:bookmarkStart w:id="627" w:name="_Toc90326019"/>
      <w:bookmarkStart w:id="628" w:name="_Toc93659425"/>
      <w:r w:rsidRPr="00A24984">
        <w:t>Cyber</w:t>
      </w:r>
      <w:r>
        <w:t xml:space="preserve"> security</w:t>
      </w:r>
      <w:bookmarkEnd w:id="626"/>
      <w:bookmarkEnd w:id="627"/>
      <w:bookmarkEnd w:id="628"/>
    </w:p>
    <w:p w14:paraId="6A161EBF" w14:textId="3EF925D1" w:rsidR="00EE6590" w:rsidRDefault="00EE6590" w:rsidP="00EE6590">
      <w:pPr>
        <w:pStyle w:val="BodyText"/>
        <w:rPr>
          <w:lang w:eastAsia="en-US"/>
        </w:rPr>
      </w:pPr>
      <w:r>
        <w:rPr>
          <w:lang w:eastAsia="en-US"/>
        </w:rPr>
        <w:t>Melbourne Water collaborates extensively with industry and the government sector to stay abreast of emerging risks, incidents and improvement opportunities in cyber security. This year we increased our level of focus and investment in cyber security at an enterprise level which spans our information Technology (IT) and operational technology (OT) environments.</w:t>
      </w:r>
    </w:p>
    <w:p w14:paraId="790F2374" w14:textId="74975039" w:rsidR="00EE6590" w:rsidRDefault="00EE6590" w:rsidP="00EE6590">
      <w:pPr>
        <w:pStyle w:val="BodyText"/>
        <w:rPr>
          <w:lang w:eastAsia="en-US"/>
        </w:rPr>
      </w:pPr>
      <w:r>
        <w:rPr>
          <w:lang w:eastAsia="en-US"/>
        </w:rPr>
        <w:t xml:space="preserve">We have refreshed our </w:t>
      </w:r>
      <w:r w:rsidRPr="00EE6590">
        <w:rPr>
          <w:rStyle w:val="ItalicText"/>
          <w:lang w:eastAsia="en-US"/>
        </w:rPr>
        <w:t>Enterprise Security Strategy</w:t>
      </w:r>
      <w:r>
        <w:rPr>
          <w:lang w:eastAsia="en-US"/>
        </w:rPr>
        <w:t xml:space="preserve"> to enhance protection of our information assets and underlying systems. Some of the initiatives implemented this year include:</w:t>
      </w:r>
    </w:p>
    <w:p w14:paraId="4AB76157" w14:textId="7F490BE3" w:rsidR="00EE6590" w:rsidRDefault="00EE6590" w:rsidP="00C778D6">
      <w:pPr>
        <w:pStyle w:val="ListBullet"/>
        <w:rPr>
          <w:lang w:eastAsia="en-US"/>
        </w:rPr>
      </w:pPr>
      <w:r>
        <w:rPr>
          <w:lang w:eastAsia="en-US"/>
        </w:rPr>
        <w:t>an Enterprise Security Policy and underlying security standards</w:t>
      </w:r>
    </w:p>
    <w:p w14:paraId="314F3FA0" w14:textId="2A90CB3E" w:rsidR="00EE6590" w:rsidRDefault="00EE6590" w:rsidP="00C778D6">
      <w:pPr>
        <w:pStyle w:val="ListBullet"/>
        <w:rPr>
          <w:lang w:eastAsia="en-US"/>
        </w:rPr>
      </w:pPr>
      <w:r>
        <w:rPr>
          <w:lang w:eastAsia="en-US"/>
        </w:rPr>
        <w:t xml:space="preserve">recruiting dedicated cyber security personnel, including an </w:t>
      </w:r>
      <w:r w:rsidR="00965CBF">
        <w:rPr>
          <w:lang w:eastAsia="en-US"/>
        </w:rPr>
        <w:t>Operational Technology</w:t>
      </w:r>
      <w:r>
        <w:rPr>
          <w:lang w:eastAsia="en-US"/>
        </w:rPr>
        <w:t xml:space="preserve"> security specialist</w:t>
      </w:r>
    </w:p>
    <w:p w14:paraId="24DCFEBA" w14:textId="67744DC5" w:rsidR="00EE6590" w:rsidRDefault="00EE6590" w:rsidP="00C778D6">
      <w:pPr>
        <w:pStyle w:val="ListBullet"/>
        <w:rPr>
          <w:lang w:eastAsia="en-US"/>
        </w:rPr>
      </w:pPr>
      <w:r>
        <w:rPr>
          <w:lang w:eastAsia="en-US"/>
        </w:rPr>
        <w:t>quarterly risk reviews as part of our enterprise risk management program</w:t>
      </w:r>
    </w:p>
    <w:p w14:paraId="3B353ABD" w14:textId="73DE0A6B" w:rsidR="00EE6590" w:rsidRDefault="00EE6590" w:rsidP="00C778D6">
      <w:pPr>
        <w:pStyle w:val="ListBullet"/>
        <w:rPr>
          <w:lang w:eastAsia="en-US"/>
        </w:rPr>
      </w:pPr>
      <w:r>
        <w:rPr>
          <w:lang w:eastAsia="en-US"/>
        </w:rPr>
        <w:t>a cybersecurity eLearning awareness and education module which is compulsory for all employees, contractors and all new starters (induction)</w:t>
      </w:r>
    </w:p>
    <w:p w14:paraId="095A1F6E" w14:textId="5946A20A" w:rsidR="00EE6590" w:rsidRDefault="00EE6590" w:rsidP="00C778D6">
      <w:pPr>
        <w:pStyle w:val="ListBullet"/>
        <w:rPr>
          <w:lang w:eastAsia="en-US"/>
        </w:rPr>
      </w:pPr>
      <w:r>
        <w:rPr>
          <w:lang w:eastAsia="en-US"/>
        </w:rPr>
        <w:lastRenderedPageBreak/>
        <w:t>regular cybersecurity communications via employee communications</w:t>
      </w:r>
    </w:p>
    <w:p w14:paraId="2051E525" w14:textId="544920D7" w:rsidR="001E12AC" w:rsidRDefault="00EE6590" w:rsidP="00C778D6">
      <w:pPr>
        <w:pStyle w:val="ListBullet"/>
        <w:rPr>
          <w:lang w:eastAsia="en-US"/>
        </w:rPr>
      </w:pPr>
      <w:r>
        <w:rPr>
          <w:lang w:eastAsia="en-US"/>
        </w:rPr>
        <w:t>quarterly simulated email phishing attacks with follow-up analysis and advice to employees.</w:t>
      </w:r>
    </w:p>
    <w:p w14:paraId="491ADF4F" w14:textId="4E5E02F7" w:rsidR="00EE6590" w:rsidRPr="00A24984" w:rsidRDefault="00EE6590" w:rsidP="00A24984">
      <w:pPr>
        <w:pStyle w:val="Heading3"/>
      </w:pPr>
      <w:bookmarkStart w:id="629" w:name="_Toc89723077"/>
      <w:bookmarkStart w:id="630" w:name="_Ref89799967"/>
      <w:bookmarkStart w:id="631" w:name="_Toc90326020"/>
      <w:bookmarkStart w:id="632" w:name="_Toc93659426"/>
      <w:r w:rsidRPr="00A24984">
        <w:t>Asset Management Accountability Framework</w:t>
      </w:r>
      <w:bookmarkEnd w:id="629"/>
      <w:bookmarkEnd w:id="630"/>
      <w:bookmarkEnd w:id="631"/>
      <w:bookmarkEnd w:id="632"/>
    </w:p>
    <w:p w14:paraId="117EDFDA" w14:textId="5BFE0A6E" w:rsidR="00EE6590" w:rsidRDefault="00EE6590" w:rsidP="00EE6590">
      <w:pPr>
        <w:pStyle w:val="BodyText"/>
        <w:rPr>
          <w:lang w:eastAsia="en-US"/>
        </w:rPr>
      </w:pPr>
      <w:r>
        <w:rPr>
          <w:lang w:eastAsia="en-US"/>
        </w:rPr>
        <w:t xml:space="preserve">Melbourne Water's self-assessed maturity for 2020-21 against the Asset Management Accountability Framework (AMAF) requirements identified that Melbourne Water achieved a minimum maturity rating of `competence' (rating 3) across 39 of the 41 aspects of the </w:t>
      </w:r>
      <w:r w:rsidR="00965CBF">
        <w:rPr>
          <w:lang w:eastAsia="en-US"/>
        </w:rPr>
        <w:t>Asset Management Accountability Framework</w:t>
      </w:r>
      <w:r>
        <w:rPr>
          <w:lang w:eastAsia="en-US"/>
        </w:rPr>
        <w:t xml:space="preserve">. The exceptions being two subjects which had a competency rating of `developing' (rating 2), Subject 21 in the Planning category relating to fully cascading Asset Management Objectives, and subject 31 in the Operation category regarding the review of maintenance effectiveness and adapting its maintenance to current lifecycle stages. Melbourne Water is targeting a minimum maturity rating of 'competence' across all aspects of the </w:t>
      </w:r>
      <w:r w:rsidR="00965CBF">
        <w:rPr>
          <w:lang w:eastAsia="en-US"/>
        </w:rPr>
        <w:t>Asset Management Accountability Framework</w:t>
      </w:r>
      <w:r>
        <w:rPr>
          <w:lang w:eastAsia="en-US"/>
        </w:rPr>
        <w:t xml:space="preserve"> requirements. However, Melbourne Water also aims to continuously improve and optimise its asset management practices in all subjects, wherever those improvements and resulting levels of maturity provide best value to customers, stakeholders and the community.</w:t>
      </w:r>
    </w:p>
    <w:p w14:paraId="1C82FBC6" w14:textId="08F07953" w:rsidR="00EE6590" w:rsidRDefault="00EE6590" w:rsidP="00EE6590">
      <w:pPr>
        <w:pStyle w:val="BodyText"/>
        <w:rPr>
          <w:lang w:eastAsia="en-US"/>
        </w:rPr>
      </w:pPr>
      <w:r>
        <w:rPr>
          <w:lang w:eastAsia="en-US"/>
        </w:rPr>
        <w:t>To support a focus on asset management maturity improvement, Melbourne Water develops an annual Total Asset Management Improvement Plan (TAMIP). The 2021-22 TAMIP includes specific actions and activities designed to address the identified maturity gaps. Implementation of the TAMIP is reported monthly.</w:t>
      </w:r>
    </w:p>
    <w:p w14:paraId="3631764D" w14:textId="10BBBD72" w:rsidR="00EE6590" w:rsidRDefault="00965CBF" w:rsidP="000C436B">
      <w:pPr>
        <w:pStyle w:val="Caption"/>
        <w:keepLines/>
        <w:rPr>
          <w:lang w:eastAsia="en-US"/>
        </w:rPr>
      </w:pPr>
      <w:r>
        <w:rPr>
          <w:lang w:eastAsia="en-US"/>
        </w:rPr>
        <w:t>Asset Management Accountability Framework</w:t>
      </w:r>
      <w:r w:rsidR="00947509" w:rsidRPr="00947509">
        <w:rPr>
          <w:lang w:eastAsia="en-US"/>
        </w:rPr>
        <w:t xml:space="preserve"> Maturity Assessment</w:t>
      </w:r>
    </w:p>
    <w:p w14:paraId="4B924A37" w14:textId="77777777" w:rsidR="00DE437A" w:rsidRDefault="00EB7138" w:rsidP="00DE437A">
      <w:pPr>
        <w:pStyle w:val="BodyText"/>
      </w:pPr>
      <w:r>
        <w:rPr>
          <w:noProof/>
        </w:rPr>
        <w:drawing>
          <wp:inline distT="0" distB="0" distL="0" distR="0" wp14:anchorId="488E2E13" wp14:editId="406A9A6F">
            <wp:extent cx="5846400" cy="4374000"/>
            <wp:effectExtent l="0" t="0" r="2540" b="7620"/>
            <wp:docPr id="17" name="Picture 17" descr="An image showing the Asset Management Accountability Framework Maturity Assessment. Refer data table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n image showing the Asset Management Accountability Framework Maturity Assessment. Refer data table below."/>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46400" cy="4374000"/>
                    </a:xfrm>
                    <a:prstGeom prst="rect">
                      <a:avLst/>
                    </a:prstGeom>
                  </pic:spPr>
                </pic:pic>
              </a:graphicData>
            </a:graphic>
          </wp:inline>
        </w:drawing>
      </w:r>
    </w:p>
    <w:tbl>
      <w:tblPr>
        <w:tblStyle w:val="TableGrid"/>
        <w:tblW w:w="5000" w:type="pct"/>
        <w:tblLook w:val="04A0" w:firstRow="1" w:lastRow="0" w:firstColumn="1" w:lastColumn="0" w:noHBand="0" w:noVBand="1"/>
      </w:tblPr>
      <w:tblGrid>
        <w:gridCol w:w="6379"/>
        <w:gridCol w:w="1626"/>
        <w:gridCol w:w="1626"/>
      </w:tblGrid>
      <w:tr w:rsidR="00472151" w:rsidRPr="00C550D4" w14:paraId="6D23D1EF" w14:textId="77777777" w:rsidTr="00472151">
        <w:trPr>
          <w:cnfStyle w:val="100000000000" w:firstRow="1" w:lastRow="0" w:firstColumn="0" w:lastColumn="0" w:oddVBand="0" w:evenVBand="0" w:oddHBand="0" w:evenHBand="0" w:firstRowFirstColumn="0" w:firstRowLastColumn="0" w:lastRowFirstColumn="0" w:lastRowLastColumn="0"/>
        </w:trPr>
        <w:tc>
          <w:tcPr>
            <w:tcW w:w="3312" w:type="pct"/>
          </w:tcPr>
          <w:p w14:paraId="4635EFEE" w14:textId="77EC84C1" w:rsidR="00DE437A" w:rsidRPr="00C550D4" w:rsidRDefault="00DE437A" w:rsidP="00DE437A">
            <w:pPr>
              <w:keepNext/>
              <w:spacing w:before="10" w:after="10" w:line="228" w:lineRule="auto"/>
            </w:pPr>
            <w:r w:rsidRPr="00DE437A">
              <w:lastRenderedPageBreak/>
              <w:t xml:space="preserve">Asset Management Accountability Framework </w:t>
            </w:r>
            <w:r w:rsidRPr="00C550D4">
              <w:t>Mandatory Requirement</w:t>
            </w:r>
          </w:p>
        </w:tc>
        <w:tc>
          <w:tcPr>
            <w:tcW w:w="844" w:type="pct"/>
            <w:noWrap/>
          </w:tcPr>
          <w:p w14:paraId="1E425009" w14:textId="56ABF3E2" w:rsidR="00DE437A" w:rsidRPr="00C550D4" w:rsidRDefault="00DE437A" w:rsidP="00DE437A">
            <w:pPr>
              <w:keepNext/>
              <w:spacing w:before="10" w:after="10" w:line="228" w:lineRule="auto"/>
              <w:jc w:val="center"/>
            </w:pPr>
            <w:r>
              <w:t>Current Maturity</w:t>
            </w:r>
          </w:p>
        </w:tc>
        <w:tc>
          <w:tcPr>
            <w:tcW w:w="844" w:type="pct"/>
            <w:noWrap/>
          </w:tcPr>
          <w:p w14:paraId="71052330" w14:textId="593E4755" w:rsidR="00DE437A" w:rsidRPr="00C550D4" w:rsidRDefault="00DE437A" w:rsidP="00DE437A">
            <w:pPr>
              <w:keepNext/>
              <w:spacing w:before="10" w:after="10" w:line="228" w:lineRule="auto"/>
              <w:jc w:val="center"/>
            </w:pPr>
            <w:r>
              <w:t>Target Maturity</w:t>
            </w:r>
          </w:p>
        </w:tc>
      </w:tr>
      <w:tr w:rsidR="00472151" w:rsidRPr="00C550D4" w14:paraId="09A6B9AD" w14:textId="77777777" w:rsidTr="00472151">
        <w:tc>
          <w:tcPr>
            <w:tcW w:w="3312" w:type="pct"/>
          </w:tcPr>
          <w:p w14:paraId="1239B470" w14:textId="77777777" w:rsidR="00DE437A" w:rsidRPr="00C550D4" w:rsidRDefault="00DE437A" w:rsidP="00DE437A">
            <w:pPr>
              <w:keepNext/>
              <w:spacing w:before="10" w:after="10" w:line="228" w:lineRule="auto"/>
            </w:pPr>
            <w:r w:rsidRPr="00C550D4">
              <w:t>01. Leadership: Mandatory requirements application</w:t>
            </w:r>
          </w:p>
        </w:tc>
        <w:tc>
          <w:tcPr>
            <w:tcW w:w="844" w:type="pct"/>
            <w:noWrap/>
            <w:hideMark/>
          </w:tcPr>
          <w:p w14:paraId="4ACBF4D8" w14:textId="47DD5989" w:rsidR="00DE437A" w:rsidRPr="00C550D4" w:rsidRDefault="00DE437A" w:rsidP="00DE437A">
            <w:pPr>
              <w:keepNext/>
              <w:spacing w:before="10" w:after="10" w:line="228" w:lineRule="auto"/>
              <w:jc w:val="center"/>
            </w:pPr>
            <w:r w:rsidRPr="00C550D4">
              <w:t>4</w:t>
            </w:r>
          </w:p>
        </w:tc>
        <w:tc>
          <w:tcPr>
            <w:tcW w:w="844" w:type="pct"/>
            <w:noWrap/>
            <w:hideMark/>
          </w:tcPr>
          <w:p w14:paraId="0D7CD93D" w14:textId="6A03126A" w:rsidR="00DE437A" w:rsidRPr="00C550D4" w:rsidRDefault="00DE437A" w:rsidP="00DE437A">
            <w:pPr>
              <w:keepNext/>
              <w:spacing w:before="10" w:after="10" w:line="228" w:lineRule="auto"/>
              <w:jc w:val="center"/>
            </w:pPr>
            <w:r w:rsidRPr="00C550D4">
              <w:t>4</w:t>
            </w:r>
          </w:p>
        </w:tc>
      </w:tr>
      <w:tr w:rsidR="00472151" w:rsidRPr="00C550D4" w14:paraId="400F36FA" w14:textId="77777777" w:rsidTr="00472151">
        <w:tc>
          <w:tcPr>
            <w:tcW w:w="3312" w:type="pct"/>
          </w:tcPr>
          <w:p w14:paraId="5C2DE462" w14:textId="77777777" w:rsidR="00DE437A" w:rsidRPr="00C550D4" w:rsidRDefault="00DE437A" w:rsidP="00DE437A">
            <w:pPr>
              <w:keepNext/>
              <w:spacing w:before="10" w:after="10" w:line="228" w:lineRule="auto"/>
            </w:pPr>
            <w:r w:rsidRPr="00C550D4">
              <w:t>02. Leadership: Qualified &amp; skilled staff</w:t>
            </w:r>
          </w:p>
        </w:tc>
        <w:tc>
          <w:tcPr>
            <w:tcW w:w="844" w:type="pct"/>
            <w:noWrap/>
            <w:hideMark/>
          </w:tcPr>
          <w:p w14:paraId="679F68D4" w14:textId="11C0B87C" w:rsidR="00DE437A" w:rsidRPr="00C550D4" w:rsidRDefault="00DE437A" w:rsidP="00DE437A">
            <w:pPr>
              <w:keepNext/>
              <w:spacing w:before="10" w:after="10" w:line="228" w:lineRule="auto"/>
              <w:jc w:val="center"/>
            </w:pPr>
            <w:r w:rsidRPr="00C550D4">
              <w:t>4</w:t>
            </w:r>
          </w:p>
        </w:tc>
        <w:tc>
          <w:tcPr>
            <w:tcW w:w="844" w:type="pct"/>
            <w:noWrap/>
            <w:hideMark/>
          </w:tcPr>
          <w:p w14:paraId="69857610" w14:textId="65952542" w:rsidR="00DE437A" w:rsidRPr="00C550D4" w:rsidRDefault="00DE437A" w:rsidP="00DE437A">
            <w:pPr>
              <w:keepNext/>
              <w:spacing w:before="10" w:after="10" w:line="228" w:lineRule="auto"/>
              <w:jc w:val="center"/>
            </w:pPr>
            <w:r w:rsidRPr="00C550D4">
              <w:t>4</w:t>
            </w:r>
          </w:p>
        </w:tc>
      </w:tr>
      <w:tr w:rsidR="00472151" w:rsidRPr="00C550D4" w14:paraId="72560FC1" w14:textId="77777777" w:rsidTr="00472151">
        <w:tc>
          <w:tcPr>
            <w:tcW w:w="3312" w:type="pct"/>
          </w:tcPr>
          <w:p w14:paraId="22BCF5A1" w14:textId="77777777" w:rsidR="00DE437A" w:rsidRPr="00C550D4" w:rsidRDefault="00DE437A" w:rsidP="00DE437A">
            <w:pPr>
              <w:keepNext/>
              <w:spacing w:before="10" w:after="10" w:line="228" w:lineRule="auto"/>
            </w:pPr>
            <w:r w:rsidRPr="00C550D4">
              <w:t>03. Leadership: Outsourcing</w:t>
            </w:r>
          </w:p>
        </w:tc>
        <w:tc>
          <w:tcPr>
            <w:tcW w:w="844" w:type="pct"/>
            <w:noWrap/>
            <w:hideMark/>
          </w:tcPr>
          <w:p w14:paraId="4627EF0A" w14:textId="29722D1D" w:rsidR="00DE437A" w:rsidRPr="00C550D4" w:rsidRDefault="00DE437A" w:rsidP="00DE437A">
            <w:pPr>
              <w:keepNext/>
              <w:spacing w:before="10" w:after="10" w:line="228" w:lineRule="auto"/>
              <w:jc w:val="center"/>
            </w:pPr>
            <w:r w:rsidRPr="00C550D4">
              <w:t>3</w:t>
            </w:r>
          </w:p>
        </w:tc>
        <w:tc>
          <w:tcPr>
            <w:tcW w:w="844" w:type="pct"/>
            <w:noWrap/>
            <w:hideMark/>
          </w:tcPr>
          <w:p w14:paraId="050A2C67" w14:textId="3B2CFC71" w:rsidR="00DE437A" w:rsidRPr="00C550D4" w:rsidRDefault="00DE437A" w:rsidP="00DE437A">
            <w:pPr>
              <w:keepNext/>
              <w:spacing w:before="10" w:after="10" w:line="228" w:lineRule="auto"/>
              <w:jc w:val="center"/>
            </w:pPr>
            <w:r w:rsidRPr="00C550D4">
              <w:t>3</w:t>
            </w:r>
          </w:p>
        </w:tc>
      </w:tr>
      <w:tr w:rsidR="00472151" w:rsidRPr="00C550D4" w14:paraId="2B47BA1F" w14:textId="77777777" w:rsidTr="00472151">
        <w:tc>
          <w:tcPr>
            <w:tcW w:w="3312" w:type="pct"/>
          </w:tcPr>
          <w:p w14:paraId="6AA762FC" w14:textId="77777777" w:rsidR="00DE437A" w:rsidRPr="00C550D4" w:rsidRDefault="00DE437A" w:rsidP="00DE437A">
            <w:pPr>
              <w:spacing w:before="10" w:after="10" w:line="228" w:lineRule="auto"/>
            </w:pPr>
            <w:r w:rsidRPr="00C550D4">
              <w:t>04. Leadership: Governance Frameworks</w:t>
            </w:r>
          </w:p>
        </w:tc>
        <w:tc>
          <w:tcPr>
            <w:tcW w:w="844" w:type="pct"/>
            <w:noWrap/>
            <w:hideMark/>
          </w:tcPr>
          <w:p w14:paraId="328D51C3" w14:textId="1C3970A1" w:rsidR="00DE437A" w:rsidRPr="00C550D4" w:rsidRDefault="00DE437A" w:rsidP="00DE437A">
            <w:pPr>
              <w:spacing w:before="10" w:after="10" w:line="228" w:lineRule="auto"/>
              <w:jc w:val="center"/>
            </w:pPr>
            <w:r w:rsidRPr="00C550D4">
              <w:t>3</w:t>
            </w:r>
          </w:p>
        </w:tc>
        <w:tc>
          <w:tcPr>
            <w:tcW w:w="844" w:type="pct"/>
            <w:noWrap/>
            <w:hideMark/>
          </w:tcPr>
          <w:p w14:paraId="7286751C" w14:textId="77777777" w:rsidR="00DE437A" w:rsidRPr="00C550D4" w:rsidRDefault="00DE437A" w:rsidP="00DE437A">
            <w:pPr>
              <w:spacing w:before="10" w:after="10" w:line="228" w:lineRule="auto"/>
              <w:jc w:val="center"/>
            </w:pPr>
            <w:r w:rsidRPr="00C550D4">
              <w:t>3</w:t>
            </w:r>
          </w:p>
        </w:tc>
      </w:tr>
      <w:tr w:rsidR="00472151" w:rsidRPr="00C550D4" w14:paraId="42E1677C" w14:textId="77777777" w:rsidTr="00472151">
        <w:tc>
          <w:tcPr>
            <w:tcW w:w="3312" w:type="pct"/>
          </w:tcPr>
          <w:p w14:paraId="79BBEFFB" w14:textId="77777777" w:rsidR="00DE437A" w:rsidRPr="00C550D4" w:rsidRDefault="00DE437A" w:rsidP="00DE437A">
            <w:pPr>
              <w:spacing w:before="10" w:after="10" w:line="228" w:lineRule="auto"/>
            </w:pPr>
            <w:r w:rsidRPr="00C550D4">
              <w:t xml:space="preserve">05. Leadership: Government policy compliance </w:t>
            </w:r>
          </w:p>
        </w:tc>
        <w:tc>
          <w:tcPr>
            <w:tcW w:w="844" w:type="pct"/>
            <w:noWrap/>
            <w:hideMark/>
          </w:tcPr>
          <w:p w14:paraId="39F25D48" w14:textId="62A281B7" w:rsidR="00DE437A" w:rsidRPr="00C550D4" w:rsidRDefault="00DE437A" w:rsidP="00DE437A">
            <w:pPr>
              <w:spacing w:before="10" w:after="10" w:line="228" w:lineRule="auto"/>
              <w:jc w:val="center"/>
            </w:pPr>
            <w:r w:rsidRPr="00C550D4">
              <w:t>3</w:t>
            </w:r>
          </w:p>
        </w:tc>
        <w:tc>
          <w:tcPr>
            <w:tcW w:w="844" w:type="pct"/>
            <w:noWrap/>
            <w:hideMark/>
          </w:tcPr>
          <w:p w14:paraId="21F1589E" w14:textId="77777777" w:rsidR="00DE437A" w:rsidRPr="00C550D4" w:rsidRDefault="00DE437A" w:rsidP="00DE437A">
            <w:pPr>
              <w:spacing w:before="10" w:after="10" w:line="228" w:lineRule="auto"/>
              <w:jc w:val="center"/>
            </w:pPr>
            <w:r w:rsidRPr="00C550D4">
              <w:t>3</w:t>
            </w:r>
          </w:p>
        </w:tc>
      </w:tr>
      <w:tr w:rsidR="00472151" w:rsidRPr="00C550D4" w14:paraId="7D940A86" w14:textId="77777777" w:rsidTr="00472151">
        <w:tc>
          <w:tcPr>
            <w:tcW w:w="3312" w:type="pct"/>
          </w:tcPr>
          <w:p w14:paraId="5C4BE1D4" w14:textId="77777777" w:rsidR="00DE437A" w:rsidRPr="00C550D4" w:rsidRDefault="00DE437A" w:rsidP="00DE437A">
            <w:pPr>
              <w:spacing w:before="10" w:after="10" w:line="228" w:lineRule="auto"/>
            </w:pPr>
            <w:r w:rsidRPr="00C550D4">
              <w:t>06. Leadership: All asset lifecycle stages</w:t>
            </w:r>
          </w:p>
        </w:tc>
        <w:tc>
          <w:tcPr>
            <w:tcW w:w="844" w:type="pct"/>
            <w:noWrap/>
            <w:hideMark/>
          </w:tcPr>
          <w:p w14:paraId="66235D6D" w14:textId="0F573049" w:rsidR="00DE437A" w:rsidRPr="00C550D4" w:rsidRDefault="00DE437A" w:rsidP="00DE437A">
            <w:pPr>
              <w:spacing w:before="10" w:after="10" w:line="228" w:lineRule="auto"/>
              <w:jc w:val="center"/>
            </w:pPr>
            <w:r w:rsidRPr="00C550D4">
              <w:t>4</w:t>
            </w:r>
          </w:p>
        </w:tc>
        <w:tc>
          <w:tcPr>
            <w:tcW w:w="844" w:type="pct"/>
            <w:noWrap/>
            <w:hideMark/>
          </w:tcPr>
          <w:p w14:paraId="75C40F83" w14:textId="77777777" w:rsidR="00DE437A" w:rsidRPr="00C550D4" w:rsidRDefault="00DE437A" w:rsidP="00DE437A">
            <w:pPr>
              <w:spacing w:before="10" w:after="10" w:line="228" w:lineRule="auto"/>
              <w:jc w:val="center"/>
            </w:pPr>
            <w:r w:rsidRPr="00C550D4">
              <w:t>4</w:t>
            </w:r>
          </w:p>
        </w:tc>
      </w:tr>
      <w:tr w:rsidR="00472151" w:rsidRPr="00C550D4" w14:paraId="2A42BE2C" w14:textId="77777777" w:rsidTr="00472151">
        <w:tc>
          <w:tcPr>
            <w:tcW w:w="3312" w:type="pct"/>
          </w:tcPr>
          <w:p w14:paraId="3364B349" w14:textId="77777777" w:rsidR="00DE437A" w:rsidRPr="00C550D4" w:rsidRDefault="00DE437A" w:rsidP="00DE437A">
            <w:pPr>
              <w:spacing w:before="10" w:after="10" w:line="228" w:lineRule="auto"/>
            </w:pPr>
            <w:r w:rsidRPr="00C550D4">
              <w:t>07. Leadership: Authorisation &amp; delegations</w:t>
            </w:r>
          </w:p>
        </w:tc>
        <w:tc>
          <w:tcPr>
            <w:tcW w:w="844" w:type="pct"/>
            <w:noWrap/>
            <w:hideMark/>
          </w:tcPr>
          <w:p w14:paraId="393ED40F" w14:textId="1EE41C17" w:rsidR="00DE437A" w:rsidRPr="00C550D4" w:rsidRDefault="00DE437A" w:rsidP="00DE437A">
            <w:pPr>
              <w:spacing w:before="10" w:after="10" w:line="228" w:lineRule="auto"/>
              <w:jc w:val="center"/>
            </w:pPr>
            <w:r w:rsidRPr="00C550D4">
              <w:t>3</w:t>
            </w:r>
          </w:p>
        </w:tc>
        <w:tc>
          <w:tcPr>
            <w:tcW w:w="844" w:type="pct"/>
            <w:noWrap/>
            <w:hideMark/>
          </w:tcPr>
          <w:p w14:paraId="3A5A0370" w14:textId="77777777" w:rsidR="00DE437A" w:rsidRPr="00C550D4" w:rsidRDefault="00DE437A" w:rsidP="00DE437A">
            <w:pPr>
              <w:spacing w:before="10" w:after="10" w:line="228" w:lineRule="auto"/>
              <w:jc w:val="center"/>
            </w:pPr>
            <w:r w:rsidRPr="00C550D4">
              <w:t>3</w:t>
            </w:r>
          </w:p>
        </w:tc>
      </w:tr>
      <w:tr w:rsidR="00472151" w:rsidRPr="00C550D4" w14:paraId="30C73FCB" w14:textId="77777777" w:rsidTr="00472151">
        <w:tc>
          <w:tcPr>
            <w:tcW w:w="3312" w:type="pct"/>
          </w:tcPr>
          <w:p w14:paraId="5D8679B2" w14:textId="77777777" w:rsidR="00DE437A" w:rsidRPr="00C550D4" w:rsidRDefault="00DE437A" w:rsidP="00DE437A">
            <w:pPr>
              <w:spacing w:before="10" w:after="10" w:line="228" w:lineRule="auto"/>
            </w:pPr>
            <w:r w:rsidRPr="00C550D4">
              <w:t>08. Leadership: Monitoring AMAF compliance</w:t>
            </w:r>
          </w:p>
        </w:tc>
        <w:tc>
          <w:tcPr>
            <w:tcW w:w="844" w:type="pct"/>
            <w:noWrap/>
            <w:hideMark/>
          </w:tcPr>
          <w:p w14:paraId="0AF78818" w14:textId="30166158" w:rsidR="00DE437A" w:rsidRPr="00C550D4" w:rsidRDefault="00DE437A" w:rsidP="00DE437A">
            <w:pPr>
              <w:spacing w:before="10" w:after="10" w:line="228" w:lineRule="auto"/>
              <w:jc w:val="center"/>
            </w:pPr>
            <w:r w:rsidRPr="00C550D4">
              <w:t>3</w:t>
            </w:r>
          </w:p>
        </w:tc>
        <w:tc>
          <w:tcPr>
            <w:tcW w:w="844" w:type="pct"/>
            <w:noWrap/>
            <w:hideMark/>
          </w:tcPr>
          <w:p w14:paraId="552CBFCF" w14:textId="77777777" w:rsidR="00DE437A" w:rsidRPr="00C550D4" w:rsidRDefault="00DE437A" w:rsidP="00DE437A">
            <w:pPr>
              <w:spacing w:before="10" w:after="10" w:line="228" w:lineRule="auto"/>
              <w:jc w:val="center"/>
            </w:pPr>
            <w:r w:rsidRPr="00C550D4">
              <w:t>3</w:t>
            </w:r>
          </w:p>
        </w:tc>
      </w:tr>
      <w:tr w:rsidR="00472151" w:rsidRPr="00C550D4" w14:paraId="0DFA01CC" w14:textId="77777777" w:rsidTr="00472151">
        <w:tc>
          <w:tcPr>
            <w:tcW w:w="3312" w:type="pct"/>
          </w:tcPr>
          <w:p w14:paraId="66E70F2F" w14:textId="77777777" w:rsidR="00DE437A" w:rsidRPr="00C550D4" w:rsidRDefault="00DE437A" w:rsidP="00DE437A">
            <w:pPr>
              <w:spacing w:before="10" w:after="10" w:line="228" w:lineRule="auto"/>
            </w:pPr>
            <w:r w:rsidRPr="00C550D4">
              <w:t>09. Leadership: Decision making documentation</w:t>
            </w:r>
          </w:p>
        </w:tc>
        <w:tc>
          <w:tcPr>
            <w:tcW w:w="844" w:type="pct"/>
            <w:noWrap/>
            <w:hideMark/>
          </w:tcPr>
          <w:p w14:paraId="493E6001" w14:textId="65A12F47" w:rsidR="00DE437A" w:rsidRPr="00C550D4" w:rsidRDefault="00DE437A" w:rsidP="00DE437A">
            <w:pPr>
              <w:spacing w:before="10" w:after="10" w:line="228" w:lineRule="auto"/>
              <w:jc w:val="center"/>
            </w:pPr>
            <w:r w:rsidRPr="00C550D4">
              <w:t>3</w:t>
            </w:r>
          </w:p>
        </w:tc>
        <w:tc>
          <w:tcPr>
            <w:tcW w:w="844" w:type="pct"/>
            <w:noWrap/>
            <w:hideMark/>
          </w:tcPr>
          <w:p w14:paraId="78F5EFB6" w14:textId="77777777" w:rsidR="00DE437A" w:rsidRPr="00C550D4" w:rsidRDefault="00DE437A" w:rsidP="00DE437A">
            <w:pPr>
              <w:spacing w:before="10" w:after="10" w:line="228" w:lineRule="auto"/>
              <w:jc w:val="center"/>
            </w:pPr>
            <w:r w:rsidRPr="00C550D4">
              <w:t>3</w:t>
            </w:r>
          </w:p>
        </w:tc>
      </w:tr>
      <w:tr w:rsidR="00472151" w:rsidRPr="00C550D4" w14:paraId="0EF71EFC" w14:textId="77777777" w:rsidTr="00472151">
        <w:tc>
          <w:tcPr>
            <w:tcW w:w="3312" w:type="pct"/>
          </w:tcPr>
          <w:p w14:paraId="4B239925" w14:textId="77777777" w:rsidR="00DE437A" w:rsidRPr="00C550D4" w:rsidRDefault="00DE437A" w:rsidP="00DE437A">
            <w:pPr>
              <w:spacing w:before="10" w:after="10" w:line="228" w:lineRule="auto"/>
            </w:pPr>
            <w:r w:rsidRPr="00C550D4">
              <w:t>10. Leadership: Outsourcing processes</w:t>
            </w:r>
          </w:p>
        </w:tc>
        <w:tc>
          <w:tcPr>
            <w:tcW w:w="844" w:type="pct"/>
            <w:noWrap/>
            <w:hideMark/>
          </w:tcPr>
          <w:p w14:paraId="2FB6F676" w14:textId="739FAD7A" w:rsidR="00DE437A" w:rsidRPr="00C550D4" w:rsidRDefault="00DE437A" w:rsidP="00DE437A">
            <w:pPr>
              <w:spacing w:before="10" w:after="10" w:line="228" w:lineRule="auto"/>
              <w:jc w:val="center"/>
            </w:pPr>
            <w:r w:rsidRPr="00C550D4">
              <w:t>4</w:t>
            </w:r>
          </w:p>
        </w:tc>
        <w:tc>
          <w:tcPr>
            <w:tcW w:w="844" w:type="pct"/>
            <w:noWrap/>
            <w:hideMark/>
          </w:tcPr>
          <w:p w14:paraId="1919D46D" w14:textId="77777777" w:rsidR="00DE437A" w:rsidRPr="00C550D4" w:rsidRDefault="00DE437A" w:rsidP="00DE437A">
            <w:pPr>
              <w:spacing w:before="10" w:after="10" w:line="228" w:lineRule="auto"/>
              <w:jc w:val="center"/>
            </w:pPr>
            <w:r w:rsidRPr="00C550D4">
              <w:t>4</w:t>
            </w:r>
          </w:p>
        </w:tc>
      </w:tr>
      <w:tr w:rsidR="00472151" w:rsidRPr="00C550D4" w14:paraId="6251B166" w14:textId="77777777" w:rsidTr="00472151">
        <w:tc>
          <w:tcPr>
            <w:tcW w:w="3312" w:type="pct"/>
          </w:tcPr>
          <w:p w14:paraId="396C64AB" w14:textId="77777777" w:rsidR="00DE437A" w:rsidRPr="00C550D4" w:rsidRDefault="00DE437A" w:rsidP="00DE437A">
            <w:pPr>
              <w:spacing w:before="10" w:after="10" w:line="228" w:lineRule="auto"/>
            </w:pPr>
            <w:r w:rsidRPr="00C550D4">
              <w:t>11. Leadership: Auditing for attestation</w:t>
            </w:r>
          </w:p>
        </w:tc>
        <w:tc>
          <w:tcPr>
            <w:tcW w:w="844" w:type="pct"/>
            <w:noWrap/>
            <w:hideMark/>
          </w:tcPr>
          <w:p w14:paraId="0E5EB3AA" w14:textId="4FCF16BB" w:rsidR="00DE437A" w:rsidRPr="00C550D4" w:rsidRDefault="00DE437A" w:rsidP="00DE437A">
            <w:pPr>
              <w:spacing w:before="10" w:after="10" w:line="228" w:lineRule="auto"/>
              <w:jc w:val="center"/>
            </w:pPr>
            <w:r w:rsidRPr="00C550D4">
              <w:t>4</w:t>
            </w:r>
          </w:p>
        </w:tc>
        <w:tc>
          <w:tcPr>
            <w:tcW w:w="844" w:type="pct"/>
            <w:noWrap/>
            <w:hideMark/>
          </w:tcPr>
          <w:p w14:paraId="621F356E" w14:textId="77777777" w:rsidR="00DE437A" w:rsidRPr="00C550D4" w:rsidRDefault="00DE437A" w:rsidP="00DE437A">
            <w:pPr>
              <w:spacing w:before="10" w:after="10" w:line="228" w:lineRule="auto"/>
              <w:jc w:val="center"/>
            </w:pPr>
            <w:r w:rsidRPr="00C550D4">
              <w:t>4</w:t>
            </w:r>
          </w:p>
        </w:tc>
      </w:tr>
      <w:tr w:rsidR="00472151" w:rsidRPr="00C550D4" w14:paraId="61C78F0E" w14:textId="77777777" w:rsidTr="00472151">
        <w:tc>
          <w:tcPr>
            <w:tcW w:w="3312" w:type="pct"/>
          </w:tcPr>
          <w:p w14:paraId="730F7A3B" w14:textId="77777777" w:rsidR="00DE437A" w:rsidRPr="00C550D4" w:rsidRDefault="00DE437A" w:rsidP="00DE437A">
            <w:pPr>
              <w:spacing w:before="10" w:after="10" w:line="228" w:lineRule="auto"/>
            </w:pPr>
            <w:r w:rsidRPr="00C550D4">
              <w:t>12. Leadership: Performance standards &amp; targets</w:t>
            </w:r>
          </w:p>
        </w:tc>
        <w:tc>
          <w:tcPr>
            <w:tcW w:w="844" w:type="pct"/>
            <w:noWrap/>
            <w:hideMark/>
          </w:tcPr>
          <w:p w14:paraId="33D12404" w14:textId="56A7F60C" w:rsidR="00DE437A" w:rsidRPr="00C550D4" w:rsidRDefault="00DE437A" w:rsidP="00DE437A">
            <w:pPr>
              <w:spacing w:before="10" w:after="10" w:line="228" w:lineRule="auto"/>
              <w:jc w:val="center"/>
            </w:pPr>
            <w:r w:rsidRPr="00C550D4">
              <w:t>3</w:t>
            </w:r>
          </w:p>
        </w:tc>
        <w:tc>
          <w:tcPr>
            <w:tcW w:w="844" w:type="pct"/>
            <w:noWrap/>
            <w:hideMark/>
          </w:tcPr>
          <w:p w14:paraId="795F8D95" w14:textId="77777777" w:rsidR="00DE437A" w:rsidRPr="00C550D4" w:rsidRDefault="00DE437A" w:rsidP="00DE437A">
            <w:pPr>
              <w:spacing w:before="10" w:after="10" w:line="228" w:lineRule="auto"/>
              <w:jc w:val="center"/>
            </w:pPr>
            <w:r w:rsidRPr="00C550D4">
              <w:t>3</w:t>
            </w:r>
          </w:p>
        </w:tc>
      </w:tr>
      <w:tr w:rsidR="00472151" w:rsidRPr="00C550D4" w14:paraId="2A47DE10" w14:textId="77777777" w:rsidTr="00472151">
        <w:tc>
          <w:tcPr>
            <w:tcW w:w="3312" w:type="pct"/>
          </w:tcPr>
          <w:p w14:paraId="3FC7E4BA" w14:textId="77777777" w:rsidR="00DE437A" w:rsidRPr="00C550D4" w:rsidRDefault="00DE437A" w:rsidP="00DE437A">
            <w:pPr>
              <w:spacing w:before="10" w:after="10" w:line="228" w:lineRule="auto"/>
            </w:pPr>
            <w:r w:rsidRPr="00C550D4">
              <w:t>13. Leadership: Performance &amp; utilisation review</w:t>
            </w:r>
          </w:p>
        </w:tc>
        <w:tc>
          <w:tcPr>
            <w:tcW w:w="844" w:type="pct"/>
            <w:noWrap/>
            <w:hideMark/>
          </w:tcPr>
          <w:p w14:paraId="729E88D6" w14:textId="04971CB4" w:rsidR="00DE437A" w:rsidRPr="00C550D4" w:rsidRDefault="00DE437A" w:rsidP="00DE437A">
            <w:pPr>
              <w:spacing w:before="10" w:after="10" w:line="228" w:lineRule="auto"/>
              <w:jc w:val="center"/>
            </w:pPr>
            <w:r w:rsidRPr="00C550D4">
              <w:t>4</w:t>
            </w:r>
          </w:p>
        </w:tc>
        <w:tc>
          <w:tcPr>
            <w:tcW w:w="844" w:type="pct"/>
            <w:noWrap/>
            <w:hideMark/>
          </w:tcPr>
          <w:p w14:paraId="46F46EB5" w14:textId="77777777" w:rsidR="00DE437A" w:rsidRPr="00C550D4" w:rsidRDefault="00DE437A" w:rsidP="00DE437A">
            <w:pPr>
              <w:spacing w:before="10" w:after="10" w:line="228" w:lineRule="auto"/>
              <w:jc w:val="center"/>
            </w:pPr>
            <w:r w:rsidRPr="00C550D4">
              <w:t>4</w:t>
            </w:r>
          </w:p>
        </w:tc>
      </w:tr>
      <w:tr w:rsidR="00472151" w:rsidRPr="00C550D4" w14:paraId="06703573" w14:textId="77777777" w:rsidTr="00472151">
        <w:tc>
          <w:tcPr>
            <w:tcW w:w="3312" w:type="pct"/>
          </w:tcPr>
          <w:p w14:paraId="221ECA28" w14:textId="77777777" w:rsidR="00DE437A" w:rsidRPr="00C550D4" w:rsidRDefault="00DE437A" w:rsidP="00DE437A">
            <w:pPr>
              <w:spacing w:before="10" w:after="10" w:line="228" w:lineRule="auto"/>
            </w:pPr>
            <w:r w:rsidRPr="00C550D4">
              <w:t>14. Leadership: Asset performance monitoring</w:t>
            </w:r>
          </w:p>
        </w:tc>
        <w:tc>
          <w:tcPr>
            <w:tcW w:w="844" w:type="pct"/>
            <w:noWrap/>
            <w:hideMark/>
          </w:tcPr>
          <w:p w14:paraId="123E18CE" w14:textId="3434DFE9" w:rsidR="00DE437A" w:rsidRPr="00C550D4" w:rsidRDefault="00DE437A" w:rsidP="00DE437A">
            <w:pPr>
              <w:spacing w:before="10" w:after="10" w:line="228" w:lineRule="auto"/>
              <w:jc w:val="center"/>
            </w:pPr>
            <w:r w:rsidRPr="00C550D4">
              <w:t>4</w:t>
            </w:r>
          </w:p>
        </w:tc>
        <w:tc>
          <w:tcPr>
            <w:tcW w:w="844" w:type="pct"/>
            <w:noWrap/>
            <w:hideMark/>
          </w:tcPr>
          <w:p w14:paraId="734A5A1E" w14:textId="77777777" w:rsidR="00DE437A" w:rsidRPr="00C550D4" w:rsidRDefault="00DE437A" w:rsidP="00DE437A">
            <w:pPr>
              <w:spacing w:before="10" w:after="10" w:line="228" w:lineRule="auto"/>
              <w:jc w:val="center"/>
            </w:pPr>
            <w:r w:rsidRPr="00C550D4">
              <w:t>4</w:t>
            </w:r>
          </w:p>
        </w:tc>
      </w:tr>
      <w:tr w:rsidR="00472151" w:rsidRPr="00C550D4" w14:paraId="29AAF688" w14:textId="77777777" w:rsidTr="00472151">
        <w:tc>
          <w:tcPr>
            <w:tcW w:w="3312" w:type="pct"/>
          </w:tcPr>
          <w:p w14:paraId="19BF3CB2" w14:textId="77777777" w:rsidR="00DE437A" w:rsidRPr="00C550D4" w:rsidRDefault="00DE437A" w:rsidP="00DE437A">
            <w:pPr>
              <w:spacing w:before="10" w:after="10" w:line="228" w:lineRule="auto"/>
            </w:pPr>
            <w:r w:rsidRPr="00C550D4">
              <w:t>15. Leadership: Monitoring systems &amp; processes</w:t>
            </w:r>
          </w:p>
        </w:tc>
        <w:tc>
          <w:tcPr>
            <w:tcW w:w="844" w:type="pct"/>
            <w:noWrap/>
            <w:hideMark/>
          </w:tcPr>
          <w:p w14:paraId="588829D1" w14:textId="6B7EC229" w:rsidR="00DE437A" w:rsidRPr="00C550D4" w:rsidRDefault="00DE437A" w:rsidP="00DE437A">
            <w:pPr>
              <w:spacing w:before="10" w:after="10" w:line="228" w:lineRule="auto"/>
              <w:jc w:val="center"/>
            </w:pPr>
            <w:r w:rsidRPr="00C550D4">
              <w:t>3</w:t>
            </w:r>
          </w:p>
        </w:tc>
        <w:tc>
          <w:tcPr>
            <w:tcW w:w="844" w:type="pct"/>
            <w:noWrap/>
            <w:hideMark/>
          </w:tcPr>
          <w:p w14:paraId="7AB916C1" w14:textId="77777777" w:rsidR="00DE437A" w:rsidRPr="00C550D4" w:rsidRDefault="00DE437A" w:rsidP="00DE437A">
            <w:pPr>
              <w:spacing w:before="10" w:after="10" w:line="228" w:lineRule="auto"/>
              <w:jc w:val="center"/>
            </w:pPr>
            <w:r w:rsidRPr="00C550D4">
              <w:t>3</w:t>
            </w:r>
          </w:p>
        </w:tc>
      </w:tr>
      <w:tr w:rsidR="00472151" w:rsidRPr="00C550D4" w14:paraId="32C5F361" w14:textId="77777777" w:rsidTr="00472151">
        <w:tc>
          <w:tcPr>
            <w:tcW w:w="3312" w:type="pct"/>
          </w:tcPr>
          <w:p w14:paraId="1EC0822B" w14:textId="77777777" w:rsidR="00DE437A" w:rsidRPr="00C550D4" w:rsidRDefault="00DE437A" w:rsidP="00DE437A">
            <w:pPr>
              <w:spacing w:before="10" w:after="10" w:line="228" w:lineRule="auto"/>
            </w:pPr>
            <w:r w:rsidRPr="00C550D4">
              <w:t>16. Leadership: Maturity Self Assessment</w:t>
            </w:r>
          </w:p>
        </w:tc>
        <w:tc>
          <w:tcPr>
            <w:tcW w:w="844" w:type="pct"/>
            <w:noWrap/>
            <w:hideMark/>
          </w:tcPr>
          <w:p w14:paraId="5A4E7F64" w14:textId="78EB9AE6" w:rsidR="00DE437A" w:rsidRPr="00C550D4" w:rsidRDefault="00DE437A" w:rsidP="00DE437A">
            <w:pPr>
              <w:spacing w:before="10" w:after="10" w:line="228" w:lineRule="auto"/>
              <w:jc w:val="center"/>
            </w:pPr>
            <w:r w:rsidRPr="00C550D4">
              <w:t>3</w:t>
            </w:r>
          </w:p>
        </w:tc>
        <w:tc>
          <w:tcPr>
            <w:tcW w:w="844" w:type="pct"/>
            <w:noWrap/>
            <w:hideMark/>
          </w:tcPr>
          <w:p w14:paraId="1079FC05" w14:textId="77777777" w:rsidR="00DE437A" w:rsidRPr="00C550D4" w:rsidRDefault="00DE437A" w:rsidP="00DE437A">
            <w:pPr>
              <w:spacing w:before="10" w:after="10" w:line="228" w:lineRule="auto"/>
              <w:jc w:val="center"/>
            </w:pPr>
            <w:r w:rsidRPr="00C550D4">
              <w:t>3</w:t>
            </w:r>
          </w:p>
        </w:tc>
      </w:tr>
      <w:tr w:rsidR="00472151" w:rsidRPr="00C550D4" w14:paraId="36B0E400" w14:textId="77777777" w:rsidTr="00472151">
        <w:tc>
          <w:tcPr>
            <w:tcW w:w="3312" w:type="pct"/>
          </w:tcPr>
          <w:p w14:paraId="6F16A67A" w14:textId="77777777" w:rsidR="00DE437A" w:rsidRPr="00C550D4" w:rsidRDefault="00DE437A" w:rsidP="00DE437A">
            <w:pPr>
              <w:spacing w:before="10" w:after="10" w:line="228" w:lineRule="auto"/>
            </w:pPr>
            <w:r w:rsidRPr="00C550D4">
              <w:t>17. Leadership: Information provision to Government</w:t>
            </w:r>
          </w:p>
        </w:tc>
        <w:tc>
          <w:tcPr>
            <w:tcW w:w="844" w:type="pct"/>
            <w:noWrap/>
            <w:hideMark/>
          </w:tcPr>
          <w:p w14:paraId="52FD9925" w14:textId="01A25B13" w:rsidR="00DE437A" w:rsidRPr="00C550D4" w:rsidRDefault="00DE437A" w:rsidP="00DE437A">
            <w:pPr>
              <w:spacing w:before="10" w:after="10" w:line="228" w:lineRule="auto"/>
              <w:jc w:val="center"/>
            </w:pPr>
            <w:r w:rsidRPr="00C550D4">
              <w:t>3</w:t>
            </w:r>
          </w:p>
        </w:tc>
        <w:tc>
          <w:tcPr>
            <w:tcW w:w="844" w:type="pct"/>
            <w:noWrap/>
            <w:hideMark/>
          </w:tcPr>
          <w:p w14:paraId="65E8FFF9" w14:textId="77777777" w:rsidR="00DE437A" w:rsidRPr="00C550D4" w:rsidRDefault="00DE437A" w:rsidP="00DE437A">
            <w:pPr>
              <w:spacing w:before="10" w:after="10" w:line="228" w:lineRule="auto"/>
              <w:jc w:val="center"/>
            </w:pPr>
            <w:r w:rsidRPr="00C550D4">
              <w:t>3</w:t>
            </w:r>
          </w:p>
        </w:tc>
      </w:tr>
      <w:tr w:rsidR="00472151" w:rsidRPr="00C550D4" w14:paraId="312466A0" w14:textId="77777777" w:rsidTr="00472151">
        <w:tc>
          <w:tcPr>
            <w:tcW w:w="3312" w:type="pct"/>
          </w:tcPr>
          <w:p w14:paraId="3B27A719" w14:textId="77777777" w:rsidR="00DE437A" w:rsidRPr="00C550D4" w:rsidRDefault="00DE437A" w:rsidP="00DE437A">
            <w:pPr>
              <w:spacing w:before="10" w:after="10" w:line="228" w:lineRule="auto"/>
            </w:pPr>
            <w:r w:rsidRPr="00C550D4">
              <w:t>18. Leadership: Performance reviews &amp; process changes</w:t>
            </w:r>
          </w:p>
        </w:tc>
        <w:tc>
          <w:tcPr>
            <w:tcW w:w="844" w:type="pct"/>
            <w:noWrap/>
            <w:hideMark/>
          </w:tcPr>
          <w:p w14:paraId="7B422E6A" w14:textId="4C8CA292" w:rsidR="00DE437A" w:rsidRPr="00C550D4" w:rsidRDefault="00DE437A" w:rsidP="00DE437A">
            <w:pPr>
              <w:spacing w:before="10" w:after="10" w:line="228" w:lineRule="auto"/>
              <w:jc w:val="center"/>
            </w:pPr>
            <w:r w:rsidRPr="00C550D4">
              <w:t>4</w:t>
            </w:r>
          </w:p>
        </w:tc>
        <w:tc>
          <w:tcPr>
            <w:tcW w:w="844" w:type="pct"/>
            <w:noWrap/>
            <w:hideMark/>
          </w:tcPr>
          <w:p w14:paraId="34FB8B86" w14:textId="77777777" w:rsidR="00DE437A" w:rsidRPr="00C550D4" w:rsidRDefault="00DE437A" w:rsidP="00DE437A">
            <w:pPr>
              <w:spacing w:before="10" w:after="10" w:line="228" w:lineRule="auto"/>
              <w:jc w:val="center"/>
            </w:pPr>
            <w:r w:rsidRPr="00C550D4">
              <w:t>4</w:t>
            </w:r>
          </w:p>
        </w:tc>
      </w:tr>
      <w:tr w:rsidR="00472151" w:rsidRPr="00C550D4" w14:paraId="7074D554" w14:textId="77777777" w:rsidTr="00472151">
        <w:tc>
          <w:tcPr>
            <w:tcW w:w="3312" w:type="pct"/>
          </w:tcPr>
          <w:p w14:paraId="5C81E4E3" w14:textId="77777777" w:rsidR="00DE437A" w:rsidRPr="00C550D4" w:rsidRDefault="00DE437A" w:rsidP="00DE437A">
            <w:pPr>
              <w:spacing w:before="10" w:after="10" w:line="228" w:lineRule="auto"/>
            </w:pPr>
            <w:r w:rsidRPr="00C550D4">
              <w:t>19. Leadership: Risk management strategies &amp; processes</w:t>
            </w:r>
          </w:p>
        </w:tc>
        <w:tc>
          <w:tcPr>
            <w:tcW w:w="844" w:type="pct"/>
            <w:noWrap/>
            <w:hideMark/>
          </w:tcPr>
          <w:p w14:paraId="7E36AD5B" w14:textId="4A459D7F" w:rsidR="00DE437A" w:rsidRPr="00C550D4" w:rsidRDefault="00DE437A" w:rsidP="00DE437A">
            <w:pPr>
              <w:spacing w:before="10" w:after="10" w:line="228" w:lineRule="auto"/>
              <w:jc w:val="center"/>
            </w:pPr>
            <w:r w:rsidRPr="00C550D4">
              <w:t>4</w:t>
            </w:r>
          </w:p>
        </w:tc>
        <w:tc>
          <w:tcPr>
            <w:tcW w:w="844" w:type="pct"/>
            <w:noWrap/>
            <w:hideMark/>
          </w:tcPr>
          <w:p w14:paraId="12A5748C" w14:textId="77777777" w:rsidR="00DE437A" w:rsidRPr="00C550D4" w:rsidRDefault="00DE437A" w:rsidP="00DE437A">
            <w:pPr>
              <w:spacing w:before="10" w:after="10" w:line="228" w:lineRule="auto"/>
              <w:jc w:val="center"/>
            </w:pPr>
            <w:r w:rsidRPr="00C550D4">
              <w:t>4</w:t>
            </w:r>
          </w:p>
        </w:tc>
      </w:tr>
      <w:tr w:rsidR="00472151" w:rsidRPr="00C550D4" w14:paraId="5BC31B73" w14:textId="77777777" w:rsidTr="00472151">
        <w:tc>
          <w:tcPr>
            <w:tcW w:w="3312" w:type="pct"/>
          </w:tcPr>
          <w:p w14:paraId="4D28F9BE" w14:textId="77777777" w:rsidR="00DE437A" w:rsidRPr="00C550D4" w:rsidRDefault="00DE437A" w:rsidP="00DE437A">
            <w:pPr>
              <w:spacing w:before="10" w:after="10" w:line="228" w:lineRule="auto"/>
            </w:pPr>
            <w:r w:rsidRPr="00C550D4">
              <w:t>20. Leadership: Asset Management Strategy</w:t>
            </w:r>
          </w:p>
        </w:tc>
        <w:tc>
          <w:tcPr>
            <w:tcW w:w="844" w:type="pct"/>
            <w:noWrap/>
            <w:hideMark/>
          </w:tcPr>
          <w:p w14:paraId="3801BC2D" w14:textId="6BB7EA00" w:rsidR="00DE437A" w:rsidRPr="00C550D4" w:rsidRDefault="00DE437A" w:rsidP="00DE437A">
            <w:pPr>
              <w:spacing w:before="10" w:after="10" w:line="228" w:lineRule="auto"/>
              <w:jc w:val="center"/>
            </w:pPr>
            <w:r w:rsidRPr="00C550D4">
              <w:t>2</w:t>
            </w:r>
          </w:p>
        </w:tc>
        <w:tc>
          <w:tcPr>
            <w:tcW w:w="844" w:type="pct"/>
            <w:noWrap/>
            <w:hideMark/>
          </w:tcPr>
          <w:p w14:paraId="359CCF22" w14:textId="77777777" w:rsidR="00DE437A" w:rsidRPr="00C550D4" w:rsidRDefault="00DE437A" w:rsidP="00DE437A">
            <w:pPr>
              <w:spacing w:before="10" w:after="10" w:line="228" w:lineRule="auto"/>
              <w:jc w:val="center"/>
            </w:pPr>
            <w:r w:rsidRPr="00C550D4">
              <w:t>3</w:t>
            </w:r>
          </w:p>
        </w:tc>
      </w:tr>
      <w:tr w:rsidR="00472151" w:rsidRPr="00C550D4" w14:paraId="078F04BC" w14:textId="77777777" w:rsidTr="00472151">
        <w:tc>
          <w:tcPr>
            <w:tcW w:w="3312" w:type="pct"/>
          </w:tcPr>
          <w:p w14:paraId="6700EB48" w14:textId="77777777" w:rsidR="00DE437A" w:rsidRPr="00C550D4" w:rsidRDefault="00DE437A" w:rsidP="00DE437A">
            <w:pPr>
              <w:spacing w:before="10" w:after="10" w:line="228" w:lineRule="auto"/>
            </w:pPr>
            <w:r w:rsidRPr="00C550D4">
              <w:t>21. Leadership: Supporting service delivery objectives</w:t>
            </w:r>
          </w:p>
        </w:tc>
        <w:tc>
          <w:tcPr>
            <w:tcW w:w="844" w:type="pct"/>
            <w:noWrap/>
            <w:hideMark/>
          </w:tcPr>
          <w:p w14:paraId="294F2790" w14:textId="0998EC2D" w:rsidR="00DE437A" w:rsidRPr="00C550D4" w:rsidRDefault="00DE437A" w:rsidP="00DE437A">
            <w:pPr>
              <w:spacing w:before="10" w:after="10" w:line="228" w:lineRule="auto"/>
              <w:jc w:val="center"/>
            </w:pPr>
            <w:r w:rsidRPr="00C550D4">
              <w:t>3</w:t>
            </w:r>
          </w:p>
        </w:tc>
        <w:tc>
          <w:tcPr>
            <w:tcW w:w="844" w:type="pct"/>
            <w:noWrap/>
            <w:hideMark/>
          </w:tcPr>
          <w:p w14:paraId="5CAD8332" w14:textId="77777777" w:rsidR="00DE437A" w:rsidRPr="00C550D4" w:rsidRDefault="00DE437A" w:rsidP="00DE437A">
            <w:pPr>
              <w:spacing w:before="10" w:after="10" w:line="228" w:lineRule="auto"/>
              <w:jc w:val="center"/>
            </w:pPr>
            <w:r w:rsidRPr="00C550D4">
              <w:t>3</w:t>
            </w:r>
          </w:p>
        </w:tc>
      </w:tr>
      <w:tr w:rsidR="00472151" w:rsidRPr="00C550D4" w14:paraId="4902CE86" w14:textId="77777777" w:rsidTr="00472151">
        <w:tc>
          <w:tcPr>
            <w:tcW w:w="3312" w:type="pct"/>
          </w:tcPr>
          <w:p w14:paraId="14B56589" w14:textId="77777777" w:rsidR="00DE437A" w:rsidRPr="00C550D4" w:rsidRDefault="00DE437A" w:rsidP="00DE437A">
            <w:pPr>
              <w:spacing w:before="10" w:after="10" w:line="228" w:lineRule="auto"/>
            </w:pPr>
            <w:r w:rsidRPr="00C550D4">
              <w:t>22. Planning: Asset risk management planning</w:t>
            </w:r>
          </w:p>
        </w:tc>
        <w:tc>
          <w:tcPr>
            <w:tcW w:w="844" w:type="pct"/>
            <w:noWrap/>
            <w:hideMark/>
          </w:tcPr>
          <w:p w14:paraId="0E04E5F4" w14:textId="4AA93CA9" w:rsidR="00DE437A" w:rsidRPr="00C550D4" w:rsidRDefault="00DE437A" w:rsidP="00DE437A">
            <w:pPr>
              <w:spacing w:before="10" w:after="10" w:line="228" w:lineRule="auto"/>
              <w:jc w:val="center"/>
            </w:pPr>
            <w:r w:rsidRPr="00C550D4">
              <w:t>4</w:t>
            </w:r>
          </w:p>
        </w:tc>
        <w:tc>
          <w:tcPr>
            <w:tcW w:w="844" w:type="pct"/>
            <w:noWrap/>
            <w:hideMark/>
          </w:tcPr>
          <w:p w14:paraId="6CF6896B" w14:textId="77777777" w:rsidR="00DE437A" w:rsidRPr="00C550D4" w:rsidRDefault="00DE437A" w:rsidP="00DE437A">
            <w:pPr>
              <w:spacing w:before="10" w:after="10" w:line="228" w:lineRule="auto"/>
              <w:jc w:val="center"/>
            </w:pPr>
            <w:r w:rsidRPr="00C550D4">
              <w:t>4</w:t>
            </w:r>
          </w:p>
        </w:tc>
      </w:tr>
      <w:tr w:rsidR="00472151" w:rsidRPr="00C550D4" w14:paraId="1B798DB4" w14:textId="77777777" w:rsidTr="00472151">
        <w:tc>
          <w:tcPr>
            <w:tcW w:w="3312" w:type="pct"/>
          </w:tcPr>
          <w:p w14:paraId="0BB9BFE0" w14:textId="77777777" w:rsidR="00DE437A" w:rsidRPr="00C550D4" w:rsidRDefault="00DE437A" w:rsidP="00DE437A">
            <w:pPr>
              <w:spacing w:before="10" w:after="10" w:line="228" w:lineRule="auto"/>
            </w:pPr>
            <w:r w:rsidRPr="00C550D4">
              <w:t>23. Planning: Risk management effectiveness</w:t>
            </w:r>
          </w:p>
        </w:tc>
        <w:tc>
          <w:tcPr>
            <w:tcW w:w="844" w:type="pct"/>
            <w:noWrap/>
            <w:hideMark/>
          </w:tcPr>
          <w:p w14:paraId="7002BC01" w14:textId="5988EFB7" w:rsidR="00DE437A" w:rsidRPr="00C550D4" w:rsidRDefault="00DE437A" w:rsidP="00DE437A">
            <w:pPr>
              <w:spacing w:before="10" w:after="10" w:line="228" w:lineRule="auto"/>
              <w:jc w:val="center"/>
            </w:pPr>
            <w:r w:rsidRPr="00C550D4">
              <w:t>4</w:t>
            </w:r>
          </w:p>
        </w:tc>
        <w:tc>
          <w:tcPr>
            <w:tcW w:w="844" w:type="pct"/>
            <w:noWrap/>
            <w:hideMark/>
          </w:tcPr>
          <w:p w14:paraId="33F36514" w14:textId="77777777" w:rsidR="00DE437A" w:rsidRPr="00C550D4" w:rsidRDefault="00DE437A" w:rsidP="00DE437A">
            <w:pPr>
              <w:spacing w:before="10" w:after="10" w:line="228" w:lineRule="auto"/>
              <w:jc w:val="center"/>
            </w:pPr>
            <w:r w:rsidRPr="00C550D4">
              <w:t>4</w:t>
            </w:r>
          </w:p>
        </w:tc>
      </w:tr>
      <w:tr w:rsidR="00472151" w:rsidRPr="00C550D4" w14:paraId="0C274D75" w14:textId="77777777" w:rsidTr="00472151">
        <w:tc>
          <w:tcPr>
            <w:tcW w:w="3312" w:type="pct"/>
          </w:tcPr>
          <w:p w14:paraId="213DF946" w14:textId="77777777" w:rsidR="00DE437A" w:rsidRPr="00C550D4" w:rsidRDefault="00DE437A" w:rsidP="00DE437A">
            <w:pPr>
              <w:spacing w:before="10" w:after="10" w:line="228" w:lineRule="auto"/>
            </w:pPr>
            <w:r w:rsidRPr="00C550D4">
              <w:t>24. Planning: Acquisition phase considerations</w:t>
            </w:r>
          </w:p>
        </w:tc>
        <w:tc>
          <w:tcPr>
            <w:tcW w:w="844" w:type="pct"/>
            <w:noWrap/>
            <w:hideMark/>
          </w:tcPr>
          <w:p w14:paraId="6190C5D3" w14:textId="756134E4" w:rsidR="00DE437A" w:rsidRPr="00C550D4" w:rsidRDefault="00DE437A" w:rsidP="00DE437A">
            <w:pPr>
              <w:spacing w:before="10" w:after="10" w:line="228" w:lineRule="auto"/>
              <w:jc w:val="center"/>
            </w:pPr>
            <w:r w:rsidRPr="00C550D4">
              <w:t>4</w:t>
            </w:r>
          </w:p>
        </w:tc>
        <w:tc>
          <w:tcPr>
            <w:tcW w:w="844" w:type="pct"/>
            <w:noWrap/>
            <w:hideMark/>
          </w:tcPr>
          <w:p w14:paraId="0A020FDD" w14:textId="77777777" w:rsidR="00DE437A" w:rsidRPr="00C550D4" w:rsidRDefault="00DE437A" w:rsidP="00DE437A">
            <w:pPr>
              <w:spacing w:before="10" w:after="10" w:line="228" w:lineRule="auto"/>
              <w:jc w:val="center"/>
            </w:pPr>
            <w:r w:rsidRPr="00C550D4">
              <w:t>4</w:t>
            </w:r>
          </w:p>
        </w:tc>
      </w:tr>
      <w:tr w:rsidR="00472151" w:rsidRPr="00C550D4" w14:paraId="1BCF7DB4" w14:textId="77777777" w:rsidTr="00472151">
        <w:tc>
          <w:tcPr>
            <w:tcW w:w="3312" w:type="pct"/>
          </w:tcPr>
          <w:p w14:paraId="5AD32F82" w14:textId="77777777" w:rsidR="00DE437A" w:rsidRPr="00C550D4" w:rsidRDefault="00DE437A" w:rsidP="00DE437A">
            <w:pPr>
              <w:spacing w:before="10" w:after="10" w:line="228" w:lineRule="auto"/>
            </w:pPr>
            <w:r w:rsidRPr="00C550D4">
              <w:t>25. Planning: Acquisition process considerations</w:t>
            </w:r>
          </w:p>
        </w:tc>
        <w:tc>
          <w:tcPr>
            <w:tcW w:w="844" w:type="pct"/>
            <w:noWrap/>
            <w:hideMark/>
          </w:tcPr>
          <w:p w14:paraId="72D27C4B" w14:textId="2D3700DF" w:rsidR="00DE437A" w:rsidRPr="00C550D4" w:rsidRDefault="00DE437A" w:rsidP="00DE437A">
            <w:pPr>
              <w:spacing w:before="10" w:after="10" w:line="228" w:lineRule="auto"/>
              <w:jc w:val="center"/>
            </w:pPr>
            <w:r w:rsidRPr="00C550D4">
              <w:t>4</w:t>
            </w:r>
          </w:p>
        </w:tc>
        <w:tc>
          <w:tcPr>
            <w:tcW w:w="844" w:type="pct"/>
            <w:noWrap/>
            <w:hideMark/>
          </w:tcPr>
          <w:p w14:paraId="0FF742EF" w14:textId="77777777" w:rsidR="00DE437A" w:rsidRPr="00C550D4" w:rsidRDefault="00DE437A" w:rsidP="00DE437A">
            <w:pPr>
              <w:spacing w:before="10" w:after="10" w:line="228" w:lineRule="auto"/>
              <w:jc w:val="center"/>
            </w:pPr>
            <w:r w:rsidRPr="00C550D4">
              <w:t>4</w:t>
            </w:r>
          </w:p>
        </w:tc>
      </w:tr>
      <w:tr w:rsidR="00472151" w:rsidRPr="00C550D4" w14:paraId="43A4C29D" w14:textId="77777777" w:rsidTr="00472151">
        <w:tc>
          <w:tcPr>
            <w:tcW w:w="3312" w:type="pct"/>
          </w:tcPr>
          <w:p w14:paraId="021622AF" w14:textId="77777777" w:rsidR="00DE437A" w:rsidRPr="00C550D4" w:rsidRDefault="00DE437A" w:rsidP="00DE437A">
            <w:pPr>
              <w:spacing w:before="10" w:after="10" w:line="228" w:lineRule="auto"/>
            </w:pPr>
            <w:r w:rsidRPr="00C550D4">
              <w:t>26. Operation: Monitoring &amp; recording asset condition</w:t>
            </w:r>
          </w:p>
        </w:tc>
        <w:tc>
          <w:tcPr>
            <w:tcW w:w="844" w:type="pct"/>
            <w:noWrap/>
            <w:hideMark/>
          </w:tcPr>
          <w:p w14:paraId="263D4135" w14:textId="3229302C" w:rsidR="00DE437A" w:rsidRPr="00C550D4" w:rsidRDefault="00DE437A" w:rsidP="00DE437A">
            <w:pPr>
              <w:spacing w:before="10" w:after="10" w:line="228" w:lineRule="auto"/>
              <w:jc w:val="center"/>
            </w:pPr>
            <w:r w:rsidRPr="00C550D4">
              <w:t>3</w:t>
            </w:r>
          </w:p>
        </w:tc>
        <w:tc>
          <w:tcPr>
            <w:tcW w:w="844" w:type="pct"/>
            <w:noWrap/>
            <w:hideMark/>
          </w:tcPr>
          <w:p w14:paraId="16FB597D" w14:textId="77777777" w:rsidR="00DE437A" w:rsidRPr="00C550D4" w:rsidRDefault="00DE437A" w:rsidP="00DE437A">
            <w:pPr>
              <w:spacing w:before="10" w:after="10" w:line="228" w:lineRule="auto"/>
              <w:jc w:val="center"/>
            </w:pPr>
            <w:r w:rsidRPr="00C550D4">
              <w:t>3</w:t>
            </w:r>
          </w:p>
        </w:tc>
      </w:tr>
      <w:tr w:rsidR="00472151" w:rsidRPr="00C550D4" w14:paraId="69DA42BF" w14:textId="77777777" w:rsidTr="00472151">
        <w:tc>
          <w:tcPr>
            <w:tcW w:w="3312" w:type="pct"/>
          </w:tcPr>
          <w:p w14:paraId="22CACF56" w14:textId="77777777" w:rsidR="00DE437A" w:rsidRPr="00C550D4" w:rsidRDefault="00DE437A" w:rsidP="00DE437A">
            <w:pPr>
              <w:spacing w:before="10" w:after="10" w:line="228" w:lineRule="auto"/>
            </w:pPr>
            <w:r w:rsidRPr="00C550D4">
              <w:t>27. Operation: Processes to proactively identify failures</w:t>
            </w:r>
          </w:p>
        </w:tc>
        <w:tc>
          <w:tcPr>
            <w:tcW w:w="844" w:type="pct"/>
            <w:noWrap/>
            <w:hideMark/>
          </w:tcPr>
          <w:p w14:paraId="5980E8F6" w14:textId="7129D48F" w:rsidR="00DE437A" w:rsidRPr="00C550D4" w:rsidRDefault="00DE437A" w:rsidP="00DE437A">
            <w:pPr>
              <w:spacing w:before="10" w:after="10" w:line="228" w:lineRule="auto"/>
              <w:jc w:val="center"/>
            </w:pPr>
            <w:r w:rsidRPr="00C550D4">
              <w:t>3</w:t>
            </w:r>
          </w:p>
        </w:tc>
        <w:tc>
          <w:tcPr>
            <w:tcW w:w="844" w:type="pct"/>
            <w:noWrap/>
            <w:hideMark/>
          </w:tcPr>
          <w:p w14:paraId="41761396" w14:textId="77777777" w:rsidR="00DE437A" w:rsidRPr="00C550D4" w:rsidRDefault="00DE437A" w:rsidP="00DE437A">
            <w:pPr>
              <w:spacing w:before="10" w:after="10" w:line="228" w:lineRule="auto"/>
              <w:jc w:val="center"/>
            </w:pPr>
            <w:r w:rsidRPr="00C550D4">
              <w:t>3</w:t>
            </w:r>
          </w:p>
        </w:tc>
      </w:tr>
      <w:tr w:rsidR="00472151" w:rsidRPr="00C550D4" w14:paraId="76B13B9F" w14:textId="77777777" w:rsidTr="00472151">
        <w:tc>
          <w:tcPr>
            <w:tcW w:w="3312" w:type="pct"/>
          </w:tcPr>
          <w:p w14:paraId="753F90BF" w14:textId="77777777" w:rsidR="00DE437A" w:rsidRPr="00C550D4" w:rsidRDefault="00DE437A" w:rsidP="00DE437A">
            <w:pPr>
              <w:spacing w:before="10" w:after="10" w:line="228" w:lineRule="auto"/>
            </w:pPr>
            <w:r w:rsidRPr="00C550D4">
              <w:t>28. Operation: Critical asset service failures</w:t>
            </w:r>
          </w:p>
        </w:tc>
        <w:tc>
          <w:tcPr>
            <w:tcW w:w="844" w:type="pct"/>
            <w:noWrap/>
            <w:hideMark/>
          </w:tcPr>
          <w:p w14:paraId="22A0D6CA" w14:textId="6CCC6436" w:rsidR="00DE437A" w:rsidRPr="00C550D4" w:rsidRDefault="00DE437A" w:rsidP="00DE437A">
            <w:pPr>
              <w:spacing w:before="10" w:after="10" w:line="228" w:lineRule="auto"/>
              <w:jc w:val="center"/>
            </w:pPr>
            <w:r w:rsidRPr="00C550D4">
              <w:t>4</w:t>
            </w:r>
          </w:p>
        </w:tc>
        <w:tc>
          <w:tcPr>
            <w:tcW w:w="844" w:type="pct"/>
            <w:noWrap/>
            <w:hideMark/>
          </w:tcPr>
          <w:p w14:paraId="0F5CD056" w14:textId="77777777" w:rsidR="00DE437A" w:rsidRPr="00C550D4" w:rsidRDefault="00DE437A" w:rsidP="00DE437A">
            <w:pPr>
              <w:spacing w:before="10" w:after="10" w:line="228" w:lineRule="auto"/>
              <w:jc w:val="center"/>
            </w:pPr>
            <w:r w:rsidRPr="00C550D4">
              <w:t>4</w:t>
            </w:r>
          </w:p>
        </w:tc>
      </w:tr>
      <w:tr w:rsidR="00472151" w:rsidRPr="00C550D4" w14:paraId="681A14C1" w14:textId="77777777" w:rsidTr="00472151">
        <w:tc>
          <w:tcPr>
            <w:tcW w:w="3312" w:type="pct"/>
          </w:tcPr>
          <w:p w14:paraId="08492E70" w14:textId="77777777" w:rsidR="00DE437A" w:rsidRPr="00C550D4" w:rsidRDefault="00DE437A" w:rsidP="00DE437A">
            <w:pPr>
              <w:spacing w:before="10" w:after="10" w:line="228" w:lineRule="auto"/>
            </w:pPr>
            <w:r w:rsidRPr="00C550D4">
              <w:t>29. Operation: Effectiveness of corrective actions</w:t>
            </w:r>
          </w:p>
        </w:tc>
        <w:tc>
          <w:tcPr>
            <w:tcW w:w="844" w:type="pct"/>
            <w:noWrap/>
            <w:hideMark/>
          </w:tcPr>
          <w:p w14:paraId="7A8732E9" w14:textId="782D6BF7" w:rsidR="00DE437A" w:rsidRPr="00C550D4" w:rsidRDefault="00DE437A" w:rsidP="00DE437A">
            <w:pPr>
              <w:spacing w:before="10" w:after="10" w:line="228" w:lineRule="auto"/>
              <w:jc w:val="center"/>
            </w:pPr>
            <w:r w:rsidRPr="00C550D4">
              <w:t>4</w:t>
            </w:r>
          </w:p>
        </w:tc>
        <w:tc>
          <w:tcPr>
            <w:tcW w:w="844" w:type="pct"/>
            <w:noWrap/>
            <w:hideMark/>
          </w:tcPr>
          <w:p w14:paraId="2FB905A3" w14:textId="77777777" w:rsidR="00DE437A" w:rsidRPr="00C550D4" w:rsidRDefault="00DE437A" w:rsidP="00DE437A">
            <w:pPr>
              <w:spacing w:before="10" w:after="10" w:line="228" w:lineRule="auto"/>
              <w:jc w:val="center"/>
            </w:pPr>
            <w:r w:rsidRPr="00C550D4">
              <w:t>4</w:t>
            </w:r>
          </w:p>
        </w:tc>
      </w:tr>
      <w:tr w:rsidR="00472151" w:rsidRPr="00C550D4" w14:paraId="526A8FE4" w14:textId="77777777" w:rsidTr="00472151">
        <w:tc>
          <w:tcPr>
            <w:tcW w:w="3312" w:type="pct"/>
          </w:tcPr>
          <w:p w14:paraId="4B9B2873" w14:textId="77777777" w:rsidR="00DE437A" w:rsidRPr="00C550D4" w:rsidRDefault="00DE437A" w:rsidP="00DE437A">
            <w:pPr>
              <w:spacing w:before="10" w:after="10" w:line="228" w:lineRule="auto"/>
            </w:pPr>
            <w:r w:rsidRPr="00C550D4">
              <w:t>30. Operation: Fraud &amp; improper use</w:t>
            </w:r>
          </w:p>
        </w:tc>
        <w:tc>
          <w:tcPr>
            <w:tcW w:w="844" w:type="pct"/>
            <w:noWrap/>
            <w:hideMark/>
          </w:tcPr>
          <w:p w14:paraId="1A6B92AE" w14:textId="0193E8C8" w:rsidR="00DE437A" w:rsidRPr="00C550D4" w:rsidRDefault="00DE437A" w:rsidP="00DE437A">
            <w:pPr>
              <w:spacing w:before="10" w:after="10" w:line="228" w:lineRule="auto"/>
              <w:jc w:val="center"/>
            </w:pPr>
            <w:r w:rsidRPr="00C550D4">
              <w:t>3</w:t>
            </w:r>
          </w:p>
        </w:tc>
        <w:tc>
          <w:tcPr>
            <w:tcW w:w="844" w:type="pct"/>
            <w:noWrap/>
            <w:hideMark/>
          </w:tcPr>
          <w:p w14:paraId="2BE6DAF4" w14:textId="77777777" w:rsidR="00DE437A" w:rsidRPr="00C550D4" w:rsidRDefault="00DE437A" w:rsidP="00DE437A">
            <w:pPr>
              <w:spacing w:before="10" w:after="10" w:line="228" w:lineRule="auto"/>
              <w:jc w:val="center"/>
            </w:pPr>
            <w:r w:rsidRPr="00C550D4">
              <w:t>3</w:t>
            </w:r>
          </w:p>
        </w:tc>
      </w:tr>
      <w:tr w:rsidR="00472151" w:rsidRPr="00C550D4" w14:paraId="49A63620" w14:textId="77777777" w:rsidTr="00472151">
        <w:tc>
          <w:tcPr>
            <w:tcW w:w="3312" w:type="pct"/>
          </w:tcPr>
          <w:p w14:paraId="5D1F0215" w14:textId="77777777" w:rsidR="00DE437A" w:rsidRPr="00C550D4" w:rsidRDefault="00DE437A" w:rsidP="00DE437A">
            <w:pPr>
              <w:spacing w:before="10" w:after="10" w:line="228" w:lineRule="auto"/>
            </w:pPr>
            <w:r w:rsidRPr="00C550D4">
              <w:t>31. Operation: Maintenance systems &amp; processes</w:t>
            </w:r>
          </w:p>
        </w:tc>
        <w:tc>
          <w:tcPr>
            <w:tcW w:w="844" w:type="pct"/>
            <w:noWrap/>
            <w:hideMark/>
          </w:tcPr>
          <w:p w14:paraId="099FBAD2" w14:textId="2255F27C" w:rsidR="00DE437A" w:rsidRPr="00C550D4" w:rsidRDefault="00DE437A" w:rsidP="00DE437A">
            <w:pPr>
              <w:spacing w:before="10" w:after="10" w:line="228" w:lineRule="auto"/>
              <w:jc w:val="center"/>
            </w:pPr>
            <w:r w:rsidRPr="00C550D4">
              <w:t>2</w:t>
            </w:r>
          </w:p>
        </w:tc>
        <w:tc>
          <w:tcPr>
            <w:tcW w:w="844" w:type="pct"/>
            <w:noWrap/>
            <w:hideMark/>
          </w:tcPr>
          <w:p w14:paraId="4FCEBFF0" w14:textId="77777777" w:rsidR="00DE437A" w:rsidRPr="00C550D4" w:rsidRDefault="00DE437A" w:rsidP="00DE437A">
            <w:pPr>
              <w:spacing w:before="10" w:after="10" w:line="228" w:lineRule="auto"/>
              <w:jc w:val="center"/>
            </w:pPr>
            <w:r w:rsidRPr="00C550D4">
              <w:t>3</w:t>
            </w:r>
          </w:p>
        </w:tc>
      </w:tr>
      <w:tr w:rsidR="00472151" w:rsidRPr="00C550D4" w14:paraId="05EB27C0" w14:textId="77777777" w:rsidTr="00472151">
        <w:tc>
          <w:tcPr>
            <w:tcW w:w="3312" w:type="pct"/>
          </w:tcPr>
          <w:p w14:paraId="08773E99" w14:textId="77777777" w:rsidR="00DE437A" w:rsidRPr="00C550D4" w:rsidRDefault="00DE437A" w:rsidP="00DE437A">
            <w:pPr>
              <w:spacing w:before="10" w:after="10" w:line="228" w:lineRule="auto"/>
            </w:pPr>
            <w:r w:rsidRPr="00C550D4">
              <w:t>32. Operation: Maintenance programs &amp; activities review</w:t>
            </w:r>
          </w:p>
        </w:tc>
        <w:tc>
          <w:tcPr>
            <w:tcW w:w="844" w:type="pct"/>
            <w:noWrap/>
            <w:hideMark/>
          </w:tcPr>
          <w:p w14:paraId="61A9264F" w14:textId="564450DE" w:rsidR="00DE437A" w:rsidRPr="00C550D4" w:rsidRDefault="00DE437A" w:rsidP="00DE437A">
            <w:pPr>
              <w:spacing w:before="10" w:after="10" w:line="228" w:lineRule="auto"/>
              <w:jc w:val="center"/>
            </w:pPr>
            <w:r w:rsidRPr="00C550D4">
              <w:t>3</w:t>
            </w:r>
          </w:p>
        </w:tc>
        <w:tc>
          <w:tcPr>
            <w:tcW w:w="844" w:type="pct"/>
            <w:noWrap/>
            <w:hideMark/>
          </w:tcPr>
          <w:p w14:paraId="312F7D6A" w14:textId="77777777" w:rsidR="00DE437A" w:rsidRPr="00C550D4" w:rsidRDefault="00DE437A" w:rsidP="00DE437A">
            <w:pPr>
              <w:spacing w:before="10" w:after="10" w:line="228" w:lineRule="auto"/>
              <w:jc w:val="center"/>
            </w:pPr>
            <w:r w:rsidRPr="00C550D4">
              <w:t>3</w:t>
            </w:r>
          </w:p>
        </w:tc>
      </w:tr>
      <w:tr w:rsidR="00472151" w:rsidRPr="00C550D4" w14:paraId="150F872B" w14:textId="77777777" w:rsidTr="00472151">
        <w:tc>
          <w:tcPr>
            <w:tcW w:w="3312" w:type="pct"/>
          </w:tcPr>
          <w:p w14:paraId="296094DE" w14:textId="77777777" w:rsidR="00DE437A" w:rsidRPr="00C550D4" w:rsidRDefault="00DE437A" w:rsidP="00DE437A">
            <w:pPr>
              <w:spacing w:before="10" w:after="10" w:line="228" w:lineRule="auto"/>
            </w:pPr>
            <w:r w:rsidRPr="00C550D4">
              <w:t>33. Operation: Information management procedures</w:t>
            </w:r>
          </w:p>
        </w:tc>
        <w:tc>
          <w:tcPr>
            <w:tcW w:w="844" w:type="pct"/>
            <w:noWrap/>
            <w:hideMark/>
          </w:tcPr>
          <w:p w14:paraId="793BD140" w14:textId="15DF477B" w:rsidR="00DE437A" w:rsidRPr="00C550D4" w:rsidRDefault="00DE437A" w:rsidP="00DE437A">
            <w:pPr>
              <w:spacing w:before="10" w:after="10" w:line="228" w:lineRule="auto"/>
              <w:jc w:val="center"/>
            </w:pPr>
            <w:r w:rsidRPr="00C550D4">
              <w:t>3</w:t>
            </w:r>
          </w:p>
        </w:tc>
        <w:tc>
          <w:tcPr>
            <w:tcW w:w="844" w:type="pct"/>
            <w:noWrap/>
            <w:hideMark/>
          </w:tcPr>
          <w:p w14:paraId="06D784D5" w14:textId="77777777" w:rsidR="00DE437A" w:rsidRPr="00C550D4" w:rsidRDefault="00DE437A" w:rsidP="00DE437A">
            <w:pPr>
              <w:spacing w:before="10" w:after="10" w:line="228" w:lineRule="auto"/>
              <w:jc w:val="center"/>
            </w:pPr>
            <w:r w:rsidRPr="00C550D4">
              <w:t>3</w:t>
            </w:r>
          </w:p>
        </w:tc>
      </w:tr>
      <w:tr w:rsidR="00472151" w:rsidRPr="00C550D4" w14:paraId="5CFE12ED" w14:textId="77777777" w:rsidTr="00472151">
        <w:tc>
          <w:tcPr>
            <w:tcW w:w="3312" w:type="pct"/>
          </w:tcPr>
          <w:p w14:paraId="0FC14169" w14:textId="77777777" w:rsidR="00DE437A" w:rsidRPr="00C550D4" w:rsidRDefault="00DE437A" w:rsidP="00DE437A">
            <w:pPr>
              <w:spacing w:before="10" w:after="10" w:line="228" w:lineRule="auto"/>
            </w:pPr>
            <w:r w:rsidRPr="00C550D4">
              <w:t>34. Operation: Establishment of the AIMS</w:t>
            </w:r>
          </w:p>
        </w:tc>
        <w:tc>
          <w:tcPr>
            <w:tcW w:w="844" w:type="pct"/>
            <w:noWrap/>
            <w:hideMark/>
          </w:tcPr>
          <w:p w14:paraId="03F702E2" w14:textId="31C5E7FE" w:rsidR="00DE437A" w:rsidRPr="00C550D4" w:rsidRDefault="00DE437A" w:rsidP="00DE437A">
            <w:pPr>
              <w:spacing w:before="10" w:after="10" w:line="228" w:lineRule="auto"/>
              <w:jc w:val="center"/>
            </w:pPr>
            <w:r w:rsidRPr="00C550D4">
              <w:t>3</w:t>
            </w:r>
          </w:p>
        </w:tc>
        <w:tc>
          <w:tcPr>
            <w:tcW w:w="844" w:type="pct"/>
            <w:noWrap/>
            <w:hideMark/>
          </w:tcPr>
          <w:p w14:paraId="3636523F" w14:textId="77777777" w:rsidR="00DE437A" w:rsidRPr="00C550D4" w:rsidRDefault="00DE437A" w:rsidP="00DE437A">
            <w:pPr>
              <w:spacing w:before="10" w:after="10" w:line="228" w:lineRule="auto"/>
              <w:jc w:val="center"/>
            </w:pPr>
            <w:r w:rsidRPr="00C550D4">
              <w:t>3</w:t>
            </w:r>
          </w:p>
        </w:tc>
      </w:tr>
      <w:tr w:rsidR="00472151" w:rsidRPr="00C550D4" w14:paraId="0B45DFB2" w14:textId="77777777" w:rsidTr="00472151">
        <w:tc>
          <w:tcPr>
            <w:tcW w:w="3312" w:type="pct"/>
          </w:tcPr>
          <w:p w14:paraId="1A28F859" w14:textId="77777777" w:rsidR="00DE437A" w:rsidRPr="00C550D4" w:rsidRDefault="00DE437A" w:rsidP="00DE437A">
            <w:pPr>
              <w:spacing w:before="10" w:after="10" w:line="228" w:lineRule="auto"/>
            </w:pPr>
            <w:r w:rsidRPr="00C550D4">
              <w:t>35. Operation: Accessibility to information</w:t>
            </w:r>
          </w:p>
        </w:tc>
        <w:tc>
          <w:tcPr>
            <w:tcW w:w="844" w:type="pct"/>
            <w:noWrap/>
            <w:hideMark/>
          </w:tcPr>
          <w:p w14:paraId="30CC378A" w14:textId="1061B87E" w:rsidR="00DE437A" w:rsidRPr="00C550D4" w:rsidRDefault="00DE437A" w:rsidP="00DE437A">
            <w:pPr>
              <w:spacing w:before="10" w:after="10" w:line="228" w:lineRule="auto"/>
              <w:jc w:val="center"/>
            </w:pPr>
            <w:r w:rsidRPr="00C550D4">
              <w:t>3</w:t>
            </w:r>
          </w:p>
        </w:tc>
        <w:tc>
          <w:tcPr>
            <w:tcW w:w="844" w:type="pct"/>
            <w:noWrap/>
            <w:hideMark/>
          </w:tcPr>
          <w:p w14:paraId="257B6E5E" w14:textId="77777777" w:rsidR="00DE437A" w:rsidRPr="00C550D4" w:rsidRDefault="00DE437A" w:rsidP="00DE437A">
            <w:pPr>
              <w:spacing w:before="10" w:after="10" w:line="228" w:lineRule="auto"/>
              <w:jc w:val="center"/>
            </w:pPr>
            <w:r w:rsidRPr="00C550D4">
              <w:t>3</w:t>
            </w:r>
          </w:p>
        </w:tc>
      </w:tr>
      <w:tr w:rsidR="00472151" w:rsidRPr="00C550D4" w14:paraId="3D473241" w14:textId="77777777" w:rsidTr="00472151">
        <w:tc>
          <w:tcPr>
            <w:tcW w:w="3312" w:type="pct"/>
          </w:tcPr>
          <w:p w14:paraId="12A37773" w14:textId="77777777" w:rsidR="00DE437A" w:rsidRPr="00C550D4" w:rsidRDefault="00DE437A" w:rsidP="00DE437A">
            <w:pPr>
              <w:spacing w:before="10" w:after="10" w:line="228" w:lineRule="auto"/>
            </w:pPr>
            <w:r w:rsidRPr="00C550D4">
              <w:t>36. Operation: Up-to-date information</w:t>
            </w:r>
          </w:p>
        </w:tc>
        <w:tc>
          <w:tcPr>
            <w:tcW w:w="844" w:type="pct"/>
            <w:noWrap/>
            <w:hideMark/>
          </w:tcPr>
          <w:p w14:paraId="242A2AB4" w14:textId="0FEF7C9D" w:rsidR="00DE437A" w:rsidRPr="00C550D4" w:rsidRDefault="00DE437A" w:rsidP="00DE437A">
            <w:pPr>
              <w:spacing w:before="10" w:after="10" w:line="228" w:lineRule="auto"/>
              <w:jc w:val="center"/>
            </w:pPr>
            <w:r w:rsidRPr="00C550D4">
              <w:t>3</w:t>
            </w:r>
          </w:p>
        </w:tc>
        <w:tc>
          <w:tcPr>
            <w:tcW w:w="844" w:type="pct"/>
            <w:noWrap/>
            <w:hideMark/>
          </w:tcPr>
          <w:p w14:paraId="00B51083" w14:textId="77777777" w:rsidR="00DE437A" w:rsidRPr="00C550D4" w:rsidRDefault="00DE437A" w:rsidP="00DE437A">
            <w:pPr>
              <w:spacing w:before="10" w:after="10" w:line="228" w:lineRule="auto"/>
              <w:jc w:val="center"/>
            </w:pPr>
            <w:r w:rsidRPr="00C550D4">
              <w:t>3</w:t>
            </w:r>
          </w:p>
        </w:tc>
      </w:tr>
      <w:tr w:rsidR="00472151" w:rsidRPr="00C550D4" w14:paraId="00A28289" w14:textId="77777777" w:rsidTr="00472151">
        <w:tc>
          <w:tcPr>
            <w:tcW w:w="3312" w:type="pct"/>
          </w:tcPr>
          <w:p w14:paraId="6F5FB816" w14:textId="77777777" w:rsidR="00DE437A" w:rsidRPr="00C550D4" w:rsidRDefault="00DE437A" w:rsidP="00DE437A">
            <w:pPr>
              <w:spacing w:before="10" w:after="10" w:line="228" w:lineRule="auto"/>
            </w:pPr>
            <w:r w:rsidRPr="00C550D4">
              <w:t>37. Operation: Minimum information requirements</w:t>
            </w:r>
          </w:p>
        </w:tc>
        <w:tc>
          <w:tcPr>
            <w:tcW w:w="844" w:type="pct"/>
            <w:noWrap/>
            <w:hideMark/>
          </w:tcPr>
          <w:p w14:paraId="46260C71" w14:textId="718C4768" w:rsidR="00DE437A" w:rsidRPr="00C550D4" w:rsidRDefault="00DE437A" w:rsidP="00DE437A">
            <w:pPr>
              <w:spacing w:before="10" w:after="10" w:line="228" w:lineRule="auto"/>
              <w:jc w:val="center"/>
            </w:pPr>
            <w:r w:rsidRPr="00C550D4">
              <w:t>3</w:t>
            </w:r>
          </w:p>
        </w:tc>
        <w:tc>
          <w:tcPr>
            <w:tcW w:w="844" w:type="pct"/>
            <w:noWrap/>
            <w:hideMark/>
          </w:tcPr>
          <w:p w14:paraId="3CB82CFC" w14:textId="77777777" w:rsidR="00DE437A" w:rsidRPr="00C550D4" w:rsidRDefault="00DE437A" w:rsidP="00DE437A">
            <w:pPr>
              <w:spacing w:before="10" w:after="10" w:line="228" w:lineRule="auto"/>
              <w:jc w:val="center"/>
            </w:pPr>
            <w:r w:rsidRPr="00C550D4">
              <w:t>3</w:t>
            </w:r>
          </w:p>
        </w:tc>
      </w:tr>
      <w:tr w:rsidR="00472151" w:rsidRPr="00C550D4" w14:paraId="52C47210" w14:textId="77777777" w:rsidTr="00472151">
        <w:tc>
          <w:tcPr>
            <w:tcW w:w="3312" w:type="pct"/>
          </w:tcPr>
          <w:p w14:paraId="75768414" w14:textId="77777777" w:rsidR="00DE437A" w:rsidRPr="00C550D4" w:rsidRDefault="00DE437A" w:rsidP="00DE437A">
            <w:pPr>
              <w:spacing w:before="10" w:after="10" w:line="228" w:lineRule="auto"/>
            </w:pPr>
            <w:r w:rsidRPr="00C550D4">
              <w:t>38. Operation: Review of the AIMS</w:t>
            </w:r>
          </w:p>
        </w:tc>
        <w:tc>
          <w:tcPr>
            <w:tcW w:w="844" w:type="pct"/>
            <w:noWrap/>
            <w:hideMark/>
          </w:tcPr>
          <w:p w14:paraId="5EB5E9F4" w14:textId="2D9C5FB6" w:rsidR="00DE437A" w:rsidRPr="00C550D4" w:rsidRDefault="00DE437A" w:rsidP="00DE437A">
            <w:pPr>
              <w:spacing w:before="10" w:after="10" w:line="228" w:lineRule="auto"/>
              <w:jc w:val="center"/>
            </w:pPr>
            <w:r w:rsidRPr="00C550D4">
              <w:t>3</w:t>
            </w:r>
          </w:p>
        </w:tc>
        <w:tc>
          <w:tcPr>
            <w:tcW w:w="844" w:type="pct"/>
            <w:noWrap/>
            <w:hideMark/>
          </w:tcPr>
          <w:p w14:paraId="03DD103C" w14:textId="77777777" w:rsidR="00DE437A" w:rsidRPr="00C550D4" w:rsidRDefault="00DE437A" w:rsidP="00DE437A">
            <w:pPr>
              <w:spacing w:before="10" w:after="10" w:line="228" w:lineRule="auto"/>
              <w:jc w:val="center"/>
            </w:pPr>
            <w:r w:rsidRPr="00C550D4">
              <w:t>3</w:t>
            </w:r>
          </w:p>
        </w:tc>
      </w:tr>
      <w:tr w:rsidR="00472151" w:rsidRPr="00C550D4" w14:paraId="5CFA3AF0" w14:textId="77777777" w:rsidTr="00472151">
        <w:tc>
          <w:tcPr>
            <w:tcW w:w="3312" w:type="pct"/>
          </w:tcPr>
          <w:p w14:paraId="5558A65B" w14:textId="77777777" w:rsidR="00DE437A" w:rsidRPr="00C550D4" w:rsidRDefault="00DE437A" w:rsidP="00DE437A">
            <w:pPr>
              <w:spacing w:before="10" w:after="10" w:line="228" w:lineRule="auto"/>
            </w:pPr>
            <w:r w:rsidRPr="00C550D4">
              <w:t>39. Operation: Record keeping processes</w:t>
            </w:r>
          </w:p>
        </w:tc>
        <w:tc>
          <w:tcPr>
            <w:tcW w:w="844" w:type="pct"/>
            <w:noWrap/>
            <w:hideMark/>
          </w:tcPr>
          <w:p w14:paraId="44F2C308" w14:textId="63109791" w:rsidR="00DE437A" w:rsidRPr="00C550D4" w:rsidRDefault="00DE437A" w:rsidP="00DE437A">
            <w:pPr>
              <w:spacing w:before="10" w:after="10" w:line="228" w:lineRule="auto"/>
              <w:jc w:val="center"/>
            </w:pPr>
            <w:r w:rsidRPr="00C550D4">
              <w:t>3</w:t>
            </w:r>
          </w:p>
        </w:tc>
        <w:tc>
          <w:tcPr>
            <w:tcW w:w="844" w:type="pct"/>
            <w:noWrap/>
            <w:hideMark/>
          </w:tcPr>
          <w:p w14:paraId="3030D8CF" w14:textId="77777777" w:rsidR="00DE437A" w:rsidRPr="00C550D4" w:rsidRDefault="00DE437A" w:rsidP="00DE437A">
            <w:pPr>
              <w:spacing w:before="10" w:after="10" w:line="228" w:lineRule="auto"/>
              <w:jc w:val="center"/>
            </w:pPr>
            <w:r w:rsidRPr="00C550D4">
              <w:t>3</w:t>
            </w:r>
          </w:p>
        </w:tc>
      </w:tr>
      <w:tr w:rsidR="00472151" w:rsidRPr="00C550D4" w14:paraId="625EE87D" w14:textId="77777777" w:rsidTr="00472151">
        <w:tc>
          <w:tcPr>
            <w:tcW w:w="3312" w:type="pct"/>
          </w:tcPr>
          <w:p w14:paraId="06B3FCCE" w14:textId="77777777" w:rsidR="00DE437A" w:rsidRPr="00C550D4" w:rsidRDefault="00DE437A" w:rsidP="00DE437A">
            <w:pPr>
              <w:spacing w:before="10" w:after="10" w:line="228" w:lineRule="auto"/>
            </w:pPr>
            <w:r w:rsidRPr="00C550D4">
              <w:t>40. Operation: Revaluation policies &amp; procedures</w:t>
            </w:r>
          </w:p>
        </w:tc>
        <w:tc>
          <w:tcPr>
            <w:tcW w:w="844" w:type="pct"/>
            <w:noWrap/>
            <w:hideMark/>
          </w:tcPr>
          <w:p w14:paraId="41F628BA" w14:textId="0E937656" w:rsidR="00DE437A" w:rsidRPr="00C550D4" w:rsidRDefault="00DE437A" w:rsidP="00DE437A">
            <w:pPr>
              <w:spacing w:before="10" w:after="10" w:line="228" w:lineRule="auto"/>
              <w:jc w:val="center"/>
            </w:pPr>
            <w:r w:rsidRPr="00C550D4">
              <w:t>3</w:t>
            </w:r>
          </w:p>
        </w:tc>
        <w:tc>
          <w:tcPr>
            <w:tcW w:w="844" w:type="pct"/>
            <w:noWrap/>
            <w:hideMark/>
          </w:tcPr>
          <w:p w14:paraId="1B8542C3" w14:textId="77777777" w:rsidR="00DE437A" w:rsidRPr="00C550D4" w:rsidRDefault="00DE437A" w:rsidP="00DE437A">
            <w:pPr>
              <w:spacing w:before="10" w:after="10" w:line="228" w:lineRule="auto"/>
              <w:jc w:val="center"/>
            </w:pPr>
            <w:r w:rsidRPr="00C550D4">
              <w:t>3</w:t>
            </w:r>
          </w:p>
        </w:tc>
      </w:tr>
      <w:tr w:rsidR="00472151" w:rsidRPr="00C550D4" w14:paraId="69571344" w14:textId="77777777" w:rsidTr="00472151">
        <w:tc>
          <w:tcPr>
            <w:tcW w:w="3312" w:type="pct"/>
          </w:tcPr>
          <w:p w14:paraId="6E09DF58" w14:textId="77777777" w:rsidR="00DE437A" w:rsidRPr="00C550D4" w:rsidRDefault="00DE437A" w:rsidP="00DE437A">
            <w:pPr>
              <w:spacing w:before="10" w:after="10" w:line="228" w:lineRule="auto"/>
            </w:pPr>
            <w:r w:rsidRPr="00C550D4">
              <w:t>41. Disposal: Disposal approval processes</w:t>
            </w:r>
          </w:p>
        </w:tc>
        <w:tc>
          <w:tcPr>
            <w:tcW w:w="844" w:type="pct"/>
            <w:noWrap/>
            <w:hideMark/>
          </w:tcPr>
          <w:p w14:paraId="0BCA2E4E" w14:textId="4A2F80DB" w:rsidR="00DE437A" w:rsidRPr="00C550D4" w:rsidRDefault="00DE437A" w:rsidP="00DE437A">
            <w:pPr>
              <w:spacing w:before="10" w:after="10" w:line="228" w:lineRule="auto"/>
              <w:jc w:val="center"/>
            </w:pPr>
            <w:r w:rsidRPr="00C550D4">
              <w:t>3</w:t>
            </w:r>
          </w:p>
        </w:tc>
        <w:tc>
          <w:tcPr>
            <w:tcW w:w="844" w:type="pct"/>
            <w:noWrap/>
            <w:hideMark/>
          </w:tcPr>
          <w:p w14:paraId="665F1936" w14:textId="77777777" w:rsidR="00DE437A" w:rsidRPr="00C550D4" w:rsidRDefault="00DE437A" w:rsidP="00DE437A">
            <w:pPr>
              <w:spacing w:before="10" w:after="10" w:line="228" w:lineRule="auto"/>
              <w:jc w:val="center"/>
            </w:pPr>
            <w:r w:rsidRPr="00C550D4">
              <w:t>3</w:t>
            </w:r>
          </w:p>
        </w:tc>
      </w:tr>
    </w:tbl>
    <w:p w14:paraId="737B602F" w14:textId="5D52C667" w:rsidR="00EB7138" w:rsidRPr="00EB7138" w:rsidRDefault="00EB7138" w:rsidP="000C436B">
      <w:pPr>
        <w:keepNext/>
        <w:keepLines/>
      </w:pPr>
      <w:r>
        <w:lastRenderedPageBreak/>
        <w:br/>
      </w:r>
    </w:p>
    <w:p w14:paraId="1954514A" w14:textId="77777777" w:rsidR="00947509" w:rsidRDefault="00947509" w:rsidP="00947509">
      <w:pPr>
        <w:pStyle w:val="Heading2"/>
      </w:pPr>
      <w:bookmarkStart w:id="633" w:name="_Toc89723078"/>
      <w:bookmarkStart w:id="634" w:name="_Toc89723229"/>
      <w:bookmarkStart w:id="635" w:name="_Toc89723289"/>
      <w:bookmarkStart w:id="636" w:name="_Ref89805249"/>
      <w:bookmarkStart w:id="637" w:name="_Ref89808693"/>
      <w:bookmarkStart w:id="638" w:name="_Toc89860553"/>
      <w:bookmarkStart w:id="639" w:name="_Toc89860697"/>
      <w:bookmarkStart w:id="640" w:name="_Toc90326021"/>
      <w:bookmarkStart w:id="641" w:name="_Toc93659427"/>
      <w:r>
        <w:t>Social Sustainability</w:t>
      </w:r>
      <w:bookmarkEnd w:id="633"/>
      <w:bookmarkEnd w:id="634"/>
      <w:bookmarkEnd w:id="635"/>
      <w:bookmarkEnd w:id="636"/>
      <w:bookmarkEnd w:id="637"/>
      <w:bookmarkEnd w:id="638"/>
      <w:bookmarkEnd w:id="639"/>
      <w:bookmarkEnd w:id="640"/>
      <w:bookmarkEnd w:id="641"/>
    </w:p>
    <w:p w14:paraId="0F1CFAAE" w14:textId="56824E5E" w:rsidR="00947509" w:rsidRDefault="00947509" w:rsidP="00947509">
      <w:pPr>
        <w:pStyle w:val="Heading3"/>
      </w:pPr>
      <w:bookmarkStart w:id="642" w:name="_Toc89723079"/>
      <w:bookmarkStart w:id="643" w:name="_Toc90326022"/>
      <w:bookmarkStart w:id="644" w:name="_Toc93659428"/>
      <w:r>
        <w:t>Ethical Sourcing and Modern Slavery Statement</w:t>
      </w:r>
      <w:bookmarkEnd w:id="642"/>
      <w:bookmarkEnd w:id="643"/>
      <w:bookmarkEnd w:id="644"/>
    </w:p>
    <w:p w14:paraId="3C22C7F3" w14:textId="5D077DA8" w:rsidR="00947509" w:rsidRDefault="00947509" w:rsidP="00947509">
      <w:pPr>
        <w:pStyle w:val="BodyText"/>
        <w:rPr>
          <w:lang w:eastAsia="en-US"/>
        </w:rPr>
      </w:pPr>
      <w:r>
        <w:rPr>
          <w:lang w:eastAsia="en-US"/>
        </w:rPr>
        <w:t>Melbourne Water has led a Victorian Water Industry Social Procurement Working Group (SPWG), with an ongoing program of work since 2016, to identify and address human rights impacts with a focus on labour rights risks and opportunities in the supply chains of Victorian water corporations.</w:t>
      </w:r>
    </w:p>
    <w:p w14:paraId="07400071" w14:textId="35EFDDDF" w:rsidR="00947509" w:rsidRDefault="00947509" w:rsidP="00947509">
      <w:pPr>
        <w:pStyle w:val="BodyText"/>
        <w:rPr>
          <w:lang w:eastAsia="en-US"/>
        </w:rPr>
      </w:pPr>
      <w:r>
        <w:rPr>
          <w:lang w:eastAsia="en-US"/>
        </w:rPr>
        <w:t>Our first Modern Slavery Statement was published this year, which describes the risks of modern slavery practices in our operations and supply chains, and the actions we have taken to assess and address these risks. Development of the statement was guided by our commitments to the Victorian Charter of Human Rights and Responsibilities (2006) and the United Nations Sustainable Development Goals (SDGs). While Melbourne Water has not identified any specific instances of modern slavery harm in our supply chain, we recognise that our first Modern Slavery Statement sets the groundwork for our ongoing focus on mitigating modern slavery risk going forward.</w:t>
      </w:r>
    </w:p>
    <w:p w14:paraId="13ECFBE8" w14:textId="77777777" w:rsidR="00947509" w:rsidRDefault="00947509" w:rsidP="00947509">
      <w:pPr>
        <w:pStyle w:val="Heading3"/>
      </w:pPr>
      <w:bookmarkStart w:id="645" w:name="_Toc89723080"/>
      <w:bookmarkStart w:id="646" w:name="_Toc90326023"/>
      <w:bookmarkStart w:id="647" w:name="_Toc93659429"/>
      <w:r>
        <w:t>Social procurement</w:t>
      </w:r>
      <w:bookmarkEnd w:id="645"/>
      <w:bookmarkEnd w:id="646"/>
      <w:bookmarkEnd w:id="647"/>
    </w:p>
    <w:p w14:paraId="35747496" w14:textId="6A14F695" w:rsidR="00947509" w:rsidRDefault="00947509" w:rsidP="00947509">
      <w:pPr>
        <w:pStyle w:val="BodyText"/>
        <w:rPr>
          <w:lang w:eastAsia="en-US"/>
        </w:rPr>
      </w:pPr>
      <w:r>
        <w:rPr>
          <w:lang w:eastAsia="en-US"/>
        </w:rPr>
        <w:t xml:space="preserve">Melbourne Water is operationalising its </w:t>
      </w:r>
      <w:r w:rsidRPr="00947509">
        <w:rPr>
          <w:rStyle w:val="ItalicText"/>
          <w:lang w:eastAsia="en-US"/>
        </w:rPr>
        <w:t>Social Procurement</w:t>
      </w:r>
      <w:r w:rsidRPr="00947509">
        <w:rPr>
          <w:rStyle w:val="ItalicText"/>
        </w:rPr>
        <w:t xml:space="preserve"> </w:t>
      </w:r>
      <w:r w:rsidRPr="00947509">
        <w:rPr>
          <w:rStyle w:val="ItalicText"/>
          <w:lang w:eastAsia="en-US"/>
        </w:rPr>
        <w:t>Strategy</w:t>
      </w:r>
      <w:r>
        <w:rPr>
          <w:lang w:eastAsia="en-US"/>
        </w:rPr>
        <w:t xml:space="preserve"> in line with the Victorian Government’s Social Procurement Framework. We are building our social procurement capability across the business by focusing on leadership, policy and process, technology and tools, sourcing and contract management, people and culture, performance management, and supplier engagement. We have established minimum requirements across value thresholds that meet expectations of the Victorian Government Social Procurement Framework and best advance Melbourne Water’s identified social procurement opportunities.</w:t>
      </w:r>
    </w:p>
    <w:p w14:paraId="3146BFE6" w14:textId="0C6EFC6E" w:rsidR="00947509" w:rsidRDefault="00947509" w:rsidP="00947509">
      <w:pPr>
        <w:pStyle w:val="BodyText"/>
        <w:rPr>
          <w:lang w:eastAsia="en-US"/>
        </w:rPr>
      </w:pPr>
      <w:r>
        <w:rPr>
          <w:lang w:eastAsia="en-US"/>
        </w:rPr>
        <w:t>Melbourne Water's priority Social Procurement Framework</w:t>
      </w:r>
      <w:r w:rsidR="00E36F04">
        <w:rPr>
          <w:lang w:eastAsia="en-US"/>
        </w:rPr>
        <w:t xml:space="preserve"> </w:t>
      </w:r>
      <w:r>
        <w:rPr>
          <w:lang w:eastAsia="en-US"/>
        </w:rPr>
        <w:t>objectives are:</w:t>
      </w:r>
    </w:p>
    <w:p w14:paraId="023CB60C" w14:textId="7A51FA7F" w:rsidR="00947509" w:rsidRDefault="00947509" w:rsidP="00E36F04">
      <w:pPr>
        <w:pStyle w:val="ListBullet"/>
        <w:rPr>
          <w:lang w:eastAsia="en-US"/>
        </w:rPr>
      </w:pPr>
      <w:r>
        <w:rPr>
          <w:lang w:eastAsia="en-US"/>
        </w:rPr>
        <w:t>opportunities for Victorian Aboriginal people</w:t>
      </w:r>
    </w:p>
    <w:p w14:paraId="6E209584" w14:textId="4B244137" w:rsidR="00947509" w:rsidRDefault="00947509" w:rsidP="00E36F04">
      <w:pPr>
        <w:pStyle w:val="ListBullet"/>
        <w:rPr>
          <w:lang w:eastAsia="en-US"/>
        </w:rPr>
      </w:pPr>
      <w:r>
        <w:rPr>
          <w:lang w:eastAsia="en-US"/>
        </w:rPr>
        <w:t>women’s equality and safety</w:t>
      </w:r>
    </w:p>
    <w:p w14:paraId="7314DAC5" w14:textId="547A5C0E" w:rsidR="00947509" w:rsidRDefault="00947509" w:rsidP="00E36F04">
      <w:pPr>
        <w:pStyle w:val="ListBullet"/>
        <w:rPr>
          <w:lang w:eastAsia="en-US"/>
        </w:rPr>
      </w:pPr>
      <w:r>
        <w:rPr>
          <w:lang w:eastAsia="en-US"/>
        </w:rPr>
        <w:t>opportunities for disadvantaged Victorians</w:t>
      </w:r>
    </w:p>
    <w:p w14:paraId="0219A50A" w14:textId="798AAD99" w:rsidR="00947509" w:rsidRDefault="00947509" w:rsidP="00E36F04">
      <w:pPr>
        <w:pStyle w:val="ListBullet"/>
        <w:rPr>
          <w:lang w:eastAsia="en-US"/>
        </w:rPr>
      </w:pPr>
      <w:r>
        <w:rPr>
          <w:lang w:eastAsia="en-US"/>
        </w:rPr>
        <w:t>environmentally sustainable business practices.</w:t>
      </w:r>
    </w:p>
    <w:p w14:paraId="05EA333B" w14:textId="07343EAE" w:rsidR="00947509" w:rsidRDefault="00947509" w:rsidP="00947509">
      <w:pPr>
        <w:pStyle w:val="BodyText"/>
        <w:rPr>
          <w:lang w:eastAsia="en-US"/>
        </w:rPr>
      </w:pPr>
      <w:r>
        <w:rPr>
          <w:lang w:eastAsia="en-US"/>
        </w:rPr>
        <w:t>We have included weighted selection criteria for social value in our market tenders which supports delivery of social and</w:t>
      </w:r>
      <w:r w:rsidR="00E36F04">
        <w:rPr>
          <w:lang w:eastAsia="en-US"/>
        </w:rPr>
        <w:t xml:space="preserve"> </w:t>
      </w:r>
      <w:r>
        <w:rPr>
          <w:lang w:eastAsia="en-US"/>
        </w:rPr>
        <w:t>sustainable outcomes across priority objectives including</w:t>
      </w:r>
      <w:r w:rsidR="00E36F04">
        <w:rPr>
          <w:lang w:eastAsia="en-US"/>
        </w:rPr>
        <w:t xml:space="preserve"> </w:t>
      </w:r>
      <w:r>
        <w:rPr>
          <w:lang w:eastAsia="en-US"/>
        </w:rPr>
        <w:t>opportunities for Victorian Aboriginal and Torres Strait</w:t>
      </w:r>
      <w:r w:rsidR="00E36F04">
        <w:rPr>
          <w:lang w:eastAsia="en-US"/>
        </w:rPr>
        <w:t xml:space="preserve"> </w:t>
      </w:r>
      <w:r>
        <w:rPr>
          <w:lang w:eastAsia="en-US"/>
        </w:rPr>
        <w:t>Islander people, women’s equality and safety, opportunities</w:t>
      </w:r>
      <w:r w:rsidR="00E36F04">
        <w:rPr>
          <w:lang w:eastAsia="en-US"/>
        </w:rPr>
        <w:t xml:space="preserve"> </w:t>
      </w:r>
      <w:r>
        <w:rPr>
          <w:lang w:eastAsia="en-US"/>
        </w:rPr>
        <w:t>for disadvantaged Victorians and environmentally sustainable</w:t>
      </w:r>
      <w:r w:rsidR="00E36F04">
        <w:rPr>
          <w:lang w:eastAsia="en-US"/>
        </w:rPr>
        <w:t xml:space="preserve"> </w:t>
      </w:r>
      <w:r>
        <w:rPr>
          <w:lang w:eastAsia="en-US"/>
        </w:rPr>
        <w:t>outputs.</w:t>
      </w:r>
    </w:p>
    <w:p w14:paraId="4E1F9604" w14:textId="18AAD3D5" w:rsidR="00947509" w:rsidRDefault="00947509" w:rsidP="00947509">
      <w:pPr>
        <w:pStyle w:val="BodyText"/>
        <w:rPr>
          <w:lang w:eastAsia="en-US"/>
        </w:rPr>
      </w:pPr>
      <w:r>
        <w:rPr>
          <w:lang w:eastAsia="en-US"/>
        </w:rPr>
        <w:t>We are contributing to reconciliation by supporting Traditional</w:t>
      </w:r>
      <w:r w:rsidR="00E36F04">
        <w:rPr>
          <w:lang w:eastAsia="en-US"/>
        </w:rPr>
        <w:t xml:space="preserve"> </w:t>
      </w:r>
      <w:r>
        <w:rPr>
          <w:lang w:eastAsia="en-US"/>
        </w:rPr>
        <w:t>Owner businesses, delivering cultural awareness training</w:t>
      </w:r>
      <w:r w:rsidR="00E36F04">
        <w:rPr>
          <w:lang w:eastAsia="en-US"/>
        </w:rPr>
        <w:t xml:space="preserve"> </w:t>
      </w:r>
      <w:r>
        <w:rPr>
          <w:lang w:eastAsia="en-US"/>
        </w:rPr>
        <w:t>internally, targeting the procurement team. We have been</w:t>
      </w:r>
      <w:r w:rsidR="00E36F04">
        <w:rPr>
          <w:lang w:eastAsia="en-US"/>
        </w:rPr>
        <w:t xml:space="preserve"> </w:t>
      </w:r>
      <w:r>
        <w:rPr>
          <w:lang w:eastAsia="en-US"/>
        </w:rPr>
        <w:t>actively engaging with Aboriginal-owned businesses to</w:t>
      </w:r>
      <w:r w:rsidR="00E36F04">
        <w:rPr>
          <w:lang w:eastAsia="en-US"/>
        </w:rPr>
        <w:t xml:space="preserve"> </w:t>
      </w:r>
      <w:r>
        <w:rPr>
          <w:lang w:eastAsia="en-US"/>
        </w:rPr>
        <w:t>explore ways of working together by leveraging our Kinaway</w:t>
      </w:r>
      <w:r w:rsidR="00E36F04">
        <w:rPr>
          <w:lang w:eastAsia="en-US"/>
        </w:rPr>
        <w:t xml:space="preserve"> </w:t>
      </w:r>
      <w:r>
        <w:rPr>
          <w:lang w:eastAsia="en-US"/>
        </w:rPr>
        <w:t>(Victorian Aboriginal Chamber of Commerce) relationship. We</w:t>
      </w:r>
      <w:r w:rsidR="00E36F04">
        <w:rPr>
          <w:lang w:eastAsia="en-US"/>
        </w:rPr>
        <w:t xml:space="preserve"> </w:t>
      </w:r>
      <w:r>
        <w:rPr>
          <w:lang w:eastAsia="en-US"/>
        </w:rPr>
        <w:t>have created innovative training programs with our suppliers</w:t>
      </w:r>
      <w:r w:rsidR="00E36F04">
        <w:rPr>
          <w:lang w:eastAsia="en-US"/>
        </w:rPr>
        <w:t xml:space="preserve"> </w:t>
      </w:r>
      <w:r>
        <w:rPr>
          <w:lang w:eastAsia="en-US"/>
        </w:rPr>
        <w:t>to establish a 100-per-cent-Aboriginal-owned construction</w:t>
      </w:r>
      <w:r w:rsidR="00E36F04">
        <w:rPr>
          <w:lang w:eastAsia="en-US"/>
        </w:rPr>
        <w:t xml:space="preserve"> </w:t>
      </w:r>
      <w:r>
        <w:rPr>
          <w:lang w:eastAsia="en-US"/>
        </w:rPr>
        <w:t>business, supporting a positive legacy and pipeline of work for</w:t>
      </w:r>
      <w:r w:rsidR="00E36F04">
        <w:rPr>
          <w:lang w:eastAsia="en-US"/>
        </w:rPr>
        <w:t xml:space="preserve"> </w:t>
      </w:r>
      <w:r>
        <w:rPr>
          <w:lang w:eastAsia="en-US"/>
        </w:rPr>
        <w:t>young Aboriginal people. For further details, see 'Reconciliation</w:t>
      </w:r>
      <w:r w:rsidR="00E36F04">
        <w:rPr>
          <w:lang w:eastAsia="en-US"/>
        </w:rPr>
        <w:t xml:space="preserve"> </w:t>
      </w:r>
      <w:r>
        <w:rPr>
          <w:lang w:eastAsia="en-US"/>
        </w:rPr>
        <w:t xml:space="preserve">Action Plan', page </w:t>
      </w:r>
      <w:r w:rsidR="0013406B">
        <w:rPr>
          <w:lang w:eastAsia="en-US"/>
        </w:rPr>
        <w:fldChar w:fldCharType="begin"/>
      </w:r>
      <w:r w:rsidR="0013406B">
        <w:rPr>
          <w:lang w:eastAsia="en-US"/>
        </w:rPr>
        <w:instrText xml:space="preserve"> PAGEREF ReconActionPlan \h </w:instrText>
      </w:r>
      <w:r w:rsidR="0013406B">
        <w:rPr>
          <w:lang w:eastAsia="en-US"/>
        </w:rPr>
      </w:r>
      <w:r w:rsidR="0013406B">
        <w:rPr>
          <w:lang w:eastAsia="en-US"/>
        </w:rPr>
        <w:fldChar w:fldCharType="separate"/>
      </w:r>
      <w:r w:rsidR="00472151">
        <w:rPr>
          <w:noProof/>
          <w:lang w:eastAsia="en-US"/>
        </w:rPr>
        <w:t>51</w:t>
      </w:r>
      <w:r w:rsidR="0013406B">
        <w:rPr>
          <w:lang w:eastAsia="en-US"/>
        </w:rPr>
        <w:fldChar w:fldCharType="end"/>
      </w:r>
      <w:r>
        <w:rPr>
          <w:lang w:eastAsia="en-US"/>
        </w:rPr>
        <w:t>.</w:t>
      </w:r>
    </w:p>
    <w:p w14:paraId="5A91399E" w14:textId="77777777" w:rsidR="00E36F04" w:rsidRDefault="00E36F04" w:rsidP="00E36F04">
      <w:pPr>
        <w:pStyle w:val="Heading2"/>
      </w:pPr>
      <w:bookmarkStart w:id="648" w:name="_Ref89720398"/>
      <w:bookmarkStart w:id="649" w:name="_Toc89723081"/>
      <w:bookmarkStart w:id="650" w:name="_Toc89723230"/>
      <w:bookmarkStart w:id="651" w:name="_Toc89723290"/>
      <w:bookmarkStart w:id="652" w:name="_Toc89860554"/>
      <w:bookmarkStart w:id="653" w:name="_Toc89860698"/>
      <w:bookmarkStart w:id="654" w:name="_Toc90326024"/>
      <w:bookmarkStart w:id="655" w:name="_Toc93659430"/>
      <w:r>
        <w:lastRenderedPageBreak/>
        <w:t>Financial Sustainability</w:t>
      </w:r>
      <w:bookmarkEnd w:id="648"/>
      <w:bookmarkEnd w:id="649"/>
      <w:bookmarkEnd w:id="650"/>
      <w:bookmarkEnd w:id="651"/>
      <w:bookmarkEnd w:id="652"/>
      <w:bookmarkEnd w:id="653"/>
      <w:bookmarkEnd w:id="654"/>
      <w:bookmarkEnd w:id="655"/>
    </w:p>
    <w:p w14:paraId="65E6927C" w14:textId="2CB171BC" w:rsidR="00E36F04" w:rsidRDefault="00E36F04" w:rsidP="00E36F04">
      <w:pPr>
        <w:pStyle w:val="PullBox"/>
      </w:pPr>
      <w:r>
        <w:t>Our financial decisions have business efficiency and a commercial focus at their core to ensure customer affordability.</w:t>
      </w:r>
    </w:p>
    <w:p w14:paraId="4EDF332A" w14:textId="761A9103" w:rsidR="00E36F04" w:rsidRDefault="00E36F04" w:rsidP="00E36F04">
      <w:pPr>
        <w:pStyle w:val="BodyText"/>
        <w:rPr>
          <w:lang w:eastAsia="en-US"/>
        </w:rPr>
      </w:pPr>
      <w:r>
        <w:rPr>
          <w:lang w:eastAsia="en-US"/>
        </w:rPr>
        <w:t>Financial sustainability is embedded into Melbourne Water's</w:t>
      </w:r>
      <w:r w:rsidR="00F96FB2">
        <w:rPr>
          <w:lang w:eastAsia="en-US"/>
        </w:rPr>
        <w:t xml:space="preserve"> </w:t>
      </w:r>
      <w:r>
        <w:rPr>
          <w:lang w:eastAsia="en-US"/>
        </w:rPr>
        <w:t>strategic objectives. We define financial sustainability as:</w:t>
      </w:r>
    </w:p>
    <w:p w14:paraId="0B6ECC80" w14:textId="3432ACF1" w:rsidR="00E36F04" w:rsidRDefault="00E36F04" w:rsidP="00C778D6">
      <w:pPr>
        <w:pStyle w:val="ListBullet"/>
        <w:rPr>
          <w:lang w:eastAsia="en-US"/>
        </w:rPr>
      </w:pPr>
      <w:r>
        <w:rPr>
          <w:lang w:eastAsia="en-US"/>
        </w:rPr>
        <w:t>continuing to deliver our valued services at the lowest</w:t>
      </w:r>
      <w:r w:rsidR="00F96FB2">
        <w:rPr>
          <w:lang w:eastAsia="en-US"/>
        </w:rPr>
        <w:t xml:space="preserve"> </w:t>
      </w:r>
      <w:r>
        <w:rPr>
          <w:lang w:eastAsia="en-US"/>
        </w:rPr>
        <w:t>cost to customers</w:t>
      </w:r>
    </w:p>
    <w:p w14:paraId="2A79C07F" w14:textId="4C956A78" w:rsidR="00E36F04" w:rsidRDefault="00E36F04" w:rsidP="00C778D6">
      <w:pPr>
        <w:pStyle w:val="ListBullet"/>
        <w:rPr>
          <w:lang w:eastAsia="en-US"/>
        </w:rPr>
      </w:pPr>
      <w:r>
        <w:rPr>
          <w:lang w:eastAsia="en-US"/>
        </w:rPr>
        <w:t>meeting our financial obligations both today and in the</w:t>
      </w:r>
      <w:r w:rsidR="00F96FB2">
        <w:rPr>
          <w:lang w:eastAsia="en-US"/>
        </w:rPr>
        <w:t xml:space="preserve"> </w:t>
      </w:r>
      <w:r>
        <w:rPr>
          <w:lang w:eastAsia="en-US"/>
        </w:rPr>
        <w:t>future</w:t>
      </w:r>
    </w:p>
    <w:p w14:paraId="26F9A212" w14:textId="77777777" w:rsidR="00F96FB2" w:rsidRDefault="00E36F04" w:rsidP="00C778D6">
      <w:pPr>
        <w:pStyle w:val="ListBullet"/>
        <w:rPr>
          <w:lang w:eastAsia="en-US"/>
        </w:rPr>
      </w:pPr>
      <w:r>
        <w:rPr>
          <w:lang w:eastAsia="en-US"/>
        </w:rPr>
        <w:t>providing a return to our shareholders.</w:t>
      </w:r>
    </w:p>
    <w:p w14:paraId="46FB5C4D" w14:textId="6C64DA61" w:rsidR="00E36F04" w:rsidRDefault="00E36F04" w:rsidP="00E36F04">
      <w:pPr>
        <w:pStyle w:val="BodyText"/>
        <w:rPr>
          <w:lang w:eastAsia="en-US"/>
        </w:rPr>
      </w:pPr>
      <w:r>
        <w:rPr>
          <w:lang w:eastAsia="en-US"/>
        </w:rPr>
        <w:t>In 2020-21 Melbourne Water has again delivered a solid</w:t>
      </w:r>
      <w:r w:rsidR="00F96FB2">
        <w:rPr>
          <w:lang w:eastAsia="en-US"/>
        </w:rPr>
        <w:t xml:space="preserve"> </w:t>
      </w:r>
      <w:r>
        <w:rPr>
          <w:lang w:eastAsia="en-US"/>
        </w:rPr>
        <w:t>financial performance, achieving a positive net profit after tax result of $192.0 million.</w:t>
      </w:r>
    </w:p>
    <w:p w14:paraId="740280E7" w14:textId="3312C2D0" w:rsidR="00E36F04" w:rsidRDefault="00E36F04" w:rsidP="00E36F04">
      <w:pPr>
        <w:pStyle w:val="BodyText"/>
        <w:rPr>
          <w:lang w:eastAsia="en-US"/>
        </w:rPr>
      </w:pPr>
      <w:r>
        <w:rPr>
          <w:lang w:eastAsia="en-US"/>
        </w:rPr>
        <w:t>Our net revenue for bulk water is down on the previous year</w:t>
      </w:r>
      <w:r w:rsidR="00F96FB2">
        <w:rPr>
          <w:lang w:eastAsia="en-US"/>
        </w:rPr>
        <w:t xml:space="preserve"> </w:t>
      </w:r>
      <w:r>
        <w:rPr>
          <w:lang w:eastAsia="en-US"/>
        </w:rPr>
        <w:t>due to lower demand and a reduction in tariffs. Revenue</w:t>
      </w:r>
      <w:r w:rsidR="00F96FB2">
        <w:rPr>
          <w:lang w:eastAsia="en-US"/>
        </w:rPr>
        <w:t xml:space="preserve"> </w:t>
      </w:r>
      <w:r>
        <w:rPr>
          <w:lang w:eastAsia="en-US"/>
        </w:rPr>
        <w:t>associated with land development services has remained</w:t>
      </w:r>
      <w:r w:rsidR="00F96FB2">
        <w:rPr>
          <w:lang w:eastAsia="en-US"/>
        </w:rPr>
        <w:t xml:space="preserve"> </w:t>
      </w:r>
      <w:r>
        <w:rPr>
          <w:lang w:eastAsia="en-US"/>
        </w:rPr>
        <w:t>consistent with the prior year and was helped by government</w:t>
      </w:r>
      <w:r w:rsidR="00F96FB2">
        <w:rPr>
          <w:lang w:eastAsia="en-US"/>
        </w:rPr>
        <w:t xml:space="preserve"> </w:t>
      </w:r>
      <w:r>
        <w:rPr>
          <w:lang w:eastAsia="en-US"/>
        </w:rPr>
        <w:t>stimulus in the development sector during the pandemic.</w:t>
      </w:r>
      <w:r w:rsidR="00F96FB2">
        <w:rPr>
          <w:lang w:eastAsia="en-US"/>
        </w:rPr>
        <w:t xml:space="preserve"> </w:t>
      </w:r>
      <w:r>
        <w:rPr>
          <w:lang w:eastAsia="en-US"/>
        </w:rPr>
        <w:t>Melbourne Water’s continued strong financial performance</w:t>
      </w:r>
      <w:r w:rsidR="00F96FB2">
        <w:rPr>
          <w:lang w:eastAsia="en-US"/>
        </w:rPr>
        <w:t xml:space="preserve"> </w:t>
      </w:r>
      <w:r>
        <w:rPr>
          <w:lang w:eastAsia="en-US"/>
        </w:rPr>
        <w:t>contributes to our State’s success in delivering for our</w:t>
      </w:r>
      <w:r w:rsidR="00F96FB2">
        <w:rPr>
          <w:lang w:eastAsia="en-US"/>
        </w:rPr>
        <w:t xml:space="preserve"> </w:t>
      </w:r>
      <w:r>
        <w:rPr>
          <w:lang w:eastAsia="en-US"/>
        </w:rPr>
        <w:t>communities.</w:t>
      </w:r>
    </w:p>
    <w:p w14:paraId="382FD27E" w14:textId="79CC0B9D" w:rsidR="00E36F04" w:rsidRDefault="00E36F04" w:rsidP="000C436B">
      <w:pPr>
        <w:pStyle w:val="BodyText"/>
        <w:keepLines/>
        <w:rPr>
          <w:lang w:eastAsia="en-US"/>
        </w:rPr>
      </w:pPr>
      <w:r>
        <w:rPr>
          <w:lang w:eastAsia="en-US"/>
        </w:rPr>
        <w:t xml:space="preserve">The </w:t>
      </w:r>
      <w:r w:rsidR="0030196D">
        <w:t>COVID</w:t>
      </w:r>
      <w:r w:rsidR="0030196D">
        <w:noBreakHyphen/>
        <w:t>19</w:t>
      </w:r>
      <w:r>
        <w:rPr>
          <w:lang w:eastAsia="en-US"/>
        </w:rPr>
        <w:t xml:space="preserve"> pandemic has not resulted in Melbourne Water</w:t>
      </w:r>
      <w:r w:rsidR="00F96FB2">
        <w:rPr>
          <w:lang w:eastAsia="en-US"/>
        </w:rPr>
        <w:t xml:space="preserve"> </w:t>
      </w:r>
      <w:r>
        <w:rPr>
          <w:lang w:eastAsia="en-US"/>
        </w:rPr>
        <w:t>experiencing material financial shocks during this financial</w:t>
      </w:r>
      <w:r w:rsidR="00F96FB2">
        <w:rPr>
          <w:lang w:eastAsia="en-US"/>
        </w:rPr>
        <w:t xml:space="preserve"> </w:t>
      </w:r>
      <w:r>
        <w:rPr>
          <w:lang w:eastAsia="en-US"/>
        </w:rPr>
        <w:t>year. Despite restrictions that have resulted in our workforce</w:t>
      </w:r>
      <w:r w:rsidR="00F96FB2">
        <w:rPr>
          <w:lang w:eastAsia="en-US"/>
        </w:rPr>
        <w:t xml:space="preserve"> </w:t>
      </w:r>
      <w:r>
        <w:rPr>
          <w:lang w:eastAsia="en-US"/>
        </w:rPr>
        <w:t>either having to segregate or work remotely, we have been</w:t>
      </w:r>
      <w:r w:rsidR="00F96FB2">
        <w:rPr>
          <w:lang w:eastAsia="en-US"/>
        </w:rPr>
        <w:t xml:space="preserve"> </w:t>
      </w:r>
      <w:r>
        <w:rPr>
          <w:lang w:eastAsia="en-US"/>
        </w:rPr>
        <w:t>able to deliver our obligations and another strong financial</w:t>
      </w:r>
      <w:r w:rsidR="00F96FB2">
        <w:rPr>
          <w:lang w:eastAsia="en-US"/>
        </w:rPr>
        <w:t xml:space="preserve"> </w:t>
      </w:r>
      <w:r>
        <w:rPr>
          <w:lang w:eastAsia="en-US"/>
        </w:rPr>
        <w:t>performance for our shareholders and the community. Possible</w:t>
      </w:r>
      <w:r w:rsidR="00F96FB2">
        <w:rPr>
          <w:lang w:eastAsia="en-US"/>
        </w:rPr>
        <w:t xml:space="preserve"> </w:t>
      </w:r>
      <w:r>
        <w:rPr>
          <w:lang w:eastAsia="en-US"/>
        </w:rPr>
        <w:t>impacts on both our business and our customers are closely</w:t>
      </w:r>
      <w:r w:rsidR="00F96FB2">
        <w:rPr>
          <w:lang w:eastAsia="en-US"/>
        </w:rPr>
        <w:t xml:space="preserve"> </w:t>
      </w:r>
      <w:r>
        <w:rPr>
          <w:lang w:eastAsia="en-US"/>
        </w:rPr>
        <w:t>monitored and we remain committed to supporting customers</w:t>
      </w:r>
      <w:r w:rsidR="00F96FB2">
        <w:rPr>
          <w:lang w:eastAsia="en-US"/>
        </w:rPr>
        <w:t xml:space="preserve"> </w:t>
      </w:r>
      <w:r>
        <w:rPr>
          <w:lang w:eastAsia="en-US"/>
        </w:rPr>
        <w:t>experiencing financial vulnerability. During 2020-21 we</w:t>
      </w:r>
      <w:r w:rsidR="00F96FB2">
        <w:rPr>
          <w:lang w:eastAsia="en-US"/>
        </w:rPr>
        <w:t xml:space="preserve"> </w:t>
      </w:r>
      <w:r>
        <w:rPr>
          <w:lang w:eastAsia="en-US"/>
        </w:rPr>
        <w:t>undertook early payment of invoices to our suppliers to help</w:t>
      </w:r>
      <w:r w:rsidR="00F96FB2">
        <w:rPr>
          <w:lang w:eastAsia="en-US"/>
        </w:rPr>
        <w:t xml:space="preserve"> </w:t>
      </w:r>
      <w:r>
        <w:rPr>
          <w:lang w:eastAsia="en-US"/>
        </w:rPr>
        <w:t>support their cashflows and provided rent relief to our lessees</w:t>
      </w:r>
      <w:r w:rsidR="00F96FB2">
        <w:rPr>
          <w:lang w:eastAsia="en-US"/>
        </w:rPr>
        <w:t xml:space="preserve"> </w:t>
      </w:r>
      <w:r>
        <w:rPr>
          <w:lang w:eastAsia="en-US"/>
        </w:rPr>
        <w:t>in line with government policy.</w:t>
      </w:r>
    </w:p>
    <w:p w14:paraId="48B8E75B" w14:textId="2C467218" w:rsidR="00E36F04" w:rsidRDefault="00E36F04" w:rsidP="00E36F04">
      <w:pPr>
        <w:pStyle w:val="BodyText"/>
        <w:rPr>
          <w:lang w:eastAsia="en-US"/>
        </w:rPr>
      </w:pPr>
      <w:r>
        <w:rPr>
          <w:lang w:eastAsia="en-US"/>
        </w:rPr>
        <w:t>The finalisation of our 2021 Price Determination has</w:t>
      </w:r>
      <w:r w:rsidR="00F96FB2">
        <w:rPr>
          <w:lang w:eastAsia="en-US"/>
        </w:rPr>
        <w:t xml:space="preserve"> </w:t>
      </w:r>
      <w:r>
        <w:rPr>
          <w:lang w:eastAsia="en-US"/>
        </w:rPr>
        <w:t>ensured we have sufficient revenues now and in the future</w:t>
      </w:r>
      <w:r w:rsidR="00F96FB2">
        <w:rPr>
          <w:lang w:eastAsia="en-US"/>
        </w:rPr>
        <w:t xml:space="preserve"> </w:t>
      </w:r>
      <w:r>
        <w:rPr>
          <w:lang w:eastAsia="en-US"/>
        </w:rPr>
        <w:t>to deliver our services and means we will also deliver on our</w:t>
      </w:r>
      <w:r w:rsidR="00F96FB2">
        <w:rPr>
          <w:lang w:eastAsia="en-US"/>
        </w:rPr>
        <w:t xml:space="preserve"> </w:t>
      </w:r>
      <w:r>
        <w:rPr>
          <w:lang w:eastAsia="en-US"/>
        </w:rPr>
        <w:t>commitment to customers to keep water bills low. To do this,</w:t>
      </w:r>
      <w:r w:rsidR="00F96FB2">
        <w:rPr>
          <w:lang w:eastAsia="en-US"/>
        </w:rPr>
        <w:t xml:space="preserve"> </w:t>
      </w:r>
      <w:r>
        <w:rPr>
          <w:lang w:eastAsia="en-US"/>
        </w:rPr>
        <w:t>we will continue to seek opportunities to drive efficiencies in all</w:t>
      </w:r>
      <w:r w:rsidR="00F96FB2">
        <w:rPr>
          <w:lang w:eastAsia="en-US"/>
        </w:rPr>
        <w:t xml:space="preserve"> </w:t>
      </w:r>
      <w:r>
        <w:rPr>
          <w:lang w:eastAsia="en-US"/>
        </w:rPr>
        <w:t>that we do. In particular, we are leveraging our investments in</w:t>
      </w:r>
      <w:r w:rsidR="00F96FB2">
        <w:rPr>
          <w:lang w:eastAsia="en-US"/>
        </w:rPr>
        <w:t xml:space="preserve"> </w:t>
      </w:r>
      <w:r>
        <w:rPr>
          <w:lang w:eastAsia="en-US"/>
        </w:rPr>
        <w:t>new technologies and systems (including artificial intelligence</w:t>
      </w:r>
      <w:r w:rsidR="00F96FB2">
        <w:rPr>
          <w:lang w:eastAsia="en-US"/>
        </w:rPr>
        <w:t xml:space="preserve"> </w:t>
      </w:r>
      <w:r>
        <w:rPr>
          <w:lang w:eastAsia="en-US"/>
        </w:rPr>
        <w:t>and robotic process automation) and rapidly building our data</w:t>
      </w:r>
      <w:r w:rsidR="00F96FB2">
        <w:rPr>
          <w:lang w:eastAsia="en-US"/>
        </w:rPr>
        <w:t xml:space="preserve"> </w:t>
      </w:r>
      <w:r>
        <w:rPr>
          <w:lang w:eastAsia="en-US"/>
        </w:rPr>
        <w:t>analytic capabilities to enable data-driven decision making across the business.</w:t>
      </w:r>
    </w:p>
    <w:p w14:paraId="1A079C19" w14:textId="6FA8CCD8" w:rsidR="00F96FB2" w:rsidRDefault="00F96FB2" w:rsidP="00F96FB2">
      <w:pPr>
        <w:pStyle w:val="BodyText"/>
        <w:rPr>
          <w:lang w:eastAsia="en-US"/>
        </w:rPr>
      </w:pPr>
      <w:r>
        <w:rPr>
          <w:lang w:eastAsia="en-US"/>
        </w:rPr>
        <w:t>Procurement improvements have been key initiatives in 2020-21 and will continue into the next financial year as will our ongoing commitment to furthering organisational commercial capability. We are steadfast in our objective to deliver excellence in financial management and this includes our debt management practices to minimise financing costs and actively manage financial risks for the business and the State.</w:t>
      </w:r>
    </w:p>
    <w:p w14:paraId="30FC1E8F" w14:textId="77777777" w:rsidR="00F96FB2" w:rsidRDefault="00F96FB2" w:rsidP="00F96FB2">
      <w:pPr>
        <w:pStyle w:val="Heading3"/>
      </w:pPr>
      <w:bookmarkStart w:id="656" w:name="_Toc89723082"/>
      <w:bookmarkStart w:id="657" w:name="_Ref89810653"/>
      <w:bookmarkStart w:id="658" w:name="_Toc90326025"/>
      <w:bookmarkStart w:id="659" w:name="_Toc93659431"/>
      <w:r>
        <w:t>Price Submission</w:t>
      </w:r>
      <w:bookmarkEnd w:id="656"/>
      <w:bookmarkEnd w:id="657"/>
      <w:bookmarkEnd w:id="658"/>
      <w:bookmarkEnd w:id="659"/>
    </w:p>
    <w:p w14:paraId="2D9D0E1A" w14:textId="77777777" w:rsidR="00F96FB2" w:rsidRDefault="00F96FB2" w:rsidP="00F96FB2">
      <w:pPr>
        <w:pStyle w:val="BodyText"/>
        <w:rPr>
          <w:lang w:eastAsia="en-US"/>
        </w:rPr>
      </w:pPr>
      <w:r>
        <w:rPr>
          <w:lang w:eastAsia="en-US"/>
        </w:rPr>
        <w:t>Our Price Submission was the result of an extensive 18-month engagement program with the community, government, water retailers, councils, business and industry to develop a Price Submission that balances the ability to provide world-class services with the need to keep bills as low as possible.</w:t>
      </w:r>
    </w:p>
    <w:p w14:paraId="2E938263" w14:textId="0D53239E" w:rsidR="00F96FB2" w:rsidRDefault="00F96FB2" w:rsidP="00F96FB2">
      <w:pPr>
        <w:pStyle w:val="BodyText"/>
        <w:rPr>
          <w:lang w:eastAsia="en-US"/>
        </w:rPr>
      </w:pPr>
      <w:r>
        <w:rPr>
          <w:lang w:eastAsia="en-US"/>
        </w:rPr>
        <w:t xml:space="preserve">The Essential Services Commission (ESC) released its final decision on Melbourne Water’s Price Submission, which sought to deliver lower prices and increased levels of service to our customers. The </w:t>
      </w:r>
      <w:r w:rsidR="00965CBF">
        <w:rPr>
          <w:lang w:eastAsia="en-US"/>
        </w:rPr>
        <w:t>Essential Services Commission</w:t>
      </w:r>
      <w:r>
        <w:rPr>
          <w:lang w:eastAsia="en-US"/>
        </w:rPr>
        <w:t xml:space="preserve"> approved a revenue of $7.9 billion over a five-year period. As a result, prices will fall on average by around $20 in the 2021-22 year for a typical residential household. Melbourne Water’s Price Submission enables us to deliver on the six outcomes our customers told us they most value:</w:t>
      </w:r>
    </w:p>
    <w:p w14:paraId="6BFDE54E" w14:textId="5168C055" w:rsidR="00F96FB2" w:rsidRDefault="00F96FB2" w:rsidP="00F96FB2">
      <w:pPr>
        <w:pStyle w:val="ListBullet"/>
        <w:rPr>
          <w:lang w:eastAsia="en-US"/>
        </w:rPr>
      </w:pPr>
      <w:r>
        <w:rPr>
          <w:lang w:eastAsia="en-US"/>
        </w:rPr>
        <w:t>access to safe and reliable water and sewerage services</w:t>
      </w:r>
    </w:p>
    <w:p w14:paraId="67B8B032" w14:textId="28F08B2F" w:rsidR="00F96FB2" w:rsidRDefault="00F96FB2" w:rsidP="00C778D6">
      <w:pPr>
        <w:pStyle w:val="ListBullet"/>
        <w:rPr>
          <w:lang w:eastAsia="en-US"/>
        </w:rPr>
      </w:pPr>
      <w:r>
        <w:rPr>
          <w:lang w:eastAsia="en-US"/>
        </w:rPr>
        <w:lastRenderedPageBreak/>
        <w:t>Melbourne’s environment, rivers, creeks and bays are protected and Melbourne Water’s greenhouse gas emissions are minimised</w:t>
      </w:r>
    </w:p>
    <w:p w14:paraId="15C5A2BD" w14:textId="3C7EC589" w:rsidR="00F96FB2" w:rsidRDefault="00F96FB2" w:rsidP="00C778D6">
      <w:pPr>
        <w:pStyle w:val="ListBullet"/>
        <w:rPr>
          <w:lang w:eastAsia="en-US"/>
        </w:rPr>
      </w:pPr>
      <w:r>
        <w:rPr>
          <w:lang w:eastAsia="en-US"/>
        </w:rPr>
        <w:t>Melbourne remains liveable as it deals with the impacts of climate change and population growth</w:t>
      </w:r>
    </w:p>
    <w:p w14:paraId="6F0AEBBA" w14:textId="69BB5382" w:rsidR="00F96FB2" w:rsidRDefault="00F96FB2" w:rsidP="00C778D6">
      <w:pPr>
        <w:pStyle w:val="ListBullet"/>
        <w:rPr>
          <w:lang w:eastAsia="en-US"/>
        </w:rPr>
      </w:pPr>
      <w:r>
        <w:rPr>
          <w:lang w:eastAsia="en-US"/>
        </w:rPr>
        <w:t>Melburnians are empowered to support the design and delivery of service outcomes</w:t>
      </w:r>
    </w:p>
    <w:p w14:paraId="1EE13BA9" w14:textId="02809688" w:rsidR="00F96FB2" w:rsidRDefault="00F96FB2" w:rsidP="00C778D6">
      <w:pPr>
        <w:pStyle w:val="ListBullet"/>
        <w:rPr>
          <w:lang w:eastAsia="en-US"/>
        </w:rPr>
      </w:pPr>
      <w:r>
        <w:rPr>
          <w:lang w:eastAsia="en-US"/>
        </w:rPr>
        <w:t>easy, respectful, responsive and transparent customer service</w:t>
      </w:r>
    </w:p>
    <w:p w14:paraId="2C36FBEE" w14:textId="77777777" w:rsidR="00F96FB2" w:rsidRDefault="00F96FB2" w:rsidP="00F96FB2">
      <w:pPr>
        <w:pStyle w:val="ListBullet"/>
        <w:rPr>
          <w:lang w:eastAsia="en-US"/>
        </w:rPr>
      </w:pPr>
      <w:r>
        <w:rPr>
          <w:lang w:eastAsia="en-US"/>
        </w:rPr>
        <w:t>bills kept as low as possible.</w:t>
      </w:r>
    </w:p>
    <w:p w14:paraId="2593DF12" w14:textId="445AD5C6" w:rsidR="00F96FB2" w:rsidRDefault="00F96FB2" w:rsidP="00F96FB2">
      <w:pPr>
        <w:pStyle w:val="BodyText"/>
        <w:rPr>
          <w:lang w:eastAsia="en-US"/>
        </w:rPr>
      </w:pPr>
      <w:r>
        <w:rPr>
          <w:lang w:eastAsia="en-US"/>
        </w:rPr>
        <w:t>Our Price Submission provides for almost $3.6 billion in capital investment over the next five years to maintain and improve services. This represents the biggest capital works program Melbourne Water has committed to since the Millennium Drought in the 2000s.</w:t>
      </w:r>
    </w:p>
    <w:p w14:paraId="770DE39F" w14:textId="77777777" w:rsidR="00F96FB2" w:rsidRDefault="00F96FB2" w:rsidP="000C436B">
      <w:pPr>
        <w:pStyle w:val="Heading2"/>
        <w:keepLines/>
      </w:pPr>
      <w:bookmarkStart w:id="660" w:name="_Toc89723083"/>
      <w:bookmarkStart w:id="661" w:name="_Toc89723231"/>
      <w:bookmarkStart w:id="662" w:name="_Toc89723291"/>
      <w:bookmarkStart w:id="663" w:name="_Toc89860555"/>
      <w:bookmarkStart w:id="664" w:name="_Toc89860699"/>
      <w:bookmarkStart w:id="665" w:name="_Toc90326026"/>
      <w:bookmarkStart w:id="666" w:name="_Toc93659432"/>
      <w:r>
        <w:t>Five-Year Financial Summary</w:t>
      </w:r>
      <w:bookmarkEnd w:id="660"/>
      <w:bookmarkEnd w:id="661"/>
      <w:bookmarkEnd w:id="662"/>
      <w:bookmarkEnd w:id="663"/>
      <w:bookmarkEnd w:id="664"/>
      <w:bookmarkEnd w:id="665"/>
      <w:bookmarkEnd w:id="666"/>
    </w:p>
    <w:p w14:paraId="66D63E27" w14:textId="7B0BB7E0" w:rsidR="00EE6590" w:rsidRDefault="00F96FB2" w:rsidP="000C436B">
      <w:pPr>
        <w:pStyle w:val="Heading3"/>
      </w:pPr>
      <w:bookmarkStart w:id="667" w:name="_Toc89723084"/>
      <w:bookmarkStart w:id="668" w:name="_Toc90326027"/>
      <w:bookmarkStart w:id="669" w:name="_Toc93659433"/>
      <w:r>
        <w:t>Summary of Financial Results</w:t>
      </w:r>
      <w:bookmarkEnd w:id="667"/>
      <w:bookmarkEnd w:id="668"/>
      <w:bookmarkEnd w:id="669"/>
    </w:p>
    <w:tbl>
      <w:tblPr>
        <w:tblStyle w:val="Style1"/>
        <w:tblW w:w="5000" w:type="pct"/>
        <w:tblLook w:val="0620" w:firstRow="1" w:lastRow="0" w:firstColumn="0" w:lastColumn="0" w:noHBand="1" w:noVBand="1"/>
      </w:tblPr>
      <w:tblGrid>
        <w:gridCol w:w="4312"/>
        <w:gridCol w:w="1065"/>
        <w:gridCol w:w="1065"/>
        <w:gridCol w:w="1065"/>
        <w:gridCol w:w="1065"/>
        <w:gridCol w:w="1059"/>
      </w:tblGrid>
      <w:tr w:rsidR="00A463CA" w:rsidRPr="00C33C27" w14:paraId="405D0D29" w14:textId="77777777" w:rsidTr="000C436B">
        <w:trPr>
          <w:cnfStyle w:val="100000000000" w:firstRow="1" w:lastRow="0" w:firstColumn="0" w:lastColumn="0" w:oddVBand="0" w:evenVBand="0" w:oddHBand="0" w:evenHBand="0" w:firstRowFirstColumn="0" w:firstRowLastColumn="0" w:lastRowFirstColumn="0" w:lastRowLastColumn="0"/>
          <w:trHeight w:val="20"/>
        </w:trPr>
        <w:tc>
          <w:tcPr>
            <w:tcW w:w="2238" w:type="pct"/>
            <w:tcBorders>
              <w:top w:val="single" w:sz="4" w:space="0" w:color="auto"/>
            </w:tcBorders>
            <w:vAlign w:val="bottom"/>
          </w:tcPr>
          <w:p w14:paraId="30F02AC8" w14:textId="77777777" w:rsidR="00C33C27" w:rsidRDefault="00A463CA" w:rsidP="000C436B">
            <w:pPr>
              <w:pStyle w:val="TableBodyText"/>
              <w:keepNext/>
              <w:keepLines/>
              <w:rPr>
                <w:b w:val="0"/>
                <w:bCs/>
              </w:rPr>
            </w:pPr>
            <w:bookmarkStart w:id="670" w:name="ColumnTitle_25"/>
            <w:r w:rsidRPr="00C33C27">
              <w:t>Statement of Profit or Loss</w:t>
            </w:r>
          </w:p>
          <w:p w14:paraId="565B0D33" w14:textId="60FEFB00" w:rsidR="00A463CA" w:rsidRPr="00C33C27" w:rsidRDefault="00A463CA" w:rsidP="000C436B">
            <w:pPr>
              <w:pStyle w:val="TableBodyText"/>
              <w:keepNext/>
              <w:keepLines/>
            </w:pPr>
            <w:r w:rsidRPr="00C33C27">
              <w:t>For the year ended 30 June – Extract</w:t>
            </w:r>
          </w:p>
        </w:tc>
        <w:tc>
          <w:tcPr>
            <w:tcW w:w="553" w:type="pct"/>
            <w:tcBorders>
              <w:top w:val="single" w:sz="4" w:space="0" w:color="auto"/>
            </w:tcBorders>
            <w:vAlign w:val="bottom"/>
          </w:tcPr>
          <w:p w14:paraId="7E1643CE" w14:textId="77777777" w:rsidR="00A463CA" w:rsidRPr="00C33C27" w:rsidRDefault="00A463CA" w:rsidP="000C436B">
            <w:pPr>
              <w:pStyle w:val="TableBodyText"/>
              <w:keepNext/>
              <w:keepLines/>
            </w:pPr>
            <w:r w:rsidRPr="00C33C27">
              <w:t>2021</w:t>
            </w:r>
          </w:p>
          <w:p w14:paraId="3734245B" w14:textId="77777777" w:rsidR="00A463CA" w:rsidRPr="00C33C27" w:rsidRDefault="00A463CA" w:rsidP="000C436B">
            <w:pPr>
              <w:pStyle w:val="TableBodyText"/>
              <w:keepNext/>
              <w:keepLines/>
            </w:pPr>
            <w:r w:rsidRPr="00C33C27">
              <w:t>$M</w:t>
            </w:r>
          </w:p>
        </w:tc>
        <w:tc>
          <w:tcPr>
            <w:tcW w:w="553" w:type="pct"/>
            <w:tcBorders>
              <w:top w:val="single" w:sz="4" w:space="0" w:color="auto"/>
            </w:tcBorders>
            <w:vAlign w:val="bottom"/>
          </w:tcPr>
          <w:p w14:paraId="66638DE6" w14:textId="77777777" w:rsidR="00A463CA" w:rsidRPr="00C33C27" w:rsidRDefault="00A463CA" w:rsidP="000C436B">
            <w:pPr>
              <w:pStyle w:val="TableBodyText"/>
              <w:keepNext/>
              <w:keepLines/>
            </w:pPr>
            <w:r w:rsidRPr="00C33C27">
              <w:t>2020</w:t>
            </w:r>
          </w:p>
          <w:p w14:paraId="14479E67" w14:textId="77777777" w:rsidR="00A463CA" w:rsidRPr="00C33C27" w:rsidRDefault="00A463CA" w:rsidP="000C436B">
            <w:pPr>
              <w:pStyle w:val="TableBodyText"/>
              <w:keepNext/>
              <w:keepLines/>
            </w:pPr>
            <w:r w:rsidRPr="00C33C27">
              <w:t>$M</w:t>
            </w:r>
          </w:p>
        </w:tc>
        <w:tc>
          <w:tcPr>
            <w:tcW w:w="553" w:type="pct"/>
            <w:tcBorders>
              <w:top w:val="single" w:sz="4" w:space="0" w:color="auto"/>
            </w:tcBorders>
            <w:vAlign w:val="bottom"/>
          </w:tcPr>
          <w:p w14:paraId="1A9493D6" w14:textId="77777777" w:rsidR="00A463CA" w:rsidRPr="00C33C27" w:rsidRDefault="00A463CA" w:rsidP="000C436B">
            <w:pPr>
              <w:pStyle w:val="TableBodyText"/>
              <w:keepNext/>
              <w:keepLines/>
            </w:pPr>
            <w:r w:rsidRPr="00C33C27">
              <w:t>2019</w:t>
            </w:r>
          </w:p>
          <w:p w14:paraId="50F837FB" w14:textId="77777777" w:rsidR="00A463CA" w:rsidRPr="00C33C27" w:rsidRDefault="00A463CA" w:rsidP="000C436B">
            <w:pPr>
              <w:pStyle w:val="TableBodyText"/>
              <w:keepNext/>
              <w:keepLines/>
            </w:pPr>
            <w:r w:rsidRPr="00C33C27">
              <w:t>$M</w:t>
            </w:r>
          </w:p>
        </w:tc>
        <w:tc>
          <w:tcPr>
            <w:tcW w:w="553" w:type="pct"/>
            <w:tcBorders>
              <w:top w:val="single" w:sz="4" w:space="0" w:color="auto"/>
            </w:tcBorders>
            <w:vAlign w:val="bottom"/>
          </w:tcPr>
          <w:p w14:paraId="5D887DB6" w14:textId="77777777" w:rsidR="00A463CA" w:rsidRPr="00C33C27" w:rsidRDefault="00A463CA" w:rsidP="000C436B">
            <w:pPr>
              <w:pStyle w:val="TableBodyText"/>
              <w:keepNext/>
              <w:keepLines/>
            </w:pPr>
            <w:r w:rsidRPr="00C33C27">
              <w:t>2018</w:t>
            </w:r>
          </w:p>
          <w:p w14:paraId="584B8DAD" w14:textId="77777777" w:rsidR="00A463CA" w:rsidRPr="00C33C27" w:rsidRDefault="00A463CA" w:rsidP="000C436B">
            <w:pPr>
              <w:pStyle w:val="TableBodyText"/>
              <w:keepNext/>
              <w:keepLines/>
            </w:pPr>
            <w:r w:rsidRPr="00C33C27">
              <w:t>$M</w:t>
            </w:r>
          </w:p>
        </w:tc>
        <w:tc>
          <w:tcPr>
            <w:tcW w:w="551" w:type="pct"/>
            <w:tcBorders>
              <w:top w:val="single" w:sz="4" w:space="0" w:color="auto"/>
            </w:tcBorders>
            <w:vAlign w:val="bottom"/>
          </w:tcPr>
          <w:p w14:paraId="65870887" w14:textId="77777777" w:rsidR="00A463CA" w:rsidRPr="00C33C27" w:rsidRDefault="00A463CA" w:rsidP="000C436B">
            <w:pPr>
              <w:pStyle w:val="TableBodyText"/>
              <w:keepNext/>
              <w:keepLines/>
            </w:pPr>
            <w:r w:rsidRPr="00C33C27">
              <w:t>2017</w:t>
            </w:r>
          </w:p>
          <w:p w14:paraId="085F055A" w14:textId="77777777" w:rsidR="00A463CA" w:rsidRPr="00C33C27" w:rsidRDefault="00A463CA" w:rsidP="000C436B">
            <w:pPr>
              <w:pStyle w:val="TableBodyText"/>
              <w:keepNext/>
              <w:keepLines/>
            </w:pPr>
            <w:r w:rsidRPr="00C33C27">
              <w:t>$M</w:t>
            </w:r>
          </w:p>
        </w:tc>
      </w:tr>
      <w:bookmarkEnd w:id="670"/>
      <w:tr w:rsidR="00A463CA" w:rsidRPr="00C33C27" w14:paraId="60B9EDC9" w14:textId="77777777" w:rsidTr="00AC3EBE">
        <w:trPr>
          <w:trHeight w:val="20"/>
        </w:trPr>
        <w:tc>
          <w:tcPr>
            <w:tcW w:w="2238" w:type="pct"/>
            <w:vAlign w:val="top"/>
          </w:tcPr>
          <w:p w14:paraId="4CCEB1F7" w14:textId="77777777" w:rsidR="00A463CA" w:rsidRPr="00C33C27" w:rsidRDefault="00A463CA" w:rsidP="000C436B">
            <w:pPr>
              <w:pStyle w:val="TableBodyText"/>
              <w:keepNext/>
              <w:keepLines/>
            </w:pPr>
            <w:r w:rsidRPr="00C33C27">
              <w:t>Total revenue</w:t>
            </w:r>
          </w:p>
        </w:tc>
        <w:tc>
          <w:tcPr>
            <w:tcW w:w="553" w:type="pct"/>
            <w:vAlign w:val="top"/>
          </w:tcPr>
          <w:p w14:paraId="308E22EE" w14:textId="77777777" w:rsidR="00A463CA" w:rsidRPr="00C33C27" w:rsidRDefault="00A463CA" w:rsidP="000C436B">
            <w:pPr>
              <w:pStyle w:val="TableBodyText"/>
              <w:keepNext/>
              <w:keepLines/>
            </w:pPr>
            <w:r w:rsidRPr="00C33C27">
              <w:t>1,988.7</w:t>
            </w:r>
          </w:p>
        </w:tc>
        <w:tc>
          <w:tcPr>
            <w:tcW w:w="553" w:type="pct"/>
            <w:vAlign w:val="top"/>
          </w:tcPr>
          <w:p w14:paraId="57DEC1E7" w14:textId="77777777" w:rsidR="00A463CA" w:rsidRPr="00C33C27" w:rsidRDefault="00A463CA" w:rsidP="000C436B">
            <w:pPr>
              <w:pStyle w:val="TableBodyText"/>
              <w:keepNext/>
              <w:keepLines/>
            </w:pPr>
            <w:r w:rsidRPr="00C33C27">
              <w:t>1,997.6</w:t>
            </w:r>
          </w:p>
        </w:tc>
        <w:tc>
          <w:tcPr>
            <w:tcW w:w="553" w:type="pct"/>
            <w:vAlign w:val="top"/>
          </w:tcPr>
          <w:p w14:paraId="17C192A9" w14:textId="77777777" w:rsidR="00A463CA" w:rsidRPr="00C33C27" w:rsidRDefault="00A463CA" w:rsidP="000C436B">
            <w:pPr>
              <w:pStyle w:val="TableBodyText"/>
              <w:keepNext/>
              <w:keepLines/>
            </w:pPr>
            <w:r w:rsidRPr="00C33C27">
              <w:t>1,938.8</w:t>
            </w:r>
          </w:p>
        </w:tc>
        <w:tc>
          <w:tcPr>
            <w:tcW w:w="553" w:type="pct"/>
            <w:vAlign w:val="top"/>
          </w:tcPr>
          <w:p w14:paraId="78242BC4" w14:textId="77777777" w:rsidR="00A463CA" w:rsidRPr="00C33C27" w:rsidRDefault="00A463CA" w:rsidP="000C436B">
            <w:pPr>
              <w:pStyle w:val="TableBodyText"/>
              <w:keepNext/>
              <w:keepLines/>
            </w:pPr>
            <w:r w:rsidRPr="00C33C27">
              <w:t>1,890.4</w:t>
            </w:r>
          </w:p>
        </w:tc>
        <w:tc>
          <w:tcPr>
            <w:tcW w:w="551" w:type="pct"/>
            <w:vAlign w:val="top"/>
          </w:tcPr>
          <w:p w14:paraId="1EAFFE42" w14:textId="77777777" w:rsidR="00A463CA" w:rsidRPr="00C33C27" w:rsidRDefault="00A463CA" w:rsidP="000C436B">
            <w:pPr>
              <w:pStyle w:val="TableBodyText"/>
              <w:keepNext/>
              <w:keepLines/>
            </w:pPr>
            <w:r w:rsidRPr="00C33C27">
              <w:t>1,791.4</w:t>
            </w:r>
          </w:p>
        </w:tc>
      </w:tr>
      <w:tr w:rsidR="00A463CA" w:rsidRPr="00C33C27" w14:paraId="153A7CB3" w14:textId="77777777" w:rsidTr="00AC3EBE">
        <w:trPr>
          <w:trHeight w:val="20"/>
        </w:trPr>
        <w:tc>
          <w:tcPr>
            <w:tcW w:w="2238" w:type="pct"/>
            <w:vAlign w:val="top"/>
          </w:tcPr>
          <w:p w14:paraId="65C43D1D" w14:textId="77777777" w:rsidR="00A463CA" w:rsidRPr="00C33C27" w:rsidRDefault="00A463CA" w:rsidP="00AC3EBE">
            <w:pPr>
              <w:pStyle w:val="TableBodyText"/>
            </w:pPr>
            <w:r w:rsidRPr="00C33C27">
              <w:t>Operating and other expenses</w:t>
            </w:r>
          </w:p>
        </w:tc>
        <w:tc>
          <w:tcPr>
            <w:tcW w:w="553" w:type="pct"/>
            <w:vAlign w:val="top"/>
          </w:tcPr>
          <w:p w14:paraId="4DA32CD7" w14:textId="77777777" w:rsidR="00A463CA" w:rsidRPr="00C33C27" w:rsidRDefault="00A463CA" w:rsidP="00AC3EBE">
            <w:pPr>
              <w:pStyle w:val="TableBodyText"/>
            </w:pPr>
            <w:r w:rsidRPr="00C33C27">
              <w:t>(672.0)</w:t>
            </w:r>
          </w:p>
        </w:tc>
        <w:tc>
          <w:tcPr>
            <w:tcW w:w="553" w:type="pct"/>
            <w:vAlign w:val="top"/>
          </w:tcPr>
          <w:p w14:paraId="6ED78A3E" w14:textId="77777777" w:rsidR="00A463CA" w:rsidRPr="00C33C27" w:rsidRDefault="00A463CA" w:rsidP="00AC3EBE">
            <w:pPr>
              <w:pStyle w:val="TableBodyText"/>
            </w:pPr>
            <w:r w:rsidRPr="00C33C27">
              <w:t>(636.2)</w:t>
            </w:r>
          </w:p>
        </w:tc>
        <w:tc>
          <w:tcPr>
            <w:tcW w:w="553" w:type="pct"/>
            <w:vAlign w:val="top"/>
          </w:tcPr>
          <w:p w14:paraId="5E389A74" w14:textId="77777777" w:rsidR="00A463CA" w:rsidRPr="00C33C27" w:rsidRDefault="00A463CA" w:rsidP="00AC3EBE">
            <w:pPr>
              <w:pStyle w:val="TableBodyText"/>
            </w:pPr>
            <w:r w:rsidRPr="00C33C27">
              <w:t>(595.1)</w:t>
            </w:r>
          </w:p>
        </w:tc>
        <w:tc>
          <w:tcPr>
            <w:tcW w:w="553" w:type="pct"/>
            <w:vAlign w:val="top"/>
          </w:tcPr>
          <w:p w14:paraId="1D3ADA8A" w14:textId="77777777" w:rsidR="00A463CA" w:rsidRPr="00C33C27" w:rsidRDefault="00A463CA" w:rsidP="00AC3EBE">
            <w:pPr>
              <w:pStyle w:val="TableBodyText"/>
            </w:pPr>
            <w:r w:rsidRPr="00C33C27">
              <w:t>(525.2)</w:t>
            </w:r>
          </w:p>
        </w:tc>
        <w:tc>
          <w:tcPr>
            <w:tcW w:w="551" w:type="pct"/>
            <w:vAlign w:val="top"/>
          </w:tcPr>
          <w:p w14:paraId="76617E62" w14:textId="77777777" w:rsidR="00A463CA" w:rsidRPr="00C33C27" w:rsidRDefault="00A463CA" w:rsidP="00AC3EBE">
            <w:pPr>
              <w:pStyle w:val="TableBodyText"/>
            </w:pPr>
            <w:r w:rsidRPr="00C33C27">
              <w:t>(512.4)</w:t>
            </w:r>
          </w:p>
        </w:tc>
      </w:tr>
      <w:tr w:rsidR="00A463CA" w:rsidRPr="00C33C27" w14:paraId="090EFD20" w14:textId="77777777" w:rsidTr="00AC3EBE">
        <w:trPr>
          <w:trHeight w:val="20"/>
        </w:trPr>
        <w:tc>
          <w:tcPr>
            <w:tcW w:w="2238" w:type="pct"/>
            <w:vAlign w:val="top"/>
          </w:tcPr>
          <w:p w14:paraId="7FCEA5AE" w14:textId="77777777" w:rsidR="00A463CA" w:rsidRPr="00C33C27" w:rsidRDefault="00A463CA" w:rsidP="00AC3EBE">
            <w:pPr>
              <w:pStyle w:val="TableBodyText"/>
            </w:pPr>
            <w:r w:rsidRPr="00C33C27">
              <w:t>Depreciation and amortisation expenses</w:t>
            </w:r>
          </w:p>
        </w:tc>
        <w:tc>
          <w:tcPr>
            <w:tcW w:w="553" w:type="pct"/>
            <w:vAlign w:val="top"/>
          </w:tcPr>
          <w:p w14:paraId="35B70F6E" w14:textId="77777777" w:rsidR="00A463CA" w:rsidRPr="00C33C27" w:rsidRDefault="00A463CA" w:rsidP="00AC3EBE">
            <w:pPr>
              <w:pStyle w:val="TableBodyText"/>
            </w:pPr>
            <w:r w:rsidRPr="00C33C27">
              <w:t>(450.1)</w:t>
            </w:r>
          </w:p>
        </w:tc>
        <w:tc>
          <w:tcPr>
            <w:tcW w:w="553" w:type="pct"/>
            <w:vAlign w:val="top"/>
          </w:tcPr>
          <w:p w14:paraId="4AD7B551" w14:textId="77777777" w:rsidR="00A463CA" w:rsidRPr="00C33C27" w:rsidRDefault="00A463CA" w:rsidP="00AC3EBE">
            <w:pPr>
              <w:pStyle w:val="TableBodyText"/>
            </w:pPr>
            <w:r w:rsidRPr="00C33C27">
              <w:t>(434.7)</w:t>
            </w:r>
          </w:p>
        </w:tc>
        <w:tc>
          <w:tcPr>
            <w:tcW w:w="553" w:type="pct"/>
            <w:vAlign w:val="top"/>
          </w:tcPr>
          <w:p w14:paraId="5053D3C5" w14:textId="77777777" w:rsidR="00A463CA" w:rsidRPr="00C33C27" w:rsidRDefault="00A463CA" w:rsidP="00AC3EBE">
            <w:pPr>
              <w:pStyle w:val="TableBodyText"/>
            </w:pPr>
            <w:r w:rsidRPr="00C33C27">
              <w:t>(408.1)</w:t>
            </w:r>
          </w:p>
        </w:tc>
        <w:tc>
          <w:tcPr>
            <w:tcW w:w="553" w:type="pct"/>
            <w:vAlign w:val="top"/>
          </w:tcPr>
          <w:p w14:paraId="3AF00342" w14:textId="77777777" w:rsidR="00A463CA" w:rsidRPr="00C33C27" w:rsidRDefault="00A463CA" w:rsidP="00AC3EBE">
            <w:pPr>
              <w:pStyle w:val="TableBodyText"/>
            </w:pPr>
            <w:r w:rsidRPr="00C33C27">
              <w:t>(392.1)</w:t>
            </w:r>
          </w:p>
        </w:tc>
        <w:tc>
          <w:tcPr>
            <w:tcW w:w="551" w:type="pct"/>
            <w:vAlign w:val="top"/>
          </w:tcPr>
          <w:p w14:paraId="24B9DAE3" w14:textId="77777777" w:rsidR="00A463CA" w:rsidRPr="00C33C27" w:rsidRDefault="00A463CA" w:rsidP="00AC3EBE">
            <w:pPr>
              <w:pStyle w:val="TableBodyText"/>
            </w:pPr>
            <w:r w:rsidRPr="00C33C27">
              <w:t>(383.8)</w:t>
            </w:r>
          </w:p>
        </w:tc>
      </w:tr>
      <w:tr w:rsidR="00A463CA" w:rsidRPr="00C33C27" w14:paraId="538D693B" w14:textId="77777777" w:rsidTr="00AC3EBE">
        <w:trPr>
          <w:trHeight w:val="20"/>
        </w:trPr>
        <w:tc>
          <w:tcPr>
            <w:tcW w:w="2238" w:type="pct"/>
            <w:tcBorders>
              <w:bottom w:val="single" w:sz="4" w:space="0" w:color="auto"/>
            </w:tcBorders>
            <w:vAlign w:val="top"/>
          </w:tcPr>
          <w:p w14:paraId="1F11731E" w14:textId="77777777" w:rsidR="00A463CA" w:rsidRPr="00C33C27" w:rsidRDefault="00A463CA" w:rsidP="00AC3EBE">
            <w:pPr>
              <w:pStyle w:val="TableBodyText"/>
            </w:pPr>
            <w:r w:rsidRPr="00C33C27">
              <w:t>Finance expenses</w:t>
            </w:r>
          </w:p>
        </w:tc>
        <w:tc>
          <w:tcPr>
            <w:tcW w:w="553" w:type="pct"/>
            <w:tcBorders>
              <w:bottom w:val="single" w:sz="4" w:space="0" w:color="auto"/>
            </w:tcBorders>
            <w:vAlign w:val="top"/>
          </w:tcPr>
          <w:p w14:paraId="7B7A0C1A" w14:textId="77777777" w:rsidR="00A463CA" w:rsidRPr="00C33C27" w:rsidRDefault="00A463CA" w:rsidP="00AC3EBE">
            <w:pPr>
              <w:pStyle w:val="TableBodyText"/>
            </w:pPr>
            <w:r w:rsidRPr="00C33C27">
              <w:t>(573.9)</w:t>
            </w:r>
          </w:p>
        </w:tc>
        <w:tc>
          <w:tcPr>
            <w:tcW w:w="553" w:type="pct"/>
            <w:tcBorders>
              <w:bottom w:val="single" w:sz="4" w:space="0" w:color="auto"/>
            </w:tcBorders>
            <w:vAlign w:val="top"/>
          </w:tcPr>
          <w:p w14:paraId="142F4938" w14:textId="77777777" w:rsidR="00A463CA" w:rsidRPr="00C33C27" w:rsidRDefault="00A463CA" w:rsidP="00AC3EBE">
            <w:pPr>
              <w:pStyle w:val="TableBodyText"/>
            </w:pPr>
            <w:r w:rsidRPr="00C33C27">
              <w:t>(601.8)</w:t>
            </w:r>
          </w:p>
        </w:tc>
        <w:tc>
          <w:tcPr>
            <w:tcW w:w="553" w:type="pct"/>
            <w:tcBorders>
              <w:bottom w:val="single" w:sz="4" w:space="0" w:color="auto"/>
            </w:tcBorders>
            <w:vAlign w:val="top"/>
          </w:tcPr>
          <w:p w14:paraId="7518A1E9" w14:textId="77777777" w:rsidR="00A463CA" w:rsidRPr="00C33C27" w:rsidRDefault="00A463CA" w:rsidP="00AC3EBE">
            <w:pPr>
              <w:pStyle w:val="TableBodyText"/>
            </w:pPr>
            <w:r w:rsidRPr="00C33C27">
              <w:t>(618.2)</w:t>
            </w:r>
          </w:p>
        </w:tc>
        <w:tc>
          <w:tcPr>
            <w:tcW w:w="553" w:type="pct"/>
            <w:tcBorders>
              <w:bottom w:val="single" w:sz="4" w:space="0" w:color="auto"/>
            </w:tcBorders>
            <w:vAlign w:val="top"/>
          </w:tcPr>
          <w:p w14:paraId="4D086D2B" w14:textId="77777777" w:rsidR="00A463CA" w:rsidRPr="00C33C27" w:rsidRDefault="00A463CA" w:rsidP="00AC3EBE">
            <w:pPr>
              <w:pStyle w:val="TableBodyText"/>
            </w:pPr>
            <w:r w:rsidRPr="00C33C27">
              <w:t>(645.3)</w:t>
            </w:r>
          </w:p>
        </w:tc>
        <w:tc>
          <w:tcPr>
            <w:tcW w:w="551" w:type="pct"/>
            <w:tcBorders>
              <w:bottom w:val="single" w:sz="4" w:space="0" w:color="auto"/>
            </w:tcBorders>
            <w:vAlign w:val="top"/>
          </w:tcPr>
          <w:p w14:paraId="5750D878" w14:textId="77777777" w:rsidR="00A463CA" w:rsidRPr="00C33C27" w:rsidRDefault="00A463CA" w:rsidP="00AC3EBE">
            <w:pPr>
              <w:pStyle w:val="TableBodyText"/>
            </w:pPr>
            <w:r w:rsidRPr="00C33C27">
              <w:t>(657.2)</w:t>
            </w:r>
          </w:p>
        </w:tc>
      </w:tr>
      <w:tr w:rsidR="00A463CA" w:rsidRPr="00C33C27" w14:paraId="54155F6A" w14:textId="77777777" w:rsidTr="00AC3EBE">
        <w:trPr>
          <w:trHeight w:val="20"/>
        </w:trPr>
        <w:tc>
          <w:tcPr>
            <w:tcW w:w="2238" w:type="pct"/>
            <w:tcBorders>
              <w:top w:val="single" w:sz="4" w:space="0" w:color="auto"/>
              <w:bottom w:val="single" w:sz="4" w:space="0" w:color="auto"/>
            </w:tcBorders>
            <w:vAlign w:val="top"/>
          </w:tcPr>
          <w:p w14:paraId="730ADD03" w14:textId="77777777" w:rsidR="00A463CA" w:rsidRPr="00C33C27" w:rsidRDefault="00A463CA" w:rsidP="00AC3EBE">
            <w:pPr>
              <w:pStyle w:val="TableBodyText"/>
              <w:rPr>
                <w:rStyle w:val="Bold"/>
              </w:rPr>
            </w:pPr>
            <w:r w:rsidRPr="00C33C27">
              <w:rPr>
                <w:rStyle w:val="Bold"/>
              </w:rPr>
              <w:t>Net profit from operations before tax</w:t>
            </w:r>
          </w:p>
        </w:tc>
        <w:tc>
          <w:tcPr>
            <w:tcW w:w="553" w:type="pct"/>
            <w:tcBorders>
              <w:top w:val="single" w:sz="4" w:space="0" w:color="auto"/>
              <w:bottom w:val="single" w:sz="4" w:space="0" w:color="auto"/>
            </w:tcBorders>
            <w:vAlign w:val="top"/>
          </w:tcPr>
          <w:p w14:paraId="02CDC177" w14:textId="77777777" w:rsidR="00A463CA" w:rsidRPr="00C33C27" w:rsidRDefault="00A463CA" w:rsidP="00AC3EBE">
            <w:pPr>
              <w:pStyle w:val="TableBodyText"/>
              <w:rPr>
                <w:rStyle w:val="Bold"/>
              </w:rPr>
            </w:pPr>
            <w:r w:rsidRPr="00C33C27">
              <w:rPr>
                <w:rStyle w:val="Bold"/>
              </w:rPr>
              <w:t>292.7</w:t>
            </w:r>
          </w:p>
        </w:tc>
        <w:tc>
          <w:tcPr>
            <w:tcW w:w="553" w:type="pct"/>
            <w:tcBorders>
              <w:top w:val="single" w:sz="4" w:space="0" w:color="auto"/>
              <w:bottom w:val="single" w:sz="4" w:space="0" w:color="auto"/>
            </w:tcBorders>
            <w:vAlign w:val="top"/>
          </w:tcPr>
          <w:p w14:paraId="2A83B1FF" w14:textId="77777777" w:rsidR="00A463CA" w:rsidRPr="00C33C27" w:rsidRDefault="00A463CA" w:rsidP="00AC3EBE">
            <w:pPr>
              <w:pStyle w:val="TableBodyText"/>
              <w:rPr>
                <w:rStyle w:val="Bold"/>
              </w:rPr>
            </w:pPr>
            <w:r w:rsidRPr="00C33C27">
              <w:rPr>
                <w:rStyle w:val="Bold"/>
              </w:rPr>
              <w:t>324.9</w:t>
            </w:r>
          </w:p>
        </w:tc>
        <w:tc>
          <w:tcPr>
            <w:tcW w:w="553" w:type="pct"/>
            <w:tcBorders>
              <w:top w:val="single" w:sz="4" w:space="0" w:color="auto"/>
              <w:bottom w:val="single" w:sz="4" w:space="0" w:color="auto"/>
            </w:tcBorders>
            <w:vAlign w:val="top"/>
          </w:tcPr>
          <w:p w14:paraId="19504D39" w14:textId="77777777" w:rsidR="00A463CA" w:rsidRPr="00C33C27" w:rsidRDefault="00A463CA" w:rsidP="00AC3EBE">
            <w:pPr>
              <w:pStyle w:val="TableBodyText"/>
              <w:rPr>
                <w:rStyle w:val="Bold"/>
              </w:rPr>
            </w:pPr>
            <w:r w:rsidRPr="00C33C27">
              <w:rPr>
                <w:rStyle w:val="Bold"/>
              </w:rPr>
              <w:t>317.3</w:t>
            </w:r>
          </w:p>
        </w:tc>
        <w:tc>
          <w:tcPr>
            <w:tcW w:w="553" w:type="pct"/>
            <w:tcBorders>
              <w:top w:val="single" w:sz="4" w:space="0" w:color="auto"/>
              <w:bottom w:val="single" w:sz="4" w:space="0" w:color="auto"/>
            </w:tcBorders>
            <w:vAlign w:val="top"/>
          </w:tcPr>
          <w:p w14:paraId="38AF360F" w14:textId="77777777" w:rsidR="00A463CA" w:rsidRPr="00C33C27" w:rsidRDefault="00A463CA" w:rsidP="00AC3EBE">
            <w:pPr>
              <w:pStyle w:val="TableBodyText"/>
              <w:rPr>
                <w:rStyle w:val="Bold"/>
              </w:rPr>
            </w:pPr>
            <w:r w:rsidRPr="00C33C27">
              <w:rPr>
                <w:rStyle w:val="Bold"/>
              </w:rPr>
              <w:t>327.7</w:t>
            </w:r>
          </w:p>
        </w:tc>
        <w:tc>
          <w:tcPr>
            <w:tcW w:w="551" w:type="pct"/>
            <w:tcBorders>
              <w:top w:val="single" w:sz="4" w:space="0" w:color="auto"/>
              <w:bottom w:val="single" w:sz="4" w:space="0" w:color="auto"/>
            </w:tcBorders>
            <w:vAlign w:val="top"/>
          </w:tcPr>
          <w:p w14:paraId="34B9B9B0" w14:textId="77777777" w:rsidR="00A463CA" w:rsidRPr="00C33C27" w:rsidRDefault="00A463CA" w:rsidP="00AC3EBE">
            <w:pPr>
              <w:pStyle w:val="TableBodyText"/>
              <w:rPr>
                <w:rStyle w:val="Bold"/>
              </w:rPr>
            </w:pPr>
            <w:r w:rsidRPr="00C33C27">
              <w:rPr>
                <w:rStyle w:val="Bold"/>
              </w:rPr>
              <w:t>237.9</w:t>
            </w:r>
          </w:p>
        </w:tc>
      </w:tr>
      <w:tr w:rsidR="00A463CA" w:rsidRPr="00C33C27" w14:paraId="03D7135E" w14:textId="77777777" w:rsidTr="00AC3EBE">
        <w:trPr>
          <w:trHeight w:val="20"/>
        </w:trPr>
        <w:tc>
          <w:tcPr>
            <w:tcW w:w="2238" w:type="pct"/>
            <w:tcBorders>
              <w:top w:val="single" w:sz="4" w:space="0" w:color="auto"/>
              <w:bottom w:val="single" w:sz="4" w:space="0" w:color="auto"/>
            </w:tcBorders>
            <w:vAlign w:val="top"/>
          </w:tcPr>
          <w:p w14:paraId="52FA547A" w14:textId="77777777" w:rsidR="00A463CA" w:rsidRPr="00C33C27" w:rsidRDefault="00A463CA" w:rsidP="00AC3EBE">
            <w:pPr>
              <w:pStyle w:val="TableBodyText"/>
            </w:pPr>
            <w:r w:rsidRPr="00C33C27">
              <w:t>Tax expense</w:t>
            </w:r>
          </w:p>
        </w:tc>
        <w:tc>
          <w:tcPr>
            <w:tcW w:w="553" w:type="pct"/>
            <w:tcBorders>
              <w:top w:val="single" w:sz="4" w:space="0" w:color="auto"/>
              <w:bottom w:val="single" w:sz="4" w:space="0" w:color="auto"/>
            </w:tcBorders>
            <w:vAlign w:val="top"/>
          </w:tcPr>
          <w:p w14:paraId="6887A688" w14:textId="77777777" w:rsidR="00A463CA" w:rsidRPr="00C33C27" w:rsidRDefault="00A463CA" w:rsidP="00AC3EBE">
            <w:pPr>
              <w:pStyle w:val="TableBodyText"/>
            </w:pPr>
            <w:r w:rsidRPr="00C33C27">
              <w:t>(100.7)</w:t>
            </w:r>
          </w:p>
        </w:tc>
        <w:tc>
          <w:tcPr>
            <w:tcW w:w="553" w:type="pct"/>
            <w:tcBorders>
              <w:top w:val="single" w:sz="4" w:space="0" w:color="auto"/>
              <w:bottom w:val="single" w:sz="4" w:space="0" w:color="auto"/>
            </w:tcBorders>
            <w:vAlign w:val="top"/>
          </w:tcPr>
          <w:p w14:paraId="370CA3EC" w14:textId="77777777" w:rsidR="00A463CA" w:rsidRPr="00C33C27" w:rsidRDefault="00A463CA" w:rsidP="00AC3EBE">
            <w:pPr>
              <w:pStyle w:val="TableBodyText"/>
            </w:pPr>
            <w:r w:rsidRPr="00C33C27">
              <w:t>(121.6)</w:t>
            </w:r>
          </w:p>
        </w:tc>
        <w:tc>
          <w:tcPr>
            <w:tcW w:w="553" w:type="pct"/>
            <w:tcBorders>
              <w:top w:val="single" w:sz="4" w:space="0" w:color="auto"/>
              <w:bottom w:val="single" w:sz="4" w:space="0" w:color="auto"/>
            </w:tcBorders>
            <w:vAlign w:val="top"/>
          </w:tcPr>
          <w:p w14:paraId="7AF95984" w14:textId="77777777" w:rsidR="00A463CA" w:rsidRPr="00C33C27" w:rsidRDefault="00A463CA" w:rsidP="00AC3EBE">
            <w:pPr>
              <w:pStyle w:val="TableBodyText"/>
            </w:pPr>
            <w:r w:rsidRPr="00C33C27">
              <w:t>(116.4)</w:t>
            </w:r>
          </w:p>
        </w:tc>
        <w:tc>
          <w:tcPr>
            <w:tcW w:w="553" w:type="pct"/>
            <w:tcBorders>
              <w:top w:val="single" w:sz="4" w:space="0" w:color="auto"/>
              <w:bottom w:val="single" w:sz="4" w:space="0" w:color="auto"/>
            </w:tcBorders>
            <w:vAlign w:val="top"/>
          </w:tcPr>
          <w:p w14:paraId="4AEC136A" w14:textId="77777777" w:rsidR="00A463CA" w:rsidRPr="00C33C27" w:rsidRDefault="00A463CA" w:rsidP="00AC3EBE">
            <w:pPr>
              <w:pStyle w:val="TableBodyText"/>
            </w:pPr>
            <w:r w:rsidRPr="00C33C27">
              <w:t>(118.9)</w:t>
            </w:r>
          </w:p>
        </w:tc>
        <w:tc>
          <w:tcPr>
            <w:tcW w:w="551" w:type="pct"/>
            <w:tcBorders>
              <w:top w:val="single" w:sz="4" w:space="0" w:color="auto"/>
              <w:bottom w:val="single" w:sz="4" w:space="0" w:color="auto"/>
            </w:tcBorders>
            <w:vAlign w:val="top"/>
          </w:tcPr>
          <w:p w14:paraId="5DB1AA17" w14:textId="77777777" w:rsidR="00A463CA" w:rsidRPr="00C33C27" w:rsidRDefault="00A463CA" w:rsidP="00AC3EBE">
            <w:pPr>
              <w:pStyle w:val="TableBodyText"/>
            </w:pPr>
            <w:r w:rsidRPr="00C33C27">
              <w:t>(87.5)</w:t>
            </w:r>
          </w:p>
        </w:tc>
      </w:tr>
      <w:tr w:rsidR="00A463CA" w:rsidRPr="00C33C27" w14:paraId="6B710FF0" w14:textId="77777777" w:rsidTr="00AC3EBE">
        <w:trPr>
          <w:trHeight w:val="20"/>
        </w:trPr>
        <w:tc>
          <w:tcPr>
            <w:tcW w:w="2238" w:type="pct"/>
            <w:tcBorders>
              <w:top w:val="single" w:sz="4" w:space="0" w:color="auto"/>
              <w:bottom w:val="single" w:sz="4" w:space="0" w:color="auto"/>
            </w:tcBorders>
            <w:vAlign w:val="top"/>
          </w:tcPr>
          <w:p w14:paraId="6D0EBCE9" w14:textId="77777777" w:rsidR="00A463CA" w:rsidRPr="00C33C27" w:rsidRDefault="00A463CA" w:rsidP="00AC3EBE">
            <w:pPr>
              <w:pStyle w:val="TableBodyText"/>
              <w:rPr>
                <w:rStyle w:val="Bold"/>
              </w:rPr>
            </w:pPr>
            <w:r w:rsidRPr="00C33C27">
              <w:rPr>
                <w:rStyle w:val="Bold"/>
              </w:rPr>
              <w:t>Net profit for the period after tax</w:t>
            </w:r>
          </w:p>
        </w:tc>
        <w:tc>
          <w:tcPr>
            <w:tcW w:w="553" w:type="pct"/>
            <w:tcBorders>
              <w:top w:val="single" w:sz="4" w:space="0" w:color="auto"/>
              <w:bottom w:val="single" w:sz="4" w:space="0" w:color="auto"/>
            </w:tcBorders>
            <w:vAlign w:val="top"/>
          </w:tcPr>
          <w:p w14:paraId="69722696" w14:textId="77777777" w:rsidR="00A463CA" w:rsidRPr="00C33C27" w:rsidRDefault="00A463CA" w:rsidP="00AC3EBE">
            <w:pPr>
              <w:pStyle w:val="TableBodyText"/>
              <w:rPr>
                <w:rStyle w:val="Bold"/>
              </w:rPr>
            </w:pPr>
            <w:r w:rsidRPr="00C33C27">
              <w:rPr>
                <w:rStyle w:val="Bold"/>
              </w:rPr>
              <w:t>192.0</w:t>
            </w:r>
          </w:p>
        </w:tc>
        <w:tc>
          <w:tcPr>
            <w:tcW w:w="553" w:type="pct"/>
            <w:tcBorders>
              <w:top w:val="single" w:sz="4" w:space="0" w:color="auto"/>
              <w:bottom w:val="single" w:sz="4" w:space="0" w:color="auto"/>
            </w:tcBorders>
            <w:vAlign w:val="top"/>
          </w:tcPr>
          <w:p w14:paraId="5B3F30B7" w14:textId="77777777" w:rsidR="00A463CA" w:rsidRPr="00C33C27" w:rsidRDefault="00A463CA" w:rsidP="00AC3EBE">
            <w:pPr>
              <w:pStyle w:val="TableBodyText"/>
              <w:rPr>
                <w:rStyle w:val="Bold"/>
              </w:rPr>
            </w:pPr>
            <w:r w:rsidRPr="00C33C27">
              <w:rPr>
                <w:rStyle w:val="Bold"/>
              </w:rPr>
              <w:t>203.3</w:t>
            </w:r>
          </w:p>
        </w:tc>
        <w:tc>
          <w:tcPr>
            <w:tcW w:w="553" w:type="pct"/>
            <w:tcBorders>
              <w:top w:val="single" w:sz="4" w:space="0" w:color="auto"/>
              <w:bottom w:val="single" w:sz="4" w:space="0" w:color="auto"/>
            </w:tcBorders>
            <w:vAlign w:val="top"/>
          </w:tcPr>
          <w:p w14:paraId="223CCFB9" w14:textId="77777777" w:rsidR="00A463CA" w:rsidRPr="00C33C27" w:rsidRDefault="00A463CA" w:rsidP="00AC3EBE">
            <w:pPr>
              <w:pStyle w:val="TableBodyText"/>
              <w:rPr>
                <w:rStyle w:val="Bold"/>
              </w:rPr>
            </w:pPr>
            <w:r w:rsidRPr="00C33C27">
              <w:rPr>
                <w:rStyle w:val="Bold"/>
              </w:rPr>
              <w:t>201.0</w:t>
            </w:r>
          </w:p>
        </w:tc>
        <w:tc>
          <w:tcPr>
            <w:tcW w:w="553" w:type="pct"/>
            <w:tcBorders>
              <w:top w:val="single" w:sz="4" w:space="0" w:color="auto"/>
              <w:bottom w:val="single" w:sz="4" w:space="0" w:color="auto"/>
            </w:tcBorders>
            <w:vAlign w:val="top"/>
          </w:tcPr>
          <w:p w14:paraId="11F9AD9F" w14:textId="77777777" w:rsidR="00A463CA" w:rsidRPr="00C33C27" w:rsidRDefault="00A463CA" w:rsidP="00AC3EBE">
            <w:pPr>
              <w:pStyle w:val="TableBodyText"/>
              <w:rPr>
                <w:rStyle w:val="Bold"/>
              </w:rPr>
            </w:pPr>
            <w:r w:rsidRPr="00C33C27">
              <w:rPr>
                <w:rStyle w:val="Bold"/>
              </w:rPr>
              <w:t>208.8</w:t>
            </w:r>
          </w:p>
        </w:tc>
        <w:tc>
          <w:tcPr>
            <w:tcW w:w="551" w:type="pct"/>
            <w:tcBorders>
              <w:top w:val="single" w:sz="4" w:space="0" w:color="auto"/>
              <w:bottom w:val="single" w:sz="4" w:space="0" w:color="auto"/>
            </w:tcBorders>
            <w:vAlign w:val="top"/>
          </w:tcPr>
          <w:p w14:paraId="32867631" w14:textId="77777777" w:rsidR="00A463CA" w:rsidRPr="00C33C27" w:rsidRDefault="00A463CA" w:rsidP="00AC3EBE">
            <w:pPr>
              <w:pStyle w:val="TableBodyText"/>
              <w:rPr>
                <w:rStyle w:val="Bold"/>
              </w:rPr>
            </w:pPr>
            <w:r w:rsidRPr="00C33C27">
              <w:rPr>
                <w:rStyle w:val="Bold"/>
              </w:rPr>
              <w:t>150.4</w:t>
            </w:r>
          </w:p>
        </w:tc>
      </w:tr>
    </w:tbl>
    <w:p w14:paraId="6DE47122" w14:textId="46310B09" w:rsidR="00F96FB2" w:rsidRDefault="00F96FB2" w:rsidP="006F5D39"/>
    <w:tbl>
      <w:tblPr>
        <w:tblStyle w:val="Style1"/>
        <w:tblW w:w="5000" w:type="pct"/>
        <w:tblLook w:val="0620" w:firstRow="1" w:lastRow="0" w:firstColumn="0" w:lastColumn="0" w:noHBand="1" w:noVBand="1"/>
      </w:tblPr>
      <w:tblGrid>
        <w:gridCol w:w="4254"/>
        <w:gridCol w:w="1188"/>
        <w:gridCol w:w="984"/>
        <w:gridCol w:w="1119"/>
        <w:gridCol w:w="1119"/>
        <w:gridCol w:w="967"/>
      </w:tblGrid>
      <w:tr w:rsidR="00C33C27" w:rsidRPr="00C33C27" w14:paraId="3FC7C155" w14:textId="77777777" w:rsidTr="000C436B">
        <w:trPr>
          <w:cnfStyle w:val="100000000000" w:firstRow="1" w:lastRow="0" w:firstColumn="0" w:lastColumn="0" w:oddVBand="0" w:evenVBand="0" w:oddHBand="0" w:evenHBand="0" w:firstRowFirstColumn="0" w:firstRowLastColumn="0" w:lastRowFirstColumn="0" w:lastRowLastColumn="0"/>
          <w:trHeight w:val="20"/>
        </w:trPr>
        <w:tc>
          <w:tcPr>
            <w:tcW w:w="2208" w:type="pct"/>
            <w:tcBorders>
              <w:top w:val="single" w:sz="4" w:space="0" w:color="auto"/>
            </w:tcBorders>
            <w:vAlign w:val="bottom"/>
          </w:tcPr>
          <w:p w14:paraId="66D49927" w14:textId="77777777" w:rsidR="00C33C27" w:rsidRDefault="00C33C27" w:rsidP="00AC3EBE">
            <w:pPr>
              <w:pStyle w:val="TableBodyText"/>
              <w:rPr>
                <w:b w:val="0"/>
                <w:bCs/>
              </w:rPr>
            </w:pPr>
            <w:bookmarkStart w:id="671" w:name="ColumnTitle_26"/>
            <w:r w:rsidRPr="00C33C27">
              <w:t>Statement of Financial Position</w:t>
            </w:r>
          </w:p>
          <w:p w14:paraId="5B617A05" w14:textId="05044BA8" w:rsidR="00C33C27" w:rsidRPr="00C33C27" w:rsidRDefault="00C33C27" w:rsidP="00AC3EBE">
            <w:pPr>
              <w:pStyle w:val="TableBodyText"/>
            </w:pPr>
            <w:r w:rsidRPr="00C33C27">
              <w:t>as at 30 June – Extract</w:t>
            </w:r>
          </w:p>
        </w:tc>
        <w:tc>
          <w:tcPr>
            <w:tcW w:w="617" w:type="pct"/>
            <w:tcBorders>
              <w:top w:val="single" w:sz="4" w:space="0" w:color="auto"/>
            </w:tcBorders>
            <w:vAlign w:val="bottom"/>
          </w:tcPr>
          <w:p w14:paraId="4592E9DB" w14:textId="77777777" w:rsidR="00C33C27" w:rsidRPr="00C33C27" w:rsidRDefault="00C33C27" w:rsidP="00AC3EBE">
            <w:pPr>
              <w:pStyle w:val="TableBodyText"/>
            </w:pPr>
            <w:r w:rsidRPr="00C33C27">
              <w:t>2021</w:t>
            </w:r>
          </w:p>
          <w:p w14:paraId="302260CF" w14:textId="77777777" w:rsidR="00C33C27" w:rsidRPr="00C33C27" w:rsidRDefault="00C33C27" w:rsidP="00AC3EBE">
            <w:pPr>
              <w:pStyle w:val="TableBodyText"/>
            </w:pPr>
            <w:r w:rsidRPr="00C33C27">
              <w:t>$M</w:t>
            </w:r>
          </w:p>
        </w:tc>
        <w:tc>
          <w:tcPr>
            <w:tcW w:w="511" w:type="pct"/>
            <w:tcBorders>
              <w:top w:val="single" w:sz="4" w:space="0" w:color="auto"/>
            </w:tcBorders>
            <w:vAlign w:val="bottom"/>
          </w:tcPr>
          <w:p w14:paraId="31E8AE68" w14:textId="77777777" w:rsidR="00C33C27" w:rsidRPr="00C33C27" w:rsidRDefault="00C33C27" w:rsidP="00AC3EBE">
            <w:pPr>
              <w:pStyle w:val="TableBodyText"/>
            </w:pPr>
            <w:r w:rsidRPr="00C33C27">
              <w:t>2020</w:t>
            </w:r>
          </w:p>
          <w:p w14:paraId="46779104" w14:textId="77777777" w:rsidR="00C33C27" w:rsidRPr="00C33C27" w:rsidRDefault="00C33C27" w:rsidP="00AC3EBE">
            <w:pPr>
              <w:pStyle w:val="TableBodyText"/>
            </w:pPr>
            <w:r w:rsidRPr="00C33C27">
              <w:t>$M</w:t>
            </w:r>
          </w:p>
        </w:tc>
        <w:tc>
          <w:tcPr>
            <w:tcW w:w="581" w:type="pct"/>
            <w:tcBorders>
              <w:top w:val="single" w:sz="4" w:space="0" w:color="auto"/>
            </w:tcBorders>
            <w:vAlign w:val="bottom"/>
          </w:tcPr>
          <w:p w14:paraId="740319FF" w14:textId="77777777" w:rsidR="00C33C27" w:rsidRPr="00C33C27" w:rsidRDefault="00C33C27" w:rsidP="00AC3EBE">
            <w:pPr>
              <w:pStyle w:val="TableBodyText"/>
            </w:pPr>
            <w:r w:rsidRPr="00C33C27">
              <w:t>2019</w:t>
            </w:r>
          </w:p>
          <w:p w14:paraId="360939C8" w14:textId="77777777" w:rsidR="00C33C27" w:rsidRPr="00C33C27" w:rsidRDefault="00C33C27" w:rsidP="00AC3EBE">
            <w:pPr>
              <w:pStyle w:val="TableBodyText"/>
            </w:pPr>
            <w:r w:rsidRPr="00C33C27">
              <w:t>$M</w:t>
            </w:r>
          </w:p>
        </w:tc>
        <w:tc>
          <w:tcPr>
            <w:tcW w:w="581" w:type="pct"/>
            <w:tcBorders>
              <w:top w:val="single" w:sz="4" w:space="0" w:color="auto"/>
            </w:tcBorders>
            <w:vAlign w:val="bottom"/>
          </w:tcPr>
          <w:p w14:paraId="1AFA8819" w14:textId="77777777" w:rsidR="00C33C27" w:rsidRPr="00C33C27" w:rsidRDefault="00C33C27" w:rsidP="00AC3EBE">
            <w:pPr>
              <w:pStyle w:val="TableBodyText"/>
            </w:pPr>
            <w:r w:rsidRPr="00C33C27">
              <w:t>2018</w:t>
            </w:r>
          </w:p>
          <w:p w14:paraId="1843E3C7" w14:textId="77777777" w:rsidR="00C33C27" w:rsidRPr="00C33C27" w:rsidRDefault="00C33C27" w:rsidP="00AC3EBE">
            <w:pPr>
              <w:pStyle w:val="TableBodyText"/>
            </w:pPr>
            <w:r w:rsidRPr="00C33C27">
              <w:t>$M</w:t>
            </w:r>
          </w:p>
        </w:tc>
        <w:tc>
          <w:tcPr>
            <w:tcW w:w="502" w:type="pct"/>
            <w:tcBorders>
              <w:top w:val="single" w:sz="4" w:space="0" w:color="auto"/>
            </w:tcBorders>
            <w:vAlign w:val="bottom"/>
          </w:tcPr>
          <w:p w14:paraId="7F8601B6" w14:textId="77777777" w:rsidR="00C33C27" w:rsidRPr="00C33C27" w:rsidRDefault="00C33C27" w:rsidP="00AC3EBE">
            <w:pPr>
              <w:pStyle w:val="TableBodyText"/>
            </w:pPr>
            <w:r w:rsidRPr="00C33C27">
              <w:t>2017</w:t>
            </w:r>
          </w:p>
          <w:p w14:paraId="52FC9AB4" w14:textId="77777777" w:rsidR="00C33C27" w:rsidRPr="00C33C27" w:rsidRDefault="00C33C27" w:rsidP="00AC3EBE">
            <w:pPr>
              <w:pStyle w:val="TableBodyText"/>
            </w:pPr>
            <w:r w:rsidRPr="00C33C27">
              <w:t>$M</w:t>
            </w:r>
          </w:p>
        </w:tc>
      </w:tr>
      <w:bookmarkEnd w:id="671"/>
      <w:tr w:rsidR="00C33C27" w:rsidRPr="00C33C27" w14:paraId="1322479E" w14:textId="77777777" w:rsidTr="00AC3EBE">
        <w:trPr>
          <w:trHeight w:val="20"/>
        </w:trPr>
        <w:tc>
          <w:tcPr>
            <w:tcW w:w="2208" w:type="pct"/>
            <w:vAlign w:val="top"/>
          </w:tcPr>
          <w:p w14:paraId="6D50C0D4" w14:textId="77777777" w:rsidR="00C33C27" w:rsidRPr="00C33C27" w:rsidRDefault="00C33C27" w:rsidP="00AC3EBE">
            <w:pPr>
              <w:pStyle w:val="TableBodyText"/>
            </w:pPr>
            <w:r w:rsidRPr="00C33C27">
              <w:t>Current assets</w:t>
            </w:r>
          </w:p>
        </w:tc>
        <w:tc>
          <w:tcPr>
            <w:tcW w:w="617" w:type="pct"/>
            <w:vAlign w:val="top"/>
          </w:tcPr>
          <w:p w14:paraId="4E0274E2" w14:textId="77777777" w:rsidR="00C33C27" w:rsidRPr="00C33C27" w:rsidRDefault="00C33C27" w:rsidP="00AC3EBE">
            <w:pPr>
              <w:pStyle w:val="TableBodyText"/>
            </w:pPr>
            <w:r w:rsidRPr="00C33C27">
              <w:t>145.2</w:t>
            </w:r>
          </w:p>
        </w:tc>
        <w:tc>
          <w:tcPr>
            <w:tcW w:w="511" w:type="pct"/>
            <w:vAlign w:val="top"/>
          </w:tcPr>
          <w:p w14:paraId="4F4AE348" w14:textId="77777777" w:rsidR="00C33C27" w:rsidRPr="00C33C27" w:rsidRDefault="00C33C27" w:rsidP="00AC3EBE">
            <w:pPr>
              <w:pStyle w:val="TableBodyText"/>
            </w:pPr>
            <w:r w:rsidRPr="00C33C27">
              <w:t>143.6</w:t>
            </w:r>
          </w:p>
        </w:tc>
        <w:tc>
          <w:tcPr>
            <w:tcW w:w="581" w:type="pct"/>
            <w:vAlign w:val="top"/>
          </w:tcPr>
          <w:p w14:paraId="06FE318D" w14:textId="77777777" w:rsidR="00C33C27" w:rsidRPr="00C33C27" w:rsidRDefault="00C33C27" w:rsidP="00AC3EBE">
            <w:pPr>
              <w:pStyle w:val="TableBodyText"/>
            </w:pPr>
            <w:r w:rsidRPr="00C33C27">
              <w:t>153.4</w:t>
            </w:r>
          </w:p>
        </w:tc>
        <w:tc>
          <w:tcPr>
            <w:tcW w:w="581" w:type="pct"/>
            <w:vAlign w:val="top"/>
          </w:tcPr>
          <w:p w14:paraId="60BFB361" w14:textId="77777777" w:rsidR="00C33C27" w:rsidRPr="00C33C27" w:rsidRDefault="00C33C27" w:rsidP="00AC3EBE">
            <w:pPr>
              <w:pStyle w:val="TableBodyText"/>
            </w:pPr>
            <w:r w:rsidRPr="00C33C27">
              <w:t>115.7</w:t>
            </w:r>
          </w:p>
        </w:tc>
        <w:tc>
          <w:tcPr>
            <w:tcW w:w="502" w:type="pct"/>
            <w:vAlign w:val="top"/>
          </w:tcPr>
          <w:p w14:paraId="3551832E" w14:textId="77777777" w:rsidR="00C33C27" w:rsidRPr="00C33C27" w:rsidRDefault="00C33C27" w:rsidP="00AC3EBE">
            <w:pPr>
              <w:pStyle w:val="TableBodyText"/>
            </w:pPr>
            <w:r w:rsidRPr="00C33C27">
              <w:t>95.6</w:t>
            </w:r>
          </w:p>
        </w:tc>
      </w:tr>
      <w:tr w:rsidR="00C33C27" w:rsidRPr="00C33C27" w14:paraId="56441146" w14:textId="77777777" w:rsidTr="00AC3EBE">
        <w:trPr>
          <w:trHeight w:val="20"/>
        </w:trPr>
        <w:tc>
          <w:tcPr>
            <w:tcW w:w="2208" w:type="pct"/>
            <w:tcBorders>
              <w:bottom w:val="single" w:sz="4" w:space="0" w:color="auto"/>
            </w:tcBorders>
            <w:vAlign w:val="top"/>
          </w:tcPr>
          <w:p w14:paraId="25222BF3" w14:textId="77777777" w:rsidR="00C33C27" w:rsidRPr="00C33C27" w:rsidRDefault="00C33C27" w:rsidP="00AC3EBE">
            <w:pPr>
              <w:pStyle w:val="TableBodyText"/>
            </w:pPr>
            <w:r w:rsidRPr="00C33C27">
              <w:t>Non-current assets</w:t>
            </w:r>
          </w:p>
        </w:tc>
        <w:tc>
          <w:tcPr>
            <w:tcW w:w="617" w:type="pct"/>
            <w:tcBorders>
              <w:bottom w:val="single" w:sz="4" w:space="0" w:color="auto"/>
            </w:tcBorders>
            <w:vAlign w:val="top"/>
          </w:tcPr>
          <w:p w14:paraId="2AFCE1EB" w14:textId="77777777" w:rsidR="00C33C27" w:rsidRPr="00C33C27" w:rsidRDefault="00C33C27" w:rsidP="00AC3EBE">
            <w:pPr>
              <w:pStyle w:val="TableBodyText"/>
            </w:pPr>
            <w:r w:rsidRPr="00C33C27">
              <w:t>16,184.9</w:t>
            </w:r>
          </w:p>
        </w:tc>
        <w:tc>
          <w:tcPr>
            <w:tcW w:w="511" w:type="pct"/>
            <w:tcBorders>
              <w:bottom w:val="single" w:sz="4" w:space="0" w:color="auto"/>
            </w:tcBorders>
            <w:vAlign w:val="top"/>
          </w:tcPr>
          <w:p w14:paraId="4273C9A4" w14:textId="77777777" w:rsidR="00C33C27" w:rsidRPr="00C33C27" w:rsidRDefault="00C33C27" w:rsidP="00AC3EBE">
            <w:pPr>
              <w:pStyle w:val="TableBodyText"/>
            </w:pPr>
            <w:r w:rsidRPr="00C33C27">
              <w:t>15,246.8</w:t>
            </w:r>
          </w:p>
        </w:tc>
        <w:tc>
          <w:tcPr>
            <w:tcW w:w="581" w:type="pct"/>
            <w:tcBorders>
              <w:bottom w:val="single" w:sz="4" w:space="0" w:color="auto"/>
            </w:tcBorders>
            <w:vAlign w:val="top"/>
          </w:tcPr>
          <w:p w14:paraId="6F0B672D" w14:textId="77777777" w:rsidR="00C33C27" w:rsidRPr="00C33C27" w:rsidRDefault="00C33C27" w:rsidP="00AC3EBE">
            <w:pPr>
              <w:pStyle w:val="TableBodyText"/>
            </w:pPr>
            <w:r w:rsidRPr="00C33C27">
              <w:t>15,125.5</w:t>
            </w:r>
          </w:p>
        </w:tc>
        <w:tc>
          <w:tcPr>
            <w:tcW w:w="581" w:type="pct"/>
            <w:tcBorders>
              <w:bottom w:val="single" w:sz="4" w:space="0" w:color="auto"/>
            </w:tcBorders>
            <w:vAlign w:val="top"/>
          </w:tcPr>
          <w:p w14:paraId="238217F2" w14:textId="77777777" w:rsidR="00C33C27" w:rsidRPr="00C33C27" w:rsidRDefault="00C33C27" w:rsidP="00AC3EBE">
            <w:pPr>
              <w:pStyle w:val="TableBodyText"/>
            </w:pPr>
            <w:r w:rsidRPr="00C33C27">
              <w:t>15,212.9</w:t>
            </w:r>
          </w:p>
        </w:tc>
        <w:tc>
          <w:tcPr>
            <w:tcW w:w="502" w:type="pct"/>
            <w:tcBorders>
              <w:bottom w:val="single" w:sz="4" w:space="0" w:color="auto"/>
            </w:tcBorders>
            <w:vAlign w:val="top"/>
          </w:tcPr>
          <w:p w14:paraId="50DD5649" w14:textId="77777777" w:rsidR="00C33C27" w:rsidRPr="00C33C27" w:rsidRDefault="00C33C27" w:rsidP="00AC3EBE">
            <w:pPr>
              <w:pStyle w:val="TableBodyText"/>
            </w:pPr>
            <w:r w:rsidRPr="00C33C27">
              <w:t>14,786.5</w:t>
            </w:r>
          </w:p>
        </w:tc>
      </w:tr>
      <w:tr w:rsidR="00C33C27" w:rsidRPr="00C33C27" w14:paraId="3A62A2CD" w14:textId="77777777" w:rsidTr="00AC3EBE">
        <w:trPr>
          <w:trHeight w:val="20"/>
        </w:trPr>
        <w:tc>
          <w:tcPr>
            <w:tcW w:w="2208" w:type="pct"/>
            <w:tcBorders>
              <w:top w:val="single" w:sz="4" w:space="0" w:color="auto"/>
            </w:tcBorders>
            <w:vAlign w:val="top"/>
          </w:tcPr>
          <w:p w14:paraId="0C5793B5" w14:textId="77777777" w:rsidR="00C33C27" w:rsidRPr="00C33C27" w:rsidRDefault="00C33C27" w:rsidP="00AC3EBE">
            <w:pPr>
              <w:pStyle w:val="TableBodyText"/>
              <w:rPr>
                <w:rStyle w:val="Bold"/>
              </w:rPr>
            </w:pPr>
            <w:r w:rsidRPr="00C33C27">
              <w:rPr>
                <w:rStyle w:val="Bold"/>
              </w:rPr>
              <w:t>Total assets</w:t>
            </w:r>
          </w:p>
        </w:tc>
        <w:tc>
          <w:tcPr>
            <w:tcW w:w="617" w:type="pct"/>
            <w:tcBorders>
              <w:top w:val="single" w:sz="4" w:space="0" w:color="auto"/>
            </w:tcBorders>
            <w:vAlign w:val="top"/>
          </w:tcPr>
          <w:p w14:paraId="16CA421A" w14:textId="77777777" w:rsidR="00C33C27" w:rsidRPr="00C33C27" w:rsidRDefault="00C33C27" w:rsidP="00AC3EBE">
            <w:pPr>
              <w:pStyle w:val="TableBodyText"/>
              <w:rPr>
                <w:rStyle w:val="Bold"/>
              </w:rPr>
            </w:pPr>
            <w:r w:rsidRPr="00C33C27">
              <w:rPr>
                <w:rStyle w:val="Bold"/>
              </w:rPr>
              <w:t>16,330.1</w:t>
            </w:r>
          </w:p>
        </w:tc>
        <w:tc>
          <w:tcPr>
            <w:tcW w:w="511" w:type="pct"/>
            <w:tcBorders>
              <w:top w:val="single" w:sz="4" w:space="0" w:color="auto"/>
            </w:tcBorders>
            <w:vAlign w:val="top"/>
          </w:tcPr>
          <w:p w14:paraId="68568D86" w14:textId="77777777" w:rsidR="00C33C27" w:rsidRPr="00C33C27" w:rsidRDefault="00C33C27" w:rsidP="00AC3EBE">
            <w:pPr>
              <w:pStyle w:val="TableBodyText"/>
              <w:rPr>
                <w:rStyle w:val="Bold"/>
              </w:rPr>
            </w:pPr>
            <w:r w:rsidRPr="00C33C27">
              <w:rPr>
                <w:rStyle w:val="Bold"/>
              </w:rPr>
              <w:t>15,390.4</w:t>
            </w:r>
          </w:p>
        </w:tc>
        <w:tc>
          <w:tcPr>
            <w:tcW w:w="581" w:type="pct"/>
            <w:tcBorders>
              <w:top w:val="single" w:sz="4" w:space="0" w:color="auto"/>
            </w:tcBorders>
            <w:vAlign w:val="top"/>
          </w:tcPr>
          <w:p w14:paraId="5B8042B7" w14:textId="77777777" w:rsidR="00C33C27" w:rsidRPr="00C33C27" w:rsidRDefault="00C33C27" w:rsidP="00AC3EBE">
            <w:pPr>
              <w:pStyle w:val="TableBodyText"/>
              <w:rPr>
                <w:rStyle w:val="Bold"/>
              </w:rPr>
            </w:pPr>
            <w:r w:rsidRPr="00C33C27">
              <w:rPr>
                <w:rStyle w:val="Bold"/>
              </w:rPr>
              <w:t>15,278.9</w:t>
            </w:r>
          </w:p>
        </w:tc>
        <w:tc>
          <w:tcPr>
            <w:tcW w:w="581" w:type="pct"/>
            <w:tcBorders>
              <w:top w:val="single" w:sz="4" w:space="0" w:color="auto"/>
            </w:tcBorders>
            <w:vAlign w:val="top"/>
          </w:tcPr>
          <w:p w14:paraId="628C5C0B" w14:textId="77777777" w:rsidR="00C33C27" w:rsidRPr="00C33C27" w:rsidRDefault="00C33C27" w:rsidP="00AC3EBE">
            <w:pPr>
              <w:pStyle w:val="TableBodyText"/>
              <w:rPr>
                <w:rStyle w:val="Bold"/>
              </w:rPr>
            </w:pPr>
            <w:r w:rsidRPr="00C33C27">
              <w:rPr>
                <w:rStyle w:val="Bold"/>
              </w:rPr>
              <w:t>15,328.6</w:t>
            </w:r>
          </w:p>
        </w:tc>
        <w:tc>
          <w:tcPr>
            <w:tcW w:w="502" w:type="pct"/>
            <w:tcBorders>
              <w:top w:val="single" w:sz="4" w:space="0" w:color="auto"/>
            </w:tcBorders>
            <w:vAlign w:val="top"/>
          </w:tcPr>
          <w:p w14:paraId="3DB3EB9C" w14:textId="77777777" w:rsidR="00C33C27" w:rsidRPr="00C33C27" w:rsidRDefault="00C33C27" w:rsidP="00AC3EBE">
            <w:pPr>
              <w:pStyle w:val="TableBodyText"/>
              <w:rPr>
                <w:rStyle w:val="Bold"/>
              </w:rPr>
            </w:pPr>
            <w:r w:rsidRPr="00C33C27">
              <w:rPr>
                <w:rStyle w:val="Bold"/>
              </w:rPr>
              <w:t>14,882.1</w:t>
            </w:r>
          </w:p>
        </w:tc>
      </w:tr>
      <w:tr w:rsidR="00C33C27" w:rsidRPr="00C33C27" w14:paraId="336B1C44" w14:textId="77777777" w:rsidTr="00AC3EBE">
        <w:trPr>
          <w:trHeight w:val="20"/>
        </w:trPr>
        <w:tc>
          <w:tcPr>
            <w:tcW w:w="2208" w:type="pct"/>
            <w:vAlign w:val="top"/>
          </w:tcPr>
          <w:p w14:paraId="750C7839" w14:textId="77777777" w:rsidR="00C33C27" w:rsidRPr="00C33C27" w:rsidRDefault="00C33C27" w:rsidP="00AC3EBE">
            <w:pPr>
              <w:pStyle w:val="TableBodyText"/>
            </w:pPr>
            <w:r w:rsidRPr="00C33C27">
              <w:t>Current liabilities</w:t>
            </w:r>
          </w:p>
        </w:tc>
        <w:tc>
          <w:tcPr>
            <w:tcW w:w="617" w:type="pct"/>
            <w:vAlign w:val="top"/>
          </w:tcPr>
          <w:p w14:paraId="7A6D162B" w14:textId="77777777" w:rsidR="00C33C27" w:rsidRPr="00C33C27" w:rsidRDefault="00C33C27" w:rsidP="00AC3EBE">
            <w:pPr>
              <w:pStyle w:val="TableBodyText"/>
            </w:pPr>
            <w:r w:rsidRPr="00C33C27">
              <w:t>886.8</w:t>
            </w:r>
          </w:p>
        </w:tc>
        <w:tc>
          <w:tcPr>
            <w:tcW w:w="511" w:type="pct"/>
            <w:vAlign w:val="top"/>
          </w:tcPr>
          <w:p w14:paraId="45F86C60" w14:textId="77777777" w:rsidR="00C33C27" w:rsidRPr="00C33C27" w:rsidRDefault="00C33C27" w:rsidP="00AC3EBE">
            <w:pPr>
              <w:pStyle w:val="TableBodyText"/>
            </w:pPr>
            <w:r w:rsidRPr="00C33C27">
              <w:t>1,073.5</w:t>
            </w:r>
          </w:p>
        </w:tc>
        <w:tc>
          <w:tcPr>
            <w:tcW w:w="581" w:type="pct"/>
            <w:vAlign w:val="top"/>
          </w:tcPr>
          <w:p w14:paraId="66628959" w14:textId="77777777" w:rsidR="00C33C27" w:rsidRPr="00C33C27" w:rsidRDefault="00C33C27" w:rsidP="00AC3EBE">
            <w:pPr>
              <w:pStyle w:val="TableBodyText"/>
            </w:pPr>
            <w:r w:rsidRPr="00C33C27">
              <w:t>1,163.5</w:t>
            </w:r>
          </w:p>
        </w:tc>
        <w:tc>
          <w:tcPr>
            <w:tcW w:w="581" w:type="pct"/>
            <w:vAlign w:val="top"/>
          </w:tcPr>
          <w:p w14:paraId="6D3BF971" w14:textId="77777777" w:rsidR="00C33C27" w:rsidRPr="00C33C27" w:rsidRDefault="00C33C27" w:rsidP="00AC3EBE">
            <w:pPr>
              <w:pStyle w:val="TableBodyText"/>
            </w:pPr>
            <w:r w:rsidRPr="00C33C27">
              <w:t>1,216.4</w:t>
            </w:r>
          </w:p>
        </w:tc>
        <w:tc>
          <w:tcPr>
            <w:tcW w:w="502" w:type="pct"/>
            <w:vAlign w:val="top"/>
          </w:tcPr>
          <w:p w14:paraId="30DD4349" w14:textId="77777777" w:rsidR="00C33C27" w:rsidRPr="00C33C27" w:rsidRDefault="00C33C27" w:rsidP="00AC3EBE">
            <w:pPr>
              <w:pStyle w:val="TableBodyText"/>
            </w:pPr>
            <w:r w:rsidRPr="00C33C27">
              <w:t>1,032.7</w:t>
            </w:r>
          </w:p>
        </w:tc>
      </w:tr>
      <w:tr w:rsidR="00C33C27" w:rsidRPr="00C33C27" w14:paraId="0924A906" w14:textId="77777777" w:rsidTr="00AC3EBE">
        <w:trPr>
          <w:trHeight w:val="20"/>
        </w:trPr>
        <w:tc>
          <w:tcPr>
            <w:tcW w:w="2208" w:type="pct"/>
            <w:tcBorders>
              <w:bottom w:val="single" w:sz="4" w:space="0" w:color="auto"/>
            </w:tcBorders>
            <w:vAlign w:val="top"/>
          </w:tcPr>
          <w:p w14:paraId="2F2820E4" w14:textId="77777777" w:rsidR="00C33C27" w:rsidRPr="00C33C27" w:rsidRDefault="00C33C27" w:rsidP="00AC3EBE">
            <w:pPr>
              <w:pStyle w:val="TableBodyText"/>
            </w:pPr>
            <w:r w:rsidRPr="00C33C27">
              <w:t>Non-current liabilities</w:t>
            </w:r>
          </w:p>
        </w:tc>
        <w:tc>
          <w:tcPr>
            <w:tcW w:w="617" w:type="pct"/>
            <w:tcBorders>
              <w:bottom w:val="single" w:sz="4" w:space="0" w:color="auto"/>
            </w:tcBorders>
            <w:vAlign w:val="top"/>
          </w:tcPr>
          <w:p w14:paraId="3182898B" w14:textId="77777777" w:rsidR="00C33C27" w:rsidRPr="00C33C27" w:rsidRDefault="00C33C27" w:rsidP="00AC3EBE">
            <w:pPr>
              <w:pStyle w:val="TableBodyText"/>
            </w:pPr>
            <w:r w:rsidRPr="00C33C27">
              <w:t>8,788.6</w:t>
            </w:r>
          </w:p>
        </w:tc>
        <w:tc>
          <w:tcPr>
            <w:tcW w:w="511" w:type="pct"/>
            <w:tcBorders>
              <w:bottom w:val="single" w:sz="4" w:space="0" w:color="auto"/>
            </w:tcBorders>
            <w:vAlign w:val="top"/>
          </w:tcPr>
          <w:p w14:paraId="77E3749B" w14:textId="77777777" w:rsidR="00C33C27" w:rsidRPr="00C33C27" w:rsidRDefault="00C33C27" w:rsidP="00AC3EBE">
            <w:pPr>
              <w:pStyle w:val="TableBodyText"/>
            </w:pPr>
            <w:r w:rsidRPr="00C33C27">
              <w:t>8,443.4</w:t>
            </w:r>
          </w:p>
        </w:tc>
        <w:tc>
          <w:tcPr>
            <w:tcW w:w="581" w:type="pct"/>
            <w:tcBorders>
              <w:bottom w:val="single" w:sz="4" w:space="0" w:color="auto"/>
            </w:tcBorders>
            <w:vAlign w:val="top"/>
          </w:tcPr>
          <w:p w14:paraId="6BFD59B7" w14:textId="77777777" w:rsidR="00C33C27" w:rsidRPr="00C33C27" w:rsidRDefault="00C33C27" w:rsidP="00AC3EBE">
            <w:pPr>
              <w:pStyle w:val="TableBodyText"/>
            </w:pPr>
            <w:r w:rsidRPr="00C33C27">
              <w:t>8,372.4</w:t>
            </w:r>
          </w:p>
        </w:tc>
        <w:tc>
          <w:tcPr>
            <w:tcW w:w="581" w:type="pct"/>
            <w:tcBorders>
              <w:bottom w:val="single" w:sz="4" w:space="0" w:color="auto"/>
            </w:tcBorders>
            <w:vAlign w:val="top"/>
          </w:tcPr>
          <w:p w14:paraId="7167A19C" w14:textId="77777777" w:rsidR="00C33C27" w:rsidRPr="00C33C27" w:rsidRDefault="00C33C27" w:rsidP="00AC3EBE">
            <w:pPr>
              <w:pStyle w:val="TableBodyText"/>
            </w:pPr>
            <w:r w:rsidRPr="00C33C27">
              <w:t>8,497.2</w:t>
            </w:r>
          </w:p>
        </w:tc>
        <w:tc>
          <w:tcPr>
            <w:tcW w:w="502" w:type="pct"/>
            <w:tcBorders>
              <w:bottom w:val="single" w:sz="4" w:space="0" w:color="auto"/>
            </w:tcBorders>
            <w:vAlign w:val="top"/>
          </w:tcPr>
          <w:p w14:paraId="2FAFDFAC" w14:textId="77777777" w:rsidR="00C33C27" w:rsidRPr="00C33C27" w:rsidRDefault="00C33C27" w:rsidP="00AC3EBE">
            <w:pPr>
              <w:pStyle w:val="TableBodyText"/>
            </w:pPr>
            <w:r w:rsidRPr="00C33C27">
              <w:t>8,579.3</w:t>
            </w:r>
          </w:p>
        </w:tc>
      </w:tr>
      <w:tr w:rsidR="00C33C27" w:rsidRPr="00C33C27" w14:paraId="257F865F" w14:textId="77777777" w:rsidTr="00AC3EBE">
        <w:trPr>
          <w:trHeight w:val="20"/>
        </w:trPr>
        <w:tc>
          <w:tcPr>
            <w:tcW w:w="2208" w:type="pct"/>
            <w:tcBorders>
              <w:top w:val="single" w:sz="4" w:space="0" w:color="auto"/>
              <w:bottom w:val="single" w:sz="4" w:space="0" w:color="auto"/>
            </w:tcBorders>
            <w:vAlign w:val="top"/>
          </w:tcPr>
          <w:p w14:paraId="5E74EEFE" w14:textId="77777777" w:rsidR="00C33C27" w:rsidRPr="00C33C27" w:rsidRDefault="00C33C27" w:rsidP="00AC3EBE">
            <w:pPr>
              <w:pStyle w:val="TableBodyText"/>
              <w:rPr>
                <w:rStyle w:val="Bold"/>
              </w:rPr>
            </w:pPr>
            <w:r w:rsidRPr="00C33C27">
              <w:rPr>
                <w:rStyle w:val="Bold"/>
              </w:rPr>
              <w:t>Total liabilities</w:t>
            </w:r>
          </w:p>
        </w:tc>
        <w:tc>
          <w:tcPr>
            <w:tcW w:w="617" w:type="pct"/>
            <w:tcBorders>
              <w:top w:val="single" w:sz="4" w:space="0" w:color="auto"/>
              <w:bottom w:val="single" w:sz="4" w:space="0" w:color="auto"/>
            </w:tcBorders>
            <w:vAlign w:val="top"/>
          </w:tcPr>
          <w:p w14:paraId="47017FBB" w14:textId="77777777" w:rsidR="00C33C27" w:rsidRPr="00C33C27" w:rsidRDefault="00C33C27" w:rsidP="00AC3EBE">
            <w:pPr>
              <w:pStyle w:val="TableBodyText"/>
              <w:rPr>
                <w:rStyle w:val="Bold"/>
              </w:rPr>
            </w:pPr>
            <w:r w:rsidRPr="00C33C27">
              <w:rPr>
                <w:rStyle w:val="Bold"/>
              </w:rPr>
              <w:t>9,675.4</w:t>
            </w:r>
          </w:p>
        </w:tc>
        <w:tc>
          <w:tcPr>
            <w:tcW w:w="511" w:type="pct"/>
            <w:tcBorders>
              <w:top w:val="single" w:sz="4" w:space="0" w:color="auto"/>
              <w:bottom w:val="single" w:sz="4" w:space="0" w:color="auto"/>
            </w:tcBorders>
            <w:vAlign w:val="top"/>
          </w:tcPr>
          <w:p w14:paraId="1F8E13A2" w14:textId="77777777" w:rsidR="00C33C27" w:rsidRPr="00C33C27" w:rsidRDefault="00C33C27" w:rsidP="00AC3EBE">
            <w:pPr>
              <w:pStyle w:val="TableBodyText"/>
              <w:rPr>
                <w:rStyle w:val="Bold"/>
              </w:rPr>
            </w:pPr>
            <w:r w:rsidRPr="00C33C27">
              <w:rPr>
                <w:rStyle w:val="Bold"/>
              </w:rPr>
              <w:t>9,516.9</w:t>
            </w:r>
          </w:p>
        </w:tc>
        <w:tc>
          <w:tcPr>
            <w:tcW w:w="581" w:type="pct"/>
            <w:tcBorders>
              <w:top w:val="single" w:sz="4" w:space="0" w:color="auto"/>
              <w:bottom w:val="single" w:sz="4" w:space="0" w:color="auto"/>
            </w:tcBorders>
            <w:vAlign w:val="top"/>
          </w:tcPr>
          <w:p w14:paraId="2893FA81" w14:textId="77777777" w:rsidR="00C33C27" w:rsidRPr="00C33C27" w:rsidRDefault="00C33C27" w:rsidP="00AC3EBE">
            <w:pPr>
              <w:pStyle w:val="TableBodyText"/>
              <w:rPr>
                <w:rStyle w:val="Bold"/>
              </w:rPr>
            </w:pPr>
            <w:r w:rsidRPr="00C33C27">
              <w:rPr>
                <w:rStyle w:val="Bold"/>
              </w:rPr>
              <w:t>9,535.9</w:t>
            </w:r>
          </w:p>
        </w:tc>
        <w:tc>
          <w:tcPr>
            <w:tcW w:w="581" w:type="pct"/>
            <w:tcBorders>
              <w:top w:val="single" w:sz="4" w:space="0" w:color="auto"/>
              <w:bottom w:val="single" w:sz="4" w:space="0" w:color="auto"/>
            </w:tcBorders>
            <w:vAlign w:val="top"/>
          </w:tcPr>
          <w:p w14:paraId="4FFDF9BC" w14:textId="77777777" w:rsidR="00C33C27" w:rsidRPr="00C33C27" w:rsidRDefault="00C33C27" w:rsidP="00AC3EBE">
            <w:pPr>
              <w:pStyle w:val="TableBodyText"/>
              <w:rPr>
                <w:rStyle w:val="Bold"/>
              </w:rPr>
            </w:pPr>
            <w:r w:rsidRPr="00C33C27">
              <w:rPr>
                <w:rStyle w:val="Bold"/>
              </w:rPr>
              <w:t>9,713.6</w:t>
            </w:r>
          </w:p>
        </w:tc>
        <w:tc>
          <w:tcPr>
            <w:tcW w:w="502" w:type="pct"/>
            <w:tcBorders>
              <w:top w:val="single" w:sz="4" w:space="0" w:color="auto"/>
              <w:bottom w:val="single" w:sz="4" w:space="0" w:color="auto"/>
            </w:tcBorders>
            <w:vAlign w:val="top"/>
          </w:tcPr>
          <w:p w14:paraId="5D627717" w14:textId="77777777" w:rsidR="00C33C27" w:rsidRPr="00C33C27" w:rsidRDefault="00C33C27" w:rsidP="00AC3EBE">
            <w:pPr>
              <w:pStyle w:val="TableBodyText"/>
              <w:rPr>
                <w:rStyle w:val="Bold"/>
              </w:rPr>
            </w:pPr>
            <w:r w:rsidRPr="00C33C27">
              <w:rPr>
                <w:rStyle w:val="Bold"/>
              </w:rPr>
              <w:t>9,612.0</w:t>
            </w:r>
          </w:p>
        </w:tc>
      </w:tr>
      <w:tr w:rsidR="00C33C27" w:rsidRPr="00C33C27" w14:paraId="2975243A" w14:textId="77777777" w:rsidTr="00AC3EBE">
        <w:trPr>
          <w:trHeight w:val="20"/>
        </w:trPr>
        <w:tc>
          <w:tcPr>
            <w:tcW w:w="2208" w:type="pct"/>
            <w:tcBorders>
              <w:top w:val="single" w:sz="4" w:space="0" w:color="auto"/>
              <w:bottom w:val="single" w:sz="4" w:space="0" w:color="auto"/>
            </w:tcBorders>
            <w:vAlign w:val="top"/>
          </w:tcPr>
          <w:p w14:paraId="2852BC43" w14:textId="77777777" w:rsidR="00C33C27" w:rsidRPr="00C33C27" w:rsidRDefault="00C33C27" w:rsidP="00AC3EBE">
            <w:pPr>
              <w:pStyle w:val="TableBodyText"/>
              <w:rPr>
                <w:rStyle w:val="Bold"/>
              </w:rPr>
            </w:pPr>
            <w:r w:rsidRPr="00C33C27">
              <w:rPr>
                <w:rStyle w:val="Bold"/>
              </w:rPr>
              <w:t>Net assets/Total equity</w:t>
            </w:r>
          </w:p>
        </w:tc>
        <w:tc>
          <w:tcPr>
            <w:tcW w:w="617" w:type="pct"/>
            <w:tcBorders>
              <w:top w:val="single" w:sz="4" w:space="0" w:color="auto"/>
              <w:bottom w:val="single" w:sz="4" w:space="0" w:color="auto"/>
            </w:tcBorders>
            <w:vAlign w:val="top"/>
          </w:tcPr>
          <w:p w14:paraId="090D1057" w14:textId="77777777" w:rsidR="00C33C27" w:rsidRPr="00C33C27" w:rsidRDefault="00C33C27" w:rsidP="00AC3EBE">
            <w:pPr>
              <w:pStyle w:val="TableBodyText"/>
              <w:rPr>
                <w:rStyle w:val="Bold"/>
              </w:rPr>
            </w:pPr>
            <w:r w:rsidRPr="00C33C27">
              <w:rPr>
                <w:rStyle w:val="Bold"/>
              </w:rPr>
              <w:t>6,654.7</w:t>
            </w:r>
          </w:p>
        </w:tc>
        <w:tc>
          <w:tcPr>
            <w:tcW w:w="511" w:type="pct"/>
            <w:tcBorders>
              <w:top w:val="single" w:sz="4" w:space="0" w:color="auto"/>
              <w:bottom w:val="single" w:sz="4" w:space="0" w:color="auto"/>
            </w:tcBorders>
            <w:vAlign w:val="top"/>
          </w:tcPr>
          <w:p w14:paraId="55387D58" w14:textId="77777777" w:rsidR="00C33C27" w:rsidRPr="00C33C27" w:rsidRDefault="00C33C27" w:rsidP="00AC3EBE">
            <w:pPr>
              <w:pStyle w:val="TableBodyText"/>
              <w:rPr>
                <w:rStyle w:val="Bold"/>
              </w:rPr>
            </w:pPr>
            <w:r w:rsidRPr="00C33C27">
              <w:rPr>
                <w:rStyle w:val="Bold"/>
              </w:rPr>
              <w:t>5,873.5</w:t>
            </w:r>
          </w:p>
        </w:tc>
        <w:tc>
          <w:tcPr>
            <w:tcW w:w="581" w:type="pct"/>
            <w:tcBorders>
              <w:top w:val="single" w:sz="4" w:space="0" w:color="auto"/>
              <w:bottom w:val="single" w:sz="4" w:space="0" w:color="auto"/>
            </w:tcBorders>
            <w:vAlign w:val="top"/>
          </w:tcPr>
          <w:p w14:paraId="732D8B75" w14:textId="77777777" w:rsidR="00C33C27" w:rsidRPr="00C33C27" w:rsidRDefault="00C33C27" w:rsidP="00AC3EBE">
            <w:pPr>
              <w:pStyle w:val="TableBodyText"/>
              <w:rPr>
                <w:rStyle w:val="Bold"/>
              </w:rPr>
            </w:pPr>
            <w:r w:rsidRPr="00C33C27">
              <w:rPr>
                <w:rStyle w:val="Bold"/>
              </w:rPr>
              <w:t>5,743.0</w:t>
            </w:r>
          </w:p>
        </w:tc>
        <w:tc>
          <w:tcPr>
            <w:tcW w:w="581" w:type="pct"/>
            <w:tcBorders>
              <w:top w:val="single" w:sz="4" w:space="0" w:color="auto"/>
              <w:bottom w:val="single" w:sz="4" w:space="0" w:color="auto"/>
            </w:tcBorders>
            <w:vAlign w:val="top"/>
          </w:tcPr>
          <w:p w14:paraId="354BF653" w14:textId="77777777" w:rsidR="00C33C27" w:rsidRPr="00C33C27" w:rsidRDefault="00C33C27" w:rsidP="00AC3EBE">
            <w:pPr>
              <w:pStyle w:val="TableBodyText"/>
              <w:rPr>
                <w:rStyle w:val="Bold"/>
              </w:rPr>
            </w:pPr>
            <w:r w:rsidRPr="00C33C27">
              <w:rPr>
                <w:rStyle w:val="Bold"/>
              </w:rPr>
              <w:t>5,615.0</w:t>
            </w:r>
          </w:p>
        </w:tc>
        <w:tc>
          <w:tcPr>
            <w:tcW w:w="502" w:type="pct"/>
            <w:tcBorders>
              <w:top w:val="single" w:sz="4" w:space="0" w:color="auto"/>
              <w:bottom w:val="single" w:sz="4" w:space="0" w:color="auto"/>
            </w:tcBorders>
            <w:vAlign w:val="top"/>
          </w:tcPr>
          <w:p w14:paraId="3E359A81" w14:textId="77777777" w:rsidR="00C33C27" w:rsidRPr="00C33C27" w:rsidRDefault="00C33C27" w:rsidP="00AC3EBE">
            <w:pPr>
              <w:pStyle w:val="TableBodyText"/>
              <w:rPr>
                <w:rStyle w:val="Bold"/>
              </w:rPr>
            </w:pPr>
            <w:r w:rsidRPr="00C33C27">
              <w:rPr>
                <w:rStyle w:val="Bold"/>
              </w:rPr>
              <w:t>5,270.1</w:t>
            </w:r>
          </w:p>
        </w:tc>
      </w:tr>
    </w:tbl>
    <w:p w14:paraId="6281296A" w14:textId="7BCF61DB" w:rsidR="006F5D39" w:rsidRDefault="006F5D39" w:rsidP="006F5D39"/>
    <w:tbl>
      <w:tblPr>
        <w:tblStyle w:val="Style1"/>
        <w:tblW w:w="5000" w:type="pct"/>
        <w:tblLook w:val="0620" w:firstRow="1" w:lastRow="0" w:firstColumn="0" w:lastColumn="0" w:noHBand="1" w:noVBand="1"/>
      </w:tblPr>
      <w:tblGrid>
        <w:gridCol w:w="4252"/>
        <w:gridCol w:w="1135"/>
        <w:gridCol w:w="992"/>
        <w:gridCol w:w="1135"/>
        <w:gridCol w:w="1219"/>
        <w:gridCol w:w="898"/>
      </w:tblGrid>
      <w:tr w:rsidR="00C33C27" w:rsidRPr="006C3DB2" w14:paraId="31AFBA23" w14:textId="77777777" w:rsidTr="000C436B">
        <w:trPr>
          <w:cnfStyle w:val="100000000000" w:firstRow="1" w:lastRow="0" w:firstColumn="0" w:lastColumn="0" w:oddVBand="0" w:evenVBand="0" w:oddHBand="0" w:evenHBand="0" w:firstRowFirstColumn="0" w:firstRowLastColumn="0" w:lastRowFirstColumn="0" w:lastRowLastColumn="0"/>
          <w:trHeight w:val="20"/>
        </w:trPr>
        <w:tc>
          <w:tcPr>
            <w:tcW w:w="2207" w:type="pct"/>
            <w:tcBorders>
              <w:top w:val="single" w:sz="4" w:space="0" w:color="auto"/>
            </w:tcBorders>
            <w:vAlign w:val="bottom"/>
          </w:tcPr>
          <w:p w14:paraId="31DD9B36" w14:textId="77777777" w:rsidR="00C33C27" w:rsidRDefault="00C33C27" w:rsidP="00AC3EBE">
            <w:pPr>
              <w:pStyle w:val="TableBodyText"/>
              <w:rPr>
                <w:b w:val="0"/>
                <w:bCs/>
              </w:rPr>
            </w:pPr>
            <w:bookmarkStart w:id="672" w:name="ColumnTitle_27"/>
            <w:r w:rsidRPr="006C3DB2">
              <w:t>Statement of Cash Flows</w:t>
            </w:r>
          </w:p>
          <w:p w14:paraId="5E90E70A" w14:textId="38658888" w:rsidR="00C33C27" w:rsidRPr="006C3DB2" w:rsidRDefault="00C33C27" w:rsidP="00AC3EBE">
            <w:pPr>
              <w:pStyle w:val="TableBodyText"/>
            </w:pPr>
            <w:r>
              <w:t>for the year ended 30 June - Extract</w:t>
            </w:r>
          </w:p>
        </w:tc>
        <w:tc>
          <w:tcPr>
            <w:tcW w:w="589" w:type="pct"/>
            <w:tcBorders>
              <w:top w:val="single" w:sz="4" w:space="0" w:color="auto"/>
            </w:tcBorders>
            <w:vAlign w:val="bottom"/>
          </w:tcPr>
          <w:p w14:paraId="6141BC5B" w14:textId="77777777" w:rsidR="00C33C27" w:rsidRDefault="00C33C27" w:rsidP="00AC3EBE">
            <w:pPr>
              <w:pStyle w:val="TableBodyText"/>
              <w:rPr>
                <w:b w:val="0"/>
                <w:bCs/>
              </w:rPr>
            </w:pPr>
            <w:r w:rsidRPr="006C3DB2">
              <w:t>2021</w:t>
            </w:r>
          </w:p>
          <w:p w14:paraId="77FC5866" w14:textId="6E760BFF" w:rsidR="000025B2" w:rsidRPr="006C3DB2" w:rsidRDefault="000025B2" w:rsidP="00AC3EBE">
            <w:pPr>
              <w:pStyle w:val="TableBodyText"/>
            </w:pPr>
            <w:r>
              <w:t>$M</w:t>
            </w:r>
          </w:p>
        </w:tc>
        <w:tc>
          <w:tcPr>
            <w:tcW w:w="515" w:type="pct"/>
            <w:tcBorders>
              <w:top w:val="single" w:sz="4" w:space="0" w:color="auto"/>
            </w:tcBorders>
            <w:vAlign w:val="bottom"/>
          </w:tcPr>
          <w:p w14:paraId="5C2CBFD0" w14:textId="77777777" w:rsidR="00C33C27" w:rsidRDefault="00C33C27" w:rsidP="00AC3EBE">
            <w:pPr>
              <w:pStyle w:val="TableBodyText"/>
              <w:rPr>
                <w:b w:val="0"/>
                <w:bCs/>
              </w:rPr>
            </w:pPr>
            <w:r w:rsidRPr="006C3DB2">
              <w:t>2020</w:t>
            </w:r>
          </w:p>
          <w:p w14:paraId="26D8453B" w14:textId="6F0AE5E9" w:rsidR="000025B2" w:rsidRPr="006C3DB2" w:rsidRDefault="000025B2" w:rsidP="00AC3EBE">
            <w:pPr>
              <w:pStyle w:val="TableBodyText"/>
            </w:pPr>
            <w:r>
              <w:t>$M</w:t>
            </w:r>
          </w:p>
        </w:tc>
        <w:tc>
          <w:tcPr>
            <w:tcW w:w="589" w:type="pct"/>
            <w:tcBorders>
              <w:top w:val="single" w:sz="4" w:space="0" w:color="auto"/>
            </w:tcBorders>
            <w:vAlign w:val="bottom"/>
          </w:tcPr>
          <w:p w14:paraId="2C9CF4D7" w14:textId="77777777" w:rsidR="00C33C27" w:rsidRDefault="00C33C27" w:rsidP="00AC3EBE">
            <w:pPr>
              <w:pStyle w:val="TableBodyText"/>
              <w:rPr>
                <w:b w:val="0"/>
                <w:bCs/>
              </w:rPr>
            </w:pPr>
            <w:r w:rsidRPr="006C3DB2">
              <w:t>2019</w:t>
            </w:r>
          </w:p>
          <w:p w14:paraId="51E4ABCB" w14:textId="1D92C0CE" w:rsidR="000025B2" w:rsidRPr="006C3DB2" w:rsidRDefault="000025B2" w:rsidP="00AC3EBE">
            <w:pPr>
              <w:pStyle w:val="TableBodyText"/>
            </w:pPr>
            <w:r>
              <w:t>$M</w:t>
            </w:r>
          </w:p>
        </w:tc>
        <w:tc>
          <w:tcPr>
            <w:tcW w:w="633" w:type="pct"/>
            <w:tcBorders>
              <w:top w:val="single" w:sz="4" w:space="0" w:color="auto"/>
            </w:tcBorders>
            <w:vAlign w:val="bottom"/>
          </w:tcPr>
          <w:p w14:paraId="444C194F" w14:textId="77777777" w:rsidR="00C33C27" w:rsidRDefault="00C33C27" w:rsidP="00AC3EBE">
            <w:pPr>
              <w:pStyle w:val="TableBodyText"/>
              <w:rPr>
                <w:b w:val="0"/>
                <w:bCs/>
              </w:rPr>
            </w:pPr>
            <w:r w:rsidRPr="006C3DB2">
              <w:t>2018</w:t>
            </w:r>
          </w:p>
          <w:p w14:paraId="4C9F6FE6" w14:textId="11C47870" w:rsidR="000025B2" w:rsidRPr="006C3DB2" w:rsidRDefault="000025B2" w:rsidP="00AC3EBE">
            <w:pPr>
              <w:pStyle w:val="TableBodyText"/>
            </w:pPr>
            <w:r>
              <w:t>$M</w:t>
            </w:r>
          </w:p>
        </w:tc>
        <w:tc>
          <w:tcPr>
            <w:tcW w:w="466" w:type="pct"/>
            <w:tcBorders>
              <w:top w:val="single" w:sz="4" w:space="0" w:color="auto"/>
            </w:tcBorders>
            <w:vAlign w:val="bottom"/>
          </w:tcPr>
          <w:p w14:paraId="5EEB6B55" w14:textId="77777777" w:rsidR="00C33C27" w:rsidRDefault="00C33C27" w:rsidP="00AC3EBE">
            <w:pPr>
              <w:pStyle w:val="TableBodyText"/>
              <w:rPr>
                <w:b w:val="0"/>
                <w:bCs/>
              </w:rPr>
            </w:pPr>
            <w:r w:rsidRPr="006C3DB2">
              <w:t>2017</w:t>
            </w:r>
          </w:p>
          <w:p w14:paraId="1B94ACA3" w14:textId="69D5C248" w:rsidR="000025B2" w:rsidRPr="006C3DB2" w:rsidRDefault="000025B2" w:rsidP="00AC3EBE">
            <w:pPr>
              <w:pStyle w:val="TableBodyText"/>
            </w:pPr>
            <w:r>
              <w:t>$M</w:t>
            </w:r>
          </w:p>
        </w:tc>
      </w:tr>
      <w:bookmarkEnd w:id="672"/>
      <w:tr w:rsidR="00C33C27" w:rsidRPr="006C3DB2" w14:paraId="1930F599" w14:textId="77777777" w:rsidTr="00AC3EBE">
        <w:trPr>
          <w:trHeight w:val="20"/>
        </w:trPr>
        <w:tc>
          <w:tcPr>
            <w:tcW w:w="2207" w:type="pct"/>
            <w:vAlign w:val="top"/>
          </w:tcPr>
          <w:p w14:paraId="597E8988" w14:textId="77777777" w:rsidR="00C33C27" w:rsidRPr="006C3DB2" w:rsidRDefault="00C33C27" w:rsidP="00AC3EBE">
            <w:pPr>
              <w:pStyle w:val="TableBodyText"/>
            </w:pPr>
            <w:r w:rsidRPr="006C3DB2">
              <w:t>Net cash inflow from operating activities</w:t>
            </w:r>
          </w:p>
        </w:tc>
        <w:tc>
          <w:tcPr>
            <w:tcW w:w="589" w:type="pct"/>
            <w:vAlign w:val="top"/>
          </w:tcPr>
          <w:p w14:paraId="666F1273" w14:textId="77777777" w:rsidR="00C33C27" w:rsidRPr="006C3DB2" w:rsidRDefault="00C33C27" w:rsidP="00AC3EBE">
            <w:pPr>
              <w:pStyle w:val="TableBodyText"/>
            </w:pPr>
            <w:r w:rsidRPr="006C3DB2">
              <w:t>594.9</w:t>
            </w:r>
          </w:p>
        </w:tc>
        <w:tc>
          <w:tcPr>
            <w:tcW w:w="515" w:type="pct"/>
            <w:vAlign w:val="top"/>
          </w:tcPr>
          <w:p w14:paraId="4E23C322" w14:textId="77777777" w:rsidR="00C33C27" w:rsidRPr="006C3DB2" w:rsidRDefault="00C33C27" w:rsidP="00AC3EBE">
            <w:pPr>
              <w:pStyle w:val="TableBodyText"/>
            </w:pPr>
            <w:r w:rsidRPr="006C3DB2">
              <w:t>555.3</w:t>
            </w:r>
          </w:p>
        </w:tc>
        <w:tc>
          <w:tcPr>
            <w:tcW w:w="589" w:type="pct"/>
            <w:vAlign w:val="top"/>
          </w:tcPr>
          <w:p w14:paraId="4D01C4C5" w14:textId="77777777" w:rsidR="00C33C27" w:rsidRPr="006C3DB2" w:rsidRDefault="00C33C27" w:rsidP="00AC3EBE">
            <w:pPr>
              <w:pStyle w:val="TableBodyText"/>
            </w:pPr>
            <w:r w:rsidRPr="006C3DB2">
              <w:t>534.9</w:t>
            </w:r>
          </w:p>
        </w:tc>
        <w:tc>
          <w:tcPr>
            <w:tcW w:w="633" w:type="pct"/>
            <w:vAlign w:val="top"/>
          </w:tcPr>
          <w:p w14:paraId="57E6961A" w14:textId="77777777" w:rsidR="00C33C27" w:rsidRPr="006C3DB2" w:rsidRDefault="00C33C27" w:rsidP="00AC3EBE">
            <w:pPr>
              <w:pStyle w:val="TableBodyText"/>
            </w:pPr>
            <w:r w:rsidRPr="006C3DB2">
              <w:t>465.8</w:t>
            </w:r>
          </w:p>
        </w:tc>
        <w:tc>
          <w:tcPr>
            <w:tcW w:w="466" w:type="pct"/>
            <w:vAlign w:val="top"/>
          </w:tcPr>
          <w:p w14:paraId="441949CC" w14:textId="77777777" w:rsidR="00C33C27" w:rsidRPr="006C3DB2" w:rsidRDefault="00C33C27" w:rsidP="00AC3EBE">
            <w:pPr>
              <w:pStyle w:val="TableBodyText"/>
            </w:pPr>
            <w:r w:rsidRPr="006C3DB2">
              <w:t>439.7</w:t>
            </w:r>
          </w:p>
        </w:tc>
      </w:tr>
      <w:tr w:rsidR="00C33C27" w:rsidRPr="006C3DB2" w14:paraId="1E336FFB" w14:textId="77777777" w:rsidTr="00AC3EBE">
        <w:trPr>
          <w:trHeight w:val="20"/>
        </w:trPr>
        <w:tc>
          <w:tcPr>
            <w:tcW w:w="2207" w:type="pct"/>
            <w:vAlign w:val="top"/>
          </w:tcPr>
          <w:p w14:paraId="064AA3EF" w14:textId="77777777" w:rsidR="00C33C27" w:rsidRPr="006C3DB2" w:rsidRDefault="00C33C27" w:rsidP="00AC3EBE">
            <w:pPr>
              <w:pStyle w:val="TableBodyText"/>
            </w:pPr>
            <w:r w:rsidRPr="006C3DB2">
              <w:t>Net cash (outflow) from investing activities</w:t>
            </w:r>
          </w:p>
        </w:tc>
        <w:tc>
          <w:tcPr>
            <w:tcW w:w="589" w:type="pct"/>
            <w:vAlign w:val="top"/>
          </w:tcPr>
          <w:p w14:paraId="787FC7E3" w14:textId="77777777" w:rsidR="00C33C27" w:rsidRPr="006C3DB2" w:rsidRDefault="00C33C27" w:rsidP="00AC3EBE">
            <w:pPr>
              <w:pStyle w:val="TableBodyText"/>
            </w:pPr>
            <w:r w:rsidRPr="006C3DB2">
              <w:t>(589.1)</w:t>
            </w:r>
          </w:p>
        </w:tc>
        <w:tc>
          <w:tcPr>
            <w:tcW w:w="515" w:type="pct"/>
            <w:vAlign w:val="top"/>
          </w:tcPr>
          <w:p w14:paraId="592434EB" w14:textId="77777777" w:rsidR="00C33C27" w:rsidRPr="006C3DB2" w:rsidRDefault="00C33C27" w:rsidP="00AC3EBE">
            <w:pPr>
              <w:pStyle w:val="TableBodyText"/>
            </w:pPr>
            <w:r w:rsidRPr="006C3DB2">
              <w:t>(455.6)</w:t>
            </w:r>
          </w:p>
        </w:tc>
        <w:tc>
          <w:tcPr>
            <w:tcW w:w="589" w:type="pct"/>
            <w:vAlign w:val="top"/>
          </w:tcPr>
          <w:p w14:paraId="5D0EF31C" w14:textId="77777777" w:rsidR="00C33C27" w:rsidRPr="006C3DB2" w:rsidRDefault="00C33C27" w:rsidP="00AC3EBE">
            <w:pPr>
              <w:pStyle w:val="TableBodyText"/>
            </w:pPr>
            <w:r w:rsidRPr="006C3DB2">
              <w:t>(513.0)</w:t>
            </w:r>
          </w:p>
        </w:tc>
        <w:tc>
          <w:tcPr>
            <w:tcW w:w="633" w:type="pct"/>
            <w:vAlign w:val="top"/>
          </w:tcPr>
          <w:p w14:paraId="21916DEA" w14:textId="77777777" w:rsidR="00C33C27" w:rsidRPr="006C3DB2" w:rsidRDefault="00C33C27" w:rsidP="00AC3EBE">
            <w:pPr>
              <w:pStyle w:val="TableBodyText"/>
            </w:pPr>
            <w:r w:rsidRPr="006C3DB2">
              <w:t>(446.2)</w:t>
            </w:r>
          </w:p>
        </w:tc>
        <w:tc>
          <w:tcPr>
            <w:tcW w:w="466" w:type="pct"/>
            <w:vAlign w:val="top"/>
          </w:tcPr>
          <w:p w14:paraId="63325D55" w14:textId="77777777" w:rsidR="00C33C27" w:rsidRPr="006C3DB2" w:rsidRDefault="00C33C27" w:rsidP="00AC3EBE">
            <w:pPr>
              <w:pStyle w:val="TableBodyText"/>
            </w:pPr>
            <w:r w:rsidRPr="006C3DB2">
              <w:t>(444.4)</w:t>
            </w:r>
          </w:p>
        </w:tc>
      </w:tr>
      <w:tr w:rsidR="00C33C27" w:rsidRPr="006C3DB2" w14:paraId="2646B405" w14:textId="77777777" w:rsidTr="00AC3EBE">
        <w:trPr>
          <w:trHeight w:val="20"/>
        </w:trPr>
        <w:tc>
          <w:tcPr>
            <w:tcW w:w="2207" w:type="pct"/>
            <w:tcBorders>
              <w:bottom w:val="single" w:sz="4" w:space="0" w:color="auto"/>
            </w:tcBorders>
            <w:vAlign w:val="top"/>
          </w:tcPr>
          <w:p w14:paraId="365BAB74" w14:textId="77777777" w:rsidR="00C33C27" w:rsidRPr="006C3DB2" w:rsidRDefault="00C33C27" w:rsidP="00AC3EBE">
            <w:pPr>
              <w:pStyle w:val="TableBodyText"/>
            </w:pPr>
            <w:r w:rsidRPr="006C3DB2">
              <w:lastRenderedPageBreak/>
              <w:t>Net cash (outflow)/inflow from financing activities</w:t>
            </w:r>
          </w:p>
        </w:tc>
        <w:tc>
          <w:tcPr>
            <w:tcW w:w="589" w:type="pct"/>
            <w:tcBorders>
              <w:bottom w:val="single" w:sz="4" w:space="0" w:color="auto"/>
            </w:tcBorders>
            <w:vAlign w:val="top"/>
          </w:tcPr>
          <w:p w14:paraId="75CD4E9D" w14:textId="77777777" w:rsidR="00C33C27" w:rsidRPr="006C3DB2" w:rsidRDefault="00C33C27" w:rsidP="00AC3EBE">
            <w:pPr>
              <w:pStyle w:val="TableBodyText"/>
            </w:pPr>
            <w:r w:rsidRPr="006C3DB2">
              <w:t>(16.4)</w:t>
            </w:r>
          </w:p>
        </w:tc>
        <w:tc>
          <w:tcPr>
            <w:tcW w:w="515" w:type="pct"/>
            <w:tcBorders>
              <w:bottom w:val="single" w:sz="4" w:space="0" w:color="auto"/>
            </w:tcBorders>
            <w:vAlign w:val="top"/>
          </w:tcPr>
          <w:p w14:paraId="604DD631" w14:textId="77777777" w:rsidR="00C33C27" w:rsidRPr="006C3DB2" w:rsidRDefault="00C33C27" w:rsidP="00AC3EBE">
            <w:pPr>
              <w:pStyle w:val="TableBodyText"/>
            </w:pPr>
            <w:r w:rsidRPr="006C3DB2">
              <w:t>(103.0)</w:t>
            </w:r>
          </w:p>
        </w:tc>
        <w:tc>
          <w:tcPr>
            <w:tcW w:w="589" w:type="pct"/>
            <w:tcBorders>
              <w:bottom w:val="single" w:sz="4" w:space="0" w:color="auto"/>
            </w:tcBorders>
            <w:vAlign w:val="top"/>
          </w:tcPr>
          <w:p w14:paraId="251F0B11" w14:textId="77777777" w:rsidR="00C33C27" w:rsidRPr="006C3DB2" w:rsidRDefault="00C33C27" w:rsidP="00AC3EBE">
            <w:pPr>
              <w:pStyle w:val="TableBodyText"/>
            </w:pPr>
            <w:r w:rsidRPr="006C3DB2">
              <w:t>(6.3)</w:t>
            </w:r>
          </w:p>
        </w:tc>
        <w:tc>
          <w:tcPr>
            <w:tcW w:w="633" w:type="pct"/>
            <w:tcBorders>
              <w:bottom w:val="single" w:sz="4" w:space="0" w:color="auto"/>
            </w:tcBorders>
            <w:vAlign w:val="top"/>
          </w:tcPr>
          <w:p w14:paraId="32F848EB" w14:textId="77777777" w:rsidR="00C33C27" w:rsidRPr="006C3DB2" w:rsidRDefault="00C33C27" w:rsidP="00AC3EBE">
            <w:pPr>
              <w:pStyle w:val="TableBodyText"/>
            </w:pPr>
            <w:r w:rsidRPr="006C3DB2">
              <w:t>(21.2)</w:t>
            </w:r>
          </w:p>
        </w:tc>
        <w:tc>
          <w:tcPr>
            <w:tcW w:w="466" w:type="pct"/>
            <w:tcBorders>
              <w:bottom w:val="single" w:sz="4" w:space="0" w:color="auto"/>
            </w:tcBorders>
            <w:vAlign w:val="top"/>
          </w:tcPr>
          <w:p w14:paraId="7A122C9E" w14:textId="77777777" w:rsidR="00C33C27" w:rsidRPr="006C3DB2" w:rsidRDefault="00C33C27" w:rsidP="00AC3EBE">
            <w:pPr>
              <w:pStyle w:val="TableBodyText"/>
            </w:pPr>
            <w:r w:rsidRPr="006C3DB2">
              <w:t>5.9</w:t>
            </w:r>
          </w:p>
        </w:tc>
      </w:tr>
    </w:tbl>
    <w:p w14:paraId="096926BA" w14:textId="77777777" w:rsidR="000025B2" w:rsidRDefault="000025B2" w:rsidP="000C436B">
      <w:pPr>
        <w:pStyle w:val="Heading3"/>
      </w:pPr>
      <w:bookmarkStart w:id="673" w:name="_Toc89723085"/>
      <w:bookmarkStart w:id="674" w:name="_Ref89797486"/>
      <w:bookmarkStart w:id="675" w:name="_Toc90326028"/>
      <w:bookmarkStart w:id="676" w:name="_Toc93659434"/>
      <w:r>
        <w:t>Summary of Financial Performance</w:t>
      </w:r>
      <w:bookmarkEnd w:id="673"/>
      <w:bookmarkEnd w:id="674"/>
      <w:bookmarkEnd w:id="675"/>
      <w:bookmarkEnd w:id="676"/>
    </w:p>
    <w:p w14:paraId="5DE9FD3A" w14:textId="21FF755B" w:rsidR="00C33C27" w:rsidRPr="006F5D39" w:rsidRDefault="000025B2" w:rsidP="000C436B">
      <w:pPr>
        <w:pStyle w:val="Heading4"/>
      </w:pPr>
      <w:r>
        <w:t>Key Financial Performance Indicators</w:t>
      </w:r>
    </w:p>
    <w:tbl>
      <w:tblPr>
        <w:tblStyle w:val="Style1"/>
        <w:tblW w:w="5000" w:type="pct"/>
        <w:tblLook w:val="0620" w:firstRow="1" w:lastRow="0" w:firstColumn="0" w:lastColumn="0" w:noHBand="1" w:noVBand="1"/>
      </w:tblPr>
      <w:tblGrid>
        <w:gridCol w:w="4252"/>
        <w:gridCol w:w="1135"/>
        <w:gridCol w:w="992"/>
        <w:gridCol w:w="1135"/>
        <w:gridCol w:w="1138"/>
        <w:gridCol w:w="979"/>
      </w:tblGrid>
      <w:tr w:rsidR="000025B2" w:rsidRPr="007E5502" w14:paraId="117E6393" w14:textId="77777777" w:rsidTr="000C436B">
        <w:trPr>
          <w:cnfStyle w:val="100000000000" w:firstRow="1" w:lastRow="0" w:firstColumn="0" w:lastColumn="0" w:oddVBand="0" w:evenVBand="0" w:oddHBand="0" w:evenHBand="0" w:firstRowFirstColumn="0" w:firstRowLastColumn="0" w:lastRowFirstColumn="0" w:lastRowLastColumn="0"/>
          <w:trHeight w:val="20"/>
        </w:trPr>
        <w:tc>
          <w:tcPr>
            <w:tcW w:w="2207" w:type="pct"/>
            <w:tcBorders>
              <w:top w:val="single" w:sz="4" w:space="0" w:color="auto"/>
            </w:tcBorders>
            <w:vAlign w:val="bottom"/>
          </w:tcPr>
          <w:p w14:paraId="0182874A" w14:textId="2CBE4D3E" w:rsidR="000025B2" w:rsidRPr="007E5502" w:rsidRDefault="000025B2" w:rsidP="000C436B">
            <w:pPr>
              <w:pStyle w:val="TableBodyText"/>
              <w:keepNext/>
              <w:keepLines/>
            </w:pPr>
            <w:bookmarkStart w:id="677" w:name="ColumnTitle_28"/>
            <w:r>
              <w:t>Performance Indicators</w:t>
            </w:r>
          </w:p>
        </w:tc>
        <w:tc>
          <w:tcPr>
            <w:tcW w:w="589" w:type="pct"/>
            <w:tcBorders>
              <w:top w:val="single" w:sz="4" w:space="0" w:color="auto"/>
            </w:tcBorders>
            <w:vAlign w:val="bottom"/>
          </w:tcPr>
          <w:p w14:paraId="60C53BCD" w14:textId="77777777" w:rsidR="000025B2" w:rsidRDefault="000025B2" w:rsidP="000C436B">
            <w:pPr>
              <w:pStyle w:val="TableBodyText"/>
              <w:keepNext/>
              <w:keepLines/>
              <w:rPr>
                <w:b w:val="0"/>
                <w:bCs/>
              </w:rPr>
            </w:pPr>
            <w:r>
              <w:t>2021</w:t>
            </w:r>
          </w:p>
          <w:p w14:paraId="078CC1E2" w14:textId="10F449DB" w:rsidR="000025B2" w:rsidRPr="007E5502" w:rsidRDefault="000025B2" w:rsidP="000C436B">
            <w:pPr>
              <w:pStyle w:val="TableBodyText"/>
              <w:keepNext/>
              <w:keepLines/>
            </w:pPr>
            <w:r>
              <w:t>$M</w:t>
            </w:r>
          </w:p>
        </w:tc>
        <w:tc>
          <w:tcPr>
            <w:tcW w:w="515" w:type="pct"/>
            <w:tcBorders>
              <w:top w:val="single" w:sz="4" w:space="0" w:color="auto"/>
            </w:tcBorders>
            <w:vAlign w:val="bottom"/>
          </w:tcPr>
          <w:p w14:paraId="1986F2D3" w14:textId="77777777" w:rsidR="000025B2" w:rsidRDefault="000025B2" w:rsidP="000C436B">
            <w:pPr>
              <w:pStyle w:val="TableBodyText"/>
              <w:keepNext/>
              <w:keepLines/>
              <w:rPr>
                <w:b w:val="0"/>
                <w:bCs/>
              </w:rPr>
            </w:pPr>
            <w:r>
              <w:t>2020</w:t>
            </w:r>
          </w:p>
          <w:p w14:paraId="3DF69DB8" w14:textId="498DBD4C" w:rsidR="000025B2" w:rsidRPr="007E5502" w:rsidRDefault="000025B2" w:rsidP="000C436B">
            <w:pPr>
              <w:pStyle w:val="TableBodyText"/>
              <w:keepNext/>
              <w:keepLines/>
            </w:pPr>
            <w:r>
              <w:t>$M</w:t>
            </w:r>
          </w:p>
        </w:tc>
        <w:tc>
          <w:tcPr>
            <w:tcW w:w="589" w:type="pct"/>
            <w:tcBorders>
              <w:top w:val="single" w:sz="4" w:space="0" w:color="auto"/>
            </w:tcBorders>
            <w:vAlign w:val="bottom"/>
          </w:tcPr>
          <w:p w14:paraId="38747FF5" w14:textId="77777777" w:rsidR="000025B2" w:rsidRDefault="000025B2" w:rsidP="000C436B">
            <w:pPr>
              <w:pStyle w:val="TableBodyText"/>
              <w:keepNext/>
              <w:keepLines/>
              <w:rPr>
                <w:b w:val="0"/>
                <w:bCs/>
              </w:rPr>
            </w:pPr>
            <w:r>
              <w:t>2019</w:t>
            </w:r>
          </w:p>
          <w:p w14:paraId="390D7E0A" w14:textId="6A98DBDE" w:rsidR="000025B2" w:rsidRPr="007E5502" w:rsidRDefault="000025B2" w:rsidP="000C436B">
            <w:pPr>
              <w:pStyle w:val="TableBodyText"/>
              <w:keepNext/>
              <w:keepLines/>
            </w:pPr>
            <w:r>
              <w:t>$M</w:t>
            </w:r>
          </w:p>
        </w:tc>
        <w:tc>
          <w:tcPr>
            <w:tcW w:w="591" w:type="pct"/>
            <w:tcBorders>
              <w:top w:val="single" w:sz="4" w:space="0" w:color="auto"/>
            </w:tcBorders>
            <w:vAlign w:val="bottom"/>
          </w:tcPr>
          <w:p w14:paraId="12BBBFF7" w14:textId="77777777" w:rsidR="000025B2" w:rsidRDefault="000025B2" w:rsidP="000C436B">
            <w:pPr>
              <w:pStyle w:val="TableBodyText"/>
              <w:keepNext/>
              <w:keepLines/>
              <w:rPr>
                <w:b w:val="0"/>
                <w:bCs/>
              </w:rPr>
            </w:pPr>
            <w:r>
              <w:t>2018</w:t>
            </w:r>
          </w:p>
          <w:p w14:paraId="55A90DDD" w14:textId="02F51FE7" w:rsidR="000025B2" w:rsidRPr="007E5502" w:rsidRDefault="000025B2" w:rsidP="000C436B">
            <w:pPr>
              <w:pStyle w:val="TableBodyText"/>
              <w:keepNext/>
              <w:keepLines/>
            </w:pPr>
            <w:r>
              <w:t>$M</w:t>
            </w:r>
          </w:p>
        </w:tc>
        <w:tc>
          <w:tcPr>
            <w:tcW w:w="508" w:type="pct"/>
            <w:tcBorders>
              <w:top w:val="single" w:sz="4" w:space="0" w:color="auto"/>
            </w:tcBorders>
            <w:vAlign w:val="bottom"/>
          </w:tcPr>
          <w:p w14:paraId="7B47633F" w14:textId="77777777" w:rsidR="000025B2" w:rsidRDefault="000025B2" w:rsidP="000C436B">
            <w:pPr>
              <w:pStyle w:val="TableBodyText"/>
              <w:keepNext/>
              <w:keepLines/>
              <w:rPr>
                <w:b w:val="0"/>
                <w:bCs/>
              </w:rPr>
            </w:pPr>
            <w:r>
              <w:t>2017</w:t>
            </w:r>
          </w:p>
          <w:p w14:paraId="5185B505" w14:textId="24E737AC" w:rsidR="000025B2" w:rsidRPr="007E5502" w:rsidRDefault="000025B2" w:rsidP="000C436B">
            <w:pPr>
              <w:pStyle w:val="TableBodyText"/>
              <w:keepNext/>
              <w:keepLines/>
            </w:pPr>
            <w:r>
              <w:t>$M</w:t>
            </w:r>
          </w:p>
        </w:tc>
      </w:tr>
      <w:bookmarkEnd w:id="677"/>
      <w:tr w:rsidR="000025B2" w:rsidRPr="007E5502" w14:paraId="6790D709" w14:textId="77777777" w:rsidTr="00AC3EBE">
        <w:trPr>
          <w:trHeight w:val="20"/>
        </w:trPr>
        <w:tc>
          <w:tcPr>
            <w:tcW w:w="2207" w:type="pct"/>
            <w:vAlign w:val="top"/>
          </w:tcPr>
          <w:p w14:paraId="38BEC150" w14:textId="77777777" w:rsidR="000025B2" w:rsidRPr="007E5502" w:rsidRDefault="000025B2" w:rsidP="000C436B">
            <w:pPr>
              <w:pStyle w:val="TableBodyText"/>
              <w:keepNext/>
              <w:keepLines/>
            </w:pPr>
            <w:r w:rsidRPr="007E5502">
              <w:t>Cash Interest Cover</w:t>
            </w:r>
          </w:p>
        </w:tc>
        <w:tc>
          <w:tcPr>
            <w:tcW w:w="589" w:type="pct"/>
            <w:vAlign w:val="top"/>
          </w:tcPr>
          <w:p w14:paraId="090AFBC6" w14:textId="77777777" w:rsidR="000025B2" w:rsidRPr="000025B2" w:rsidRDefault="000025B2" w:rsidP="000C436B">
            <w:pPr>
              <w:pStyle w:val="TableBodyText"/>
              <w:keepNext/>
              <w:keepLines/>
              <w:rPr>
                <w:rStyle w:val="Bold"/>
              </w:rPr>
            </w:pPr>
            <w:r w:rsidRPr="000025B2">
              <w:rPr>
                <w:rStyle w:val="Bold"/>
              </w:rPr>
              <w:t>2.2</w:t>
            </w:r>
          </w:p>
        </w:tc>
        <w:tc>
          <w:tcPr>
            <w:tcW w:w="515" w:type="pct"/>
            <w:vAlign w:val="top"/>
          </w:tcPr>
          <w:p w14:paraId="05698904" w14:textId="77777777" w:rsidR="000025B2" w:rsidRPr="007E5502" w:rsidRDefault="000025B2" w:rsidP="000C436B">
            <w:pPr>
              <w:pStyle w:val="TableBodyText"/>
              <w:keepNext/>
              <w:keepLines/>
            </w:pPr>
            <w:r w:rsidRPr="007E5502">
              <w:t>2.2</w:t>
            </w:r>
          </w:p>
        </w:tc>
        <w:tc>
          <w:tcPr>
            <w:tcW w:w="589" w:type="pct"/>
            <w:vAlign w:val="top"/>
          </w:tcPr>
          <w:p w14:paraId="3CBA06C4" w14:textId="77777777" w:rsidR="000025B2" w:rsidRPr="007E5502" w:rsidRDefault="000025B2" w:rsidP="000C436B">
            <w:pPr>
              <w:pStyle w:val="TableBodyText"/>
              <w:keepNext/>
              <w:keepLines/>
            </w:pPr>
            <w:r w:rsidRPr="007E5502">
              <w:t>2.1</w:t>
            </w:r>
          </w:p>
        </w:tc>
        <w:tc>
          <w:tcPr>
            <w:tcW w:w="591" w:type="pct"/>
            <w:vAlign w:val="top"/>
          </w:tcPr>
          <w:p w14:paraId="47A25C67" w14:textId="77777777" w:rsidR="000025B2" w:rsidRPr="007E5502" w:rsidRDefault="000025B2" w:rsidP="000C436B">
            <w:pPr>
              <w:pStyle w:val="TableBodyText"/>
              <w:keepNext/>
              <w:keepLines/>
            </w:pPr>
            <w:r w:rsidRPr="007E5502">
              <w:t>1.9</w:t>
            </w:r>
          </w:p>
        </w:tc>
        <w:tc>
          <w:tcPr>
            <w:tcW w:w="508" w:type="pct"/>
            <w:vAlign w:val="top"/>
          </w:tcPr>
          <w:p w14:paraId="3ABFB508" w14:textId="77777777" w:rsidR="000025B2" w:rsidRPr="007E5502" w:rsidRDefault="000025B2" w:rsidP="000C436B">
            <w:pPr>
              <w:pStyle w:val="TableBodyText"/>
              <w:keepNext/>
              <w:keepLines/>
            </w:pPr>
            <w:r w:rsidRPr="007E5502">
              <w:t>2.0</w:t>
            </w:r>
          </w:p>
        </w:tc>
      </w:tr>
      <w:tr w:rsidR="000025B2" w:rsidRPr="007E5502" w14:paraId="5A66C19D" w14:textId="77777777" w:rsidTr="00AC3EBE">
        <w:trPr>
          <w:trHeight w:val="20"/>
        </w:trPr>
        <w:tc>
          <w:tcPr>
            <w:tcW w:w="2207" w:type="pct"/>
            <w:vAlign w:val="top"/>
          </w:tcPr>
          <w:p w14:paraId="3A965A06" w14:textId="77777777" w:rsidR="000025B2" w:rsidRPr="007E5502" w:rsidRDefault="000025B2" w:rsidP="000C436B">
            <w:pPr>
              <w:pStyle w:val="TableBodyText"/>
              <w:keepNext/>
              <w:keepLines/>
            </w:pPr>
            <w:r w:rsidRPr="007E5502">
              <w:t>Gearing Ratio</w:t>
            </w:r>
          </w:p>
        </w:tc>
        <w:tc>
          <w:tcPr>
            <w:tcW w:w="589" w:type="pct"/>
            <w:vAlign w:val="top"/>
          </w:tcPr>
          <w:p w14:paraId="35086548" w14:textId="77777777" w:rsidR="000025B2" w:rsidRPr="000025B2" w:rsidRDefault="000025B2" w:rsidP="000C436B">
            <w:pPr>
              <w:pStyle w:val="TableBodyText"/>
              <w:keepNext/>
              <w:keepLines/>
              <w:rPr>
                <w:rStyle w:val="Bold"/>
              </w:rPr>
            </w:pPr>
            <w:r w:rsidRPr="000025B2">
              <w:rPr>
                <w:rStyle w:val="Bold"/>
              </w:rPr>
              <w:t>48.1%</w:t>
            </w:r>
          </w:p>
        </w:tc>
        <w:tc>
          <w:tcPr>
            <w:tcW w:w="515" w:type="pct"/>
            <w:vAlign w:val="top"/>
          </w:tcPr>
          <w:p w14:paraId="1E22517A" w14:textId="77777777" w:rsidR="000025B2" w:rsidRPr="007E5502" w:rsidRDefault="000025B2" w:rsidP="000C436B">
            <w:pPr>
              <w:pStyle w:val="TableBodyText"/>
              <w:keepNext/>
              <w:keepLines/>
            </w:pPr>
            <w:r w:rsidRPr="007E5502">
              <w:t>50.8%</w:t>
            </w:r>
          </w:p>
        </w:tc>
        <w:tc>
          <w:tcPr>
            <w:tcW w:w="589" w:type="pct"/>
            <w:vAlign w:val="top"/>
          </w:tcPr>
          <w:p w14:paraId="259C7264" w14:textId="77777777" w:rsidR="000025B2" w:rsidRPr="007E5502" w:rsidRDefault="000025B2" w:rsidP="000C436B">
            <w:pPr>
              <w:pStyle w:val="TableBodyText"/>
              <w:keepNext/>
              <w:keepLines/>
            </w:pPr>
            <w:r w:rsidRPr="007E5502">
              <w:t>51.2%</w:t>
            </w:r>
          </w:p>
        </w:tc>
        <w:tc>
          <w:tcPr>
            <w:tcW w:w="591" w:type="pct"/>
            <w:vAlign w:val="top"/>
          </w:tcPr>
          <w:p w14:paraId="7DDD1B39" w14:textId="77777777" w:rsidR="000025B2" w:rsidRPr="007E5502" w:rsidRDefault="000025B2" w:rsidP="000C436B">
            <w:pPr>
              <w:pStyle w:val="TableBodyText"/>
              <w:keepNext/>
              <w:keepLines/>
            </w:pPr>
            <w:r w:rsidRPr="007E5502">
              <w:t>52.6%</w:t>
            </w:r>
          </w:p>
        </w:tc>
        <w:tc>
          <w:tcPr>
            <w:tcW w:w="508" w:type="pct"/>
            <w:vAlign w:val="top"/>
          </w:tcPr>
          <w:p w14:paraId="266A630D" w14:textId="77777777" w:rsidR="000025B2" w:rsidRPr="007E5502" w:rsidRDefault="000025B2" w:rsidP="000C436B">
            <w:pPr>
              <w:pStyle w:val="TableBodyText"/>
              <w:keepNext/>
              <w:keepLines/>
            </w:pPr>
            <w:r w:rsidRPr="007E5502">
              <w:t>53.6%</w:t>
            </w:r>
          </w:p>
        </w:tc>
      </w:tr>
      <w:tr w:rsidR="000025B2" w:rsidRPr="007E5502" w14:paraId="2166821C" w14:textId="77777777" w:rsidTr="00AC3EBE">
        <w:trPr>
          <w:trHeight w:val="20"/>
        </w:trPr>
        <w:tc>
          <w:tcPr>
            <w:tcW w:w="2207" w:type="pct"/>
            <w:vAlign w:val="top"/>
          </w:tcPr>
          <w:p w14:paraId="331E8059" w14:textId="77777777" w:rsidR="000025B2" w:rsidRPr="007E5502" w:rsidRDefault="000025B2" w:rsidP="00AC3EBE">
            <w:pPr>
              <w:pStyle w:val="TableBodyText"/>
            </w:pPr>
            <w:r w:rsidRPr="007E5502">
              <w:t>Internal Financing Ratio</w:t>
            </w:r>
          </w:p>
        </w:tc>
        <w:tc>
          <w:tcPr>
            <w:tcW w:w="589" w:type="pct"/>
            <w:vAlign w:val="top"/>
          </w:tcPr>
          <w:p w14:paraId="342EA7C8" w14:textId="77777777" w:rsidR="000025B2" w:rsidRPr="000025B2" w:rsidRDefault="000025B2" w:rsidP="00AC3EBE">
            <w:pPr>
              <w:pStyle w:val="TableBodyText"/>
              <w:rPr>
                <w:rStyle w:val="Bold"/>
              </w:rPr>
            </w:pPr>
            <w:r w:rsidRPr="000025B2">
              <w:rPr>
                <w:rStyle w:val="Bold"/>
              </w:rPr>
              <w:t>87.2%</w:t>
            </w:r>
          </w:p>
        </w:tc>
        <w:tc>
          <w:tcPr>
            <w:tcW w:w="515" w:type="pct"/>
            <w:vAlign w:val="top"/>
          </w:tcPr>
          <w:p w14:paraId="7CE76823" w14:textId="77777777" w:rsidR="000025B2" w:rsidRPr="007E5502" w:rsidRDefault="000025B2" w:rsidP="00AC3EBE">
            <w:pPr>
              <w:pStyle w:val="TableBodyText"/>
            </w:pPr>
            <w:r w:rsidRPr="007E5502">
              <w:t>98.0%</w:t>
            </w:r>
          </w:p>
        </w:tc>
        <w:tc>
          <w:tcPr>
            <w:tcW w:w="589" w:type="pct"/>
            <w:vAlign w:val="top"/>
          </w:tcPr>
          <w:p w14:paraId="549307AA" w14:textId="77777777" w:rsidR="000025B2" w:rsidRPr="007E5502" w:rsidRDefault="000025B2" w:rsidP="00AC3EBE">
            <w:pPr>
              <w:pStyle w:val="TableBodyText"/>
            </w:pPr>
            <w:r w:rsidRPr="007E5502">
              <w:t>93.4%</w:t>
            </w:r>
          </w:p>
        </w:tc>
        <w:tc>
          <w:tcPr>
            <w:tcW w:w="591" w:type="pct"/>
            <w:vAlign w:val="top"/>
          </w:tcPr>
          <w:p w14:paraId="2799F5D4" w14:textId="77777777" w:rsidR="000025B2" w:rsidRPr="007E5502" w:rsidRDefault="000025B2" w:rsidP="00AC3EBE">
            <w:pPr>
              <w:pStyle w:val="TableBodyText"/>
            </w:pPr>
            <w:r w:rsidRPr="007E5502">
              <w:t>78.6%</w:t>
            </w:r>
          </w:p>
        </w:tc>
        <w:tc>
          <w:tcPr>
            <w:tcW w:w="508" w:type="pct"/>
            <w:vAlign w:val="top"/>
          </w:tcPr>
          <w:p w14:paraId="58787D29" w14:textId="77777777" w:rsidR="000025B2" w:rsidRPr="007E5502" w:rsidRDefault="000025B2" w:rsidP="00AC3EBE">
            <w:pPr>
              <w:pStyle w:val="TableBodyText"/>
            </w:pPr>
            <w:r w:rsidRPr="007E5502">
              <w:t>89.0%</w:t>
            </w:r>
          </w:p>
        </w:tc>
      </w:tr>
      <w:tr w:rsidR="000025B2" w:rsidRPr="007E5502" w14:paraId="67885021" w14:textId="77777777" w:rsidTr="00AC3EBE">
        <w:trPr>
          <w:trHeight w:val="20"/>
        </w:trPr>
        <w:tc>
          <w:tcPr>
            <w:tcW w:w="2207" w:type="pct"/>
            <w:vAlign w:val="top"/>
          </w:tcPr>
          <w:p w14:paraId="749A3B71" w14:textId="77777777" w:rsidR="000025B2" w:rsidRPr="007E5502" w:rsidRDefault="000025B2" w:rsidP="00AC3EBE">
            <w:pPr>
              <w:pStyle w:val="TableBodyText"/>
            </w:pPr>
            <w:r w:rsidRPr="007E5502">
              <w:t>Current Ratio</w:t>
            </w:r>
          </w:p>
        </w:tc>
        <w:tc>
          <w:tcPr>
            <w:tcW w:w="589" w:type="pct"/>
            <w:vAlign w:val="top"/>
          </w:tcPr>
          <w:p w14:paraId="5BE764FF" w14:textId="77777777" w:rsidR="000025B2" w:rsidRPr="000025B2" w:rsidRDefault="000025B2" w:rsidP="00AC3EBE">
            <w:pPr>
              <w:pStyle w:val="TableBodyText"/>
              <w:rPr>
                <w:rStyle w:val="Bold"/>
              </w:rPr>
            </w:pPr>
            <w:r w:rsidRPr="000025B2">
              <w:rPr>
                <w:rStyle w:val="Bold"/>
              </w:rPr>
              <w:t>0.19 times</w:t>
            </w:r>
          </w:p>
        </w:tc>
        <w:tc>
          <w:tcPr>
            <w:tcW w:w="515" w:type="pct"/>
            <w:vAlign w:val="top"/>
          </w:tcPr>
          <w:p w14:paraId="571A69B8" w14:textId="77777777" w:rsidR="000025B2" w:rsidRPr="007E5502" w:rsidRDefault="000025B2" w:rsidP="00AC3EBE">
            <w:pPr>
              <w:pStyle w:val="TableBodyText"/>
            </w:pPr>
            <w:r w:rsidRPr="007E5502">
              <w:t>0.15 times</w:t>
            </w:r>
          </w:p>
        </w:tc>
        <w:tc>
          <w:tcPr>
            <w:tcW w:w="589" w:type="pct"/>
            <w:vAlign w:val="top"/>
          </w:tcPr>
          <w:p w14:paraId="2B56A4F1" w14:textId="77777777" w:rsidR="000025B2" w:rsidRPr="007E5502" w:rsidRDefault="000025B2" w:rsidP="00AC3EBE">
            <w:pPr>
              <w:pStyle w:val="TableBodyText"/>
            </w:pPr>
            <w:r w:rsidRPr="007E5502">
              <w:t>0.15 times</w:t>
            </w:r>
          </w:p>
        </w:tc>
        <w:tc>
          <w:tcPr>
            <w:tcW w:w="591" w:type="pct"/>
            <w:vAlign w:val="top"/>
          </w:tcPr>
          <w:p w14:paraId="36027703" w14:textId="77777777" w:rsidR="000025B2" w:rsidRPr="007E5502" w:rsidRDefault="000025B2" w:rsidP="00AC3EBE">
            <w:pPr>
              <w:pStyle w:val="TableBodyText"/>
            </w:pPr>
            <w:r w:rsidRPr="007E5502">
              <w:t>0.10 times</w:t>
            </w:r>
          </w:p>
        </w:tc>
        <w:tc>
          <w:tcPr>
            <w:tcW w:w="508" w:type="pct"/>
            <w:vAlign w:val="top"/>
          </w:tcPr>
          <w:p w14:paraId="179C702E" w14:textId="77777777" w:rsidR="000025B2" w:rsidRPr="007E5502" w:rsidRDefault="000025B2" w:rsidP="00AC3EBE">
            <w:pPr>
              <w:pStyle w:val="TableBodyText"/>
            </w:pPr>
            <w:r w:rsidRPr="007E5502">
              <w:t>0.09 times</w:t>
            </w:r>
          </w:p>
        </w:tc>
      </w:tr>
      <w:tr w:rsidR="000025B2" w:rsidRPr="007E5502" w14:paraId="26102E7F" w14:textId="77777777" w:rsidTr="00AC3EBE">
        <w:trPr>
          <w:trHeight w:val="20"/>
        </w:trPr>
        <w:tc>
          <w:tcPr>
            <w:tcW w:w="2207" w:type="pct"/>
            <w:vAlign w:val="top"/>
          </w:tcPr>
          <w:p w14:paraId="7376DD66" w14:textId="77777777" w:rsidR="000025B2" w:rsidRPr="007E5502" w:rsidRDefault="000025B2" w:rsidP="00AC3EBE">
            <w:pPr>
              <w:pStyle w:val="TableBodyText"/>
            </w:pPr>
            <w:r w:rsidRPr="007E5502">
              <w:t>Return on Assets</w:t>
            </w:r>
          </w:p>
        </w:tc>
        <w:tc>
          <w:tcPr>
            <w:tcW w:w="589" w:type="pct"/>
            <w:vAlign w:val="top"/>
          </w:tcPr>
          <w:p w14:paraId="321882F9" w14:textId="77777777" w:rsidR="000025B2" w:rsidRPr="000025B2" w:rsidRDefault="000025B2" w:rsidP="00AC3EBE">
            <w:pPr>
              <w:pStyle w:val="TableBodyText"/>
              <w:rPr>
                <w:rStyle w:val="Bold"/>
              </w:rPr>
            </w:pPr>
            <w:r w:rsidRPr="000025B2">
              <w:rPr>
                <w:rStyle w:val="Bold"/>
              </w:rPr>
              <w:t>5.5%</w:t>
            </w:r>
          </w:p>
        </w:tc>
        <w:tc>
          <w:tcPr>
            <w:tcW w:w="515" w:type="pct"/>
            <w:vAlign w:val="top"/>
          </w:tcPr>
          <w:p w14:paraId="71655A1A" w14:textId="77777777" w:rsidR="000025B2" w:rsidRPr="007E5502" w:rsidRDefault="000025B2" w:rsidP="00AC3EBE">
            <w:pPr>
              <w:pStyle w:val="TableBodyText"/>
            </w:pPr>
            <w:r w:rsidRPr="007E5502">
              <w:t>6.0%</w:t>
            </w:r>
          </w:p>
        </w:tc>
        <w:tc>
          <w:tcPr>
            <w:tcW w:w="589" w:type="pct"/>
            <w:vAlign w:val="top"/>
          </w:tcPr>
          <w:p w14:paraId="583E9ADE" w14:textId="77777777" w:rsidR="000025B2" w:rsidRPr="007E5502" w:rsidRDefault="000025B2" w:rsidP="00AC3EBE">
            <w:pPr>
              <w:pStyle w:val="TableBodyText"/>
            </w:pPr>
            <w:r w:rsidRPr="007E5502">
              <w:t>6.1%</w:t>
            </w:r>
          </w:p>
        </w:tc>
        <w:tc>
          <w:tcPr>
            <w:tcW w:w="591" w:type="pct"/>
            <w:vAlign w:val="top"/>
          </w:tcPr>
          <w:p w14:paraId="74C82790" w14:textId="77777777" w:rsidR="000025B2" w:rsidRPr="007E5502" w:rsidRDefault="000025B2" w:rsidP="00AC3EBE">
            <w:pPr>
              <w:pStyle w:val="TableBodyText"/>
            </w:pPr>
            <w:r w:rsidRPr="007E5502">
              <w:t>6.4%</w:t>
            </w:r>
          </w:p>
        </w:tc>
        <w:tc>
          <w:tcPr>
            <w:tcW w:w="508" w:type="pct"/>
            <w:vAlign w:val="top"/>
          </w:tcPr>
          <w:p w14:paraId="3DA2B540" w14:textId="77777777" w:rsidR="000025B2" w:rsidRPr="007E5502" w:rsidRDefault="000025B2" w:rsidP="00AC3EBE">
            <w:pPr>
              <w:pStyle w:val="TableBodyText"/>
            </w:pPr>
            <w:r w:rsidRPr="007E5502">
              <w:t>6.0%</w:t>
            </w:r>
          </w:p>
        </w:tc>
      </w:tr>
      <w:tr w:rsidR="000025B2" w:rsidRPr="007E5502" w14:paraId="0E923FC0" w14:textId="77777777" w:rsidTr="002F4C86">
        <w:trPr>
          <w:trHeight w:val="20"/>
        </w:trPr>
        <w:tc>
          <w:tcPr>
            <w:tcW w:w="2207" w:type="pct"/>
            <w:vAlign w:val="top"/>
          </w:tcPr>
          <w:p w14:paraId="55D4743C" w14:textId="77777777" w:rsidR="000025B2" w:rsidRPr="007E5502" w:rsidRDefault="000025B2" w:rsidP="00AC3EBE">
            <w:pPr>
              <w:pStyle w:val="TableBodyText"/>
            </w:pPr>
            <w:r w:rsidRPr="007E5502">
              <w:t>Return on Equity</w:t>
            </w:r>
          </w:p>
        </w:tc>
        <w:tc>
          <w:tcPr>
            <w:tcW w:w="589" w:type="pct"/>
            <w:vAlign w:val="top"/>
          </w:tcPr>
          <w:p w14:paraId="527C012E" w14:textId="77777777" w:rsidR="000025B2" w:rsidRPr="000025B2" w:rsidRDefault="000025B2" w:rsidP="00AC3EBE">
            <w:pPr>
              <w:pStyle w:val="TableBodyText"/>
              <w:rPr>
                <w:rStyle w:val="Bold"/>
              </w:rPr>
            </w:pPr>
            <w:r w:rsidRPr="000025B2">
              <w:rPr>
                <w:rStyle w:val="Bold"/>
              </w:rPr>
              <w:t>3.1%</w:t>
            </w:r>
          </w:p>
        </w:tc>
        <w:tc>
          <w:tcPr>
            <w:tcW w:w="515" w:type="pct"/>
            <w:vAlign w:val="top"/>
          </w:tcPr>
          <w:p w14:paraId="7A462450" w14:textId="77777777" w:rsidR="000025B2" w:rsidRPr="007E5502" w:rsidRDefault="000025B2" w:rsidP="00AC3EBE">
            <w:pPr>
              <w:pStyle w:val="TableBodyText"/>
            </w:pPr>
            <w:r w:rsidRPr="007E5502">
              <w:t>3.5%</w:t>
            </w:r>
          </w:p>
        </w:tc>
        <w:tc>
          <w:tcPr>
            <w:tcW w:w="589" w:type="pct"/>
            <w:vAlign w:val="top"/>
          </w:tcPr>
          <w:p w14:paraId="6FEC12C3" w14:textId="77777777" w:rsidR="000025B2" w:rsidRPr="007E5502" w:rsidRDefault="000025B2" w:rsidP="00AC3EBE">
            <w:pPr>
              <w:pStyle w:val="TableBodyText"/>
            </w:pPr>
            <w:r w:rsidRPr="007E5502">
              <w:t>3.5%</w:t>
            </w:r>
          </w:p>
        </w:tc>
        <w:tc>
          <w:tcPr>
            <w:tcW w:w="591" w:type="pct"/>
            <w:vAlign w:val="top"/>
          </w:tcPr>
          <w:p w14:paraId="4E98ACDD" w14:textId="77777777" w:rsidR="000025B2" w:rsidRPr="007E5502" w:rsidRDefault="000025B2" w:rsidP="00AC3EBE">
            <w:pPr>
              <w:pStyle w:val="TableBodyText"/>
            </w:pPr>
            <w:r w:rsidRPr="007E5502">
              <w:t>3.8%</w:t>
            </w:r>
          </w:p>
        </w:tc>
        <w:tc>
          <w:tcPr>
            <w:tcW w:w="508" w:type="pct"/>
            <w:vAlign w:val="top"/>
          </w:tcPr>
          <w:p w14:paraId="522C7506" w14:textId="77777777" w:rsidR="000025B2" w:rsidRPr="007E5502" w:rsidRDefault="000025B2" w:rsidP="00AC3EBE">
            <w:pPr>
              <w:pStyle w:val="TableBodyText"/>
            </w:pPr>
            <w:r w:rsidRPr="007E5502">
              <w:t>2.9%</w:t>
            </w:r>
          </w:p>
        </w:tc>
      </w:tr>
      <w:tr w:rsidR="002F4C86" w:rsidRPr="007E5502" w14:paraId="7514DA82" w14:textId="77777777" w:rsidTr="002F4C86">
        <w:trPr>
          <w:trHeight w:val="20"/>
        </w:trPr>
        <w:tc>
          <w:tcPr>
            <w:tcW w:w="2207" w:type="pct"/>
            <w:tcBorders>
              <w:bottom w:val="single" w:sz="4" w:space="0" w:color="auto"/>
            </w:tcBorders>
            <w:vAlign w:val="top"/>
          </w:tcPr>
          <w:p w14:paraId="07F8525A" w14:textId="546A22D7" w:rsidR="002F4C86" w:rsidRPr="007E5502" w:rsidRDefault="00DC0A06" w:rsidP="002F4C86">
            <w:pPr>
              <w:pStyle w:val="TableBodyText"/>
            </w:pPr>
            <w:r>
              <w:t>Earnings before interest, tax and depreciation/amortisation</w:t>
            </w:r>
            <w:r w:rsidR="002F4C86">
              <w:t xml:space="preserve"> Margin</w:t>
            </w:r>
          </w:p>
        </w:tc>
        <w:tc>
          <w:tcPr>
            <w:tcW w:w="589" w:type="pct"/>
            <w:tcBorders>
              <w:bottom w:val="single" w:sz="4" w:space="0" w:color="auto"/>
            </w:tcBorders>
            <w:vAlign w:val="top"/>
          </w:tcPr>
          <w:p w14:paraId="5C7BE989" w14:textId="2B6DDC58" w:rsidR="002F4C86" w:rsidRPr="000025B2" w:rsidRDefault="002F4C86" w:rsidP="00AC3EBE">
            <w:pPr>
              <w:pStyle w:val="TableBodyText"/>
              <w:rPr>
                <w:rStyle w:val="Bold"/>
              </w:rPr>
            </w:pPr>
            <w:r>
              <w:rPr>
                <w:rStyle w:val="Bold"/>
              </w:rPr>
              <w:t>66.2%</w:t>
            </w:r>
          </w:p>
        </w:tc>
        <w:tc>
          <w:tcPr>
            <w:tcW w:w="515" w:type="pct"/>
            <w:tcBorders>
              <w:bottom w:val="single" w:sz="4" w:space="0" w:color="auto"/>
            </w:tcBorders>
            <w:vAlign w:val="top"/>
          </w:tcPr>
          <w:p w14:paraId="18BB185F" w14:textId="6380D707" w:rsidR="002F4C86" w:rsidRPr="007E5502" w:rsidRDefault="002F4C86" w:rsidP="00AC3EBE">
            <w:pPr>
              <w:pStyle w:val="TableBodyText"/>
            </w:pPr>
            <w:r>
              <w:t>68.1%</w:t>
            </w:r>
          </w:p>
        </w:tc>
        <w:tc>
          <w:tcPr>
            <w:tcW w:w="589" w:type="pct"/>
            <w:tcBorders>
              <w:bottom w:val="single" w:sz="4" w:space="0" w:color="auto"/>
            </w:tcBorders>
            <w:vAlign w:val="top"/>
          </w:tcPr>
          <w:p w14:paraId="5CA2A1B1" w14:textId="6C0D2B39" w:rsidR="002F4C86" w:rsidRPr="007E5502" w:rsidRDefault="002F4C86" w:rsidP="00AC3EBE">
            <w:pPr>
              <w:pStyle w:val="TableBodyText"/>
            </w:pPr>
            <w:r>
              <w:t>69.3%</w:t>
            </w:r>
          </w:p>
        </w:tc>
        <w:tc>
          <w:tcPr>
            <w:tcW w:w="591" w:type="pct"/>
            <w:tcBorders>
              <w:bottom w:val="single" w:sz="4" w:space="0" w:color="auto"/>
            </w:tcBorders>
            <w:vAlign w:val="top"/>
          </w:tcPr>
          <w:p w14:paraId="6621F172" w14:textId="259DB7F8" w:rsidR="002F4C86" w:rsidRPr="007E5502" w:rsidRDefault="002F4C86" w:rsidP="00AC3EBE">
            <w:pPr>
              <w:pStyle w:val="TableBodyText"/>
            </w:pPr>
            <w:r>
              <w:t>72.2%</w:t>
            </w:r>
          </w:p>
        </w:tc>
        <w:tc>
          <w:tcPr>
            <w:tcW w:w="508" w:type="pct"/>
            <w:tcBorders>
              <w:bottom w:val="single" w:sz="4" w:space="0" w:color="auto"/>
            </w:tcBorders>
            <w:vAlign w:val="top"/>
          </w:tcPr>
          <w:p w14:paraId="3F387CB4" w14:textId="17B7F2B3" w:rsidR="002F4C86" w:rsidRPr="007E5502" w:rsidRDefault="002F4C86" w:rsidP="00AC3EBE">
            <w:pPr>
              <w:pStyle w:val="TableBodyText"/>
            </w:pPr>
            <w:r>
              <w:t>71.4%</w:t>
            </w:r>
          </w:p>
        </w:tc>
      </w:tr>
    </w:tbl>
    <w:p w14:paraId="740D6CA2" w14:textId="77777777" w:rsidR="000025B2" w:rsidRDefault="000025B2" w:rsidP="000025B2">
      <w:pPr>
        <w:pStyle w:val="Heading3"/>
      </w:pPr>
      <w:bookmarkStart w:id="678" w:name="_Toc89723086"/>
      <w:bookmarkStart w:id="679" w:name="_Toc90326029"/>
      <w:bookmarkStart w:id="680" w:name="_Toc93659435"/>
      <w:r>
        <w:t>Explanatory notes:</w:t>
      </w:r>
      <w:bookmarkEnd w:id="678"/>
      <w:bookmarkEnd w:id="679"/>
      <w:bookmarkEnd w:id="680"/>
    </w:p>
    <w:p w14:paraId="67FA9FF3" w14:textId="77C77869" w:rsidR="00EE6590" w:rsidRDefault="000025B2" w:rsidP="000025B2">
      <w:pPr>
        <w:pStyle w:val="BodyText"/>
        <w:rPr>
          <w:lang w:eastAsia="en-US"/>
        </w:rPr>
      </w:pPr>
      <w:r>
        <w:rPr>
          <w:lang w:eastAsia="en-US"/>
        </w:rPr>
        <w:t>Refer to the Performance Report for definitions of financial performance indicators and reporting of all 2020-21 performance indicators (financial and non-financial) against targets with supporting explanations for any significant variations.</w:t>
      </w:r>
    </w:p>
    <w:p w14:paraId="77546F87" w14:textId="77777777" w:rsidR="000025B2" w:rsidRDefault="000025B2" w:rsidP="002F4C86">
      <w:pPr>
        <w:pStyle w:val="Heading2"/>
      </w:pPr>
      <w:bookmarkStart w:id="681" w:name="_Toc89723087"/>
      <w:bookmarkStart w:id="682" w:name="_Toc89723232"/>
      <w:bookmarkStart w:id="683" w:name="_Toc89723292"/>
      <w:bookmarkStart w:id="684" w:name="_Toc89860556"/>
      <w:bookmarkStart w:id="685" w:name="_Toc89860700"/>
      <w:bookmarkStart w:id="686" w:name="_Toc90326030"/>
      <w:bookmarkStart w:id="687" w:name="_Toc93659436"/>
      <w:r>
        <w:t>Directors’ Report</w:t>
      </w:r>
      <w:bookmarkEnd w:id="681"/>
      <w:bookmarkEnd w:id="682"/>
      <w:bookmarkEnd w:id="683"/>
      <w:bookmarkEnd w:id="684"/>
      <w:bookmarkEnd w:id="685"/>
      <w:bookmarkEnd w:id="686"/>
      <w:bookmarkEnd w:id="687"/>
    </w:p>
    <w:p w14:paraId="3A635579" w14:textId="7D478207" w:rsidR="000025B2" w:rsidRDefault="000025B2" w:rsidP="002F4C86">
      <w:pPr>
        <w:pStyle w:val="Heading3"/>
      </w:pPr>
      <w:bookmarkStart w:id="688" w:name="_Toc89723088"/>
      <w:bookmarkStart w:id="689" w:name="_Toc90326031"/>
      <w:bookmarkStart w:id="690" w:name="_Toc93659437"/>
      <w:r>
        <w:t>Directors</w:t>
      </w:r>
      <w:bookmarkEnd w:id="688"/>
      <w:bookmarkEnd w:id="689"/>
      <w:bookmarkEnd w:id="690"/>
    </w:p>
    <w:p w14:paraId="0664060C" w14:textId="34587B67" w:rsidR="000025B2" w:rsidRDefault="000025B2" w:rsidP="000025B2">
      <w:pPr>
        <w:pStyle w:val="BodyText"/>
        <w:rPr>
          <w:lang w:eastAsia="en-US"/>
        </w:rPr>
      </w:pPr>
      <w:r>
        <w:rPr>
          <w:lang w:eastAsia="en-US"/>
        </w:rPr>
        <w:t>The Directors of Melbourne Water Corporation (‘the Corporation’) in office during the 2020-21 financial year were:</w:t>
      </w:r>
    </w:p>
    <w:p w14:paraId="6C44C7CB" w14:textId="77777777" w:rsidR="000025B2" w:rsidRPr="000025B2" w:rsidRDefault="000025B2" w:rsidP="000025B2">
      <w:r w:rsidRPr="000025B2">
        <w:t>John Thwaites (Chair)</w:t>
      </w:r>
    </w:p>
    <w:p w14:paraId="25B1A185" w14:textId="77777777" w:rsidR="000025B2" w:rsidRPr="000025B2" w:rsidRDefault="000025B2" w:rsidP="000025B2">
      <w:r w:rsidRPr="000025B2">
        <w:t>Michael Wandmaker (Managing Director)</w:t>
      </w:r>
    </w:p>
    <w:p w14:paraId="2A8E3F03" w14:textId="77777777" w:rsidR="000025B2" w:rsidRPr="000025B2" w:rsidRDefault="000025B2" w:rsidP="000025B2">
      <w:r w:rsidRPr="000025B2">
        <w:t>Merran Kelsall (Deputy Chair)</w:t>
      </w:r>
    </w:p>
    <w:p w14:paraId="2E142BCF" w14:textId="77777777" w:rsidR="000025B2" w:rsidRPr="000025B2" w:rsidRDefault="000025B2" w:rsidP="000025B2">
      <w:r w:rsidRPr="000025B2">
        <w:t>Garry Smith</w:t>
      </w:r>
    </w:p>
    <w:p w14:paraId="56E1763F" w14:textId="77777777" w:rsidR="000025B2" w:rsidRPr="000025B2" w:rsidRDefault="000025B2" w:rsidP="000025B2">
      <w:r w:rsidRPr="000025B2">
        <w:t>Hugh Gleeson</w:t>
      </w:r>
    </w:p>
    <w:p w14:paraId="228224C2" w14:textId="77777777" w:rsidR="000025B2" w:rsidRPr="000025B2" w:rsidRDefault="000025B2" w:rsidP="000025B2">
      <w:r w:rsidRPr="000025B2">
        <w:t>Kathleen Bailey-Lord</w:t>
      </w:r>
    </w:p>
    <w:p w14:paraId="75C8E018" w14:textId="77777777" w:rsidR="000025B2" w:rsidRPr="000025B2" w:rsidRDefault="000025B2" w:rsidP="000025B2">
      <w:r w:rsidRPr="000025B2">
        <w:t>Robyn McLeod</w:t>
      </w:r>
    </w:p>
    <w:p w14:paraId="3649ECB5" w14:textId="77777777" w:rsidR="000025B2" w:rsidRPr="000025B2" w:rsidRDefault="000025B2" w:rsidP="000025B2">
      <w:r w:rsidRPr="000025B2">
        <w:t>Fiona Rowland</w:t>
      </w:r>
    </w:p>
    <w:p w14:paraId="24A46FDB" w14:textId="4D0ABC7C" w:rsidR="000025B2" w:rsidRDefault="000025B2" w:rsidP="000025B2">
      <w:pPr>
        <w:rPr>
          <w:lang w:eastAsia="en-US"/>
        </w:rPr>
      </w:pPr>
      <w:r w:rsidRPr="000025B2">
        <w:t>Russell</w:t>
      </w:r>
      <w:r>
        <w:rPr>
          <w:lang w:eastAsia="en-US"/>
        </w:rPr>
        <w:t xml:space="preserve"> Anderson</w:t>
      </w:r>
    </w:p>
    <w:p w14:paraId="05B1DFE2" w14:textId="28FAB05D" w:rsidR="00663E11" w:rsidRDefault="00663E11" w:rsidP="00663E11">
      <w:pPr>
        <w:pStyle w:val="BodyText"/>
        <w:rPr>
          <w:lang w:eastAsia="en-US"/>
        </w:rPr>
      </w:pPr>
      <w:r>
        <w:rPr>
          <w:lang w:eastAsia="en-US"/>
        </w:rPr>
        <w:t xml:space="preserve">Particulars of the directors’ qualifications, experience and special responsibilities are set out on pages </w:t>
      </w:r>
      <w:r w:rsidR="00650CC7">
        <w:rPr>
          <w:lang w:eastAsia="en-US"/>
        </w:rPr>
        <w:fldChar w:fldCharType="begin"/>
      </w:r>
      <w:r w:rsidR="00650CC7">
        <w:rPr>
          <w:lang w:eastAsia="en-US"/>
        </w:rPr>
        <w:instrText xml:space="preserve"> PAGEREF BoardofDirectors \h </w:instrText>
      </w:r>
      <w:r w:rsidR="00650CC7">
        <w:rPr>
          <w:lang w:eastAsia="en-US"/>
        </w:rPr>
      </w:r>
      <w:r w:rsidR="00650CC7">
        <w:rPr>
          <w:lang w:eastAsia="en-US"/>
        </w:rPr>
        <w:fldChar w:fldCharType="separate"/>
      </w:r>
      <w:r w:rsidR="00472151">
        <w:rPr>
          <w:noProof/>
          <w:lang w:eastAsia="en-US"/>
        </w:rPr>
        <w:t>79</w:t>
      </w:r>
      <w:r w:rsidR="00650CC7">
        <w:rPr>
          <w:lang w:eastAsia="en-US"/>
        </w:rPr>
        <w:fldChar w:fldCharType="end"/>
      </w:r>
      <w:r>
        <w:rPr>
          <w:lang w:eastAsia="en-US"/>
        </w:rPr>
        <w:t>-</w:t>
      </w:r>
      <w:r w:rsidR="00650CC7">
        <w:rPr>
          <w:lang w:eastAsia="en-US"/>
        </w:rPr>
        <w:fldChar w:fldCharType="begin"/>
      </w:r>
      <w:r w:rsidR="00650CC7">
        <w:rPr>
          <w:lang w:eastAsia="en-US"/>
        </w:rPr>
        <w:instrText xml:space="preserve"> PAGEREF BoardofDirectorsend \h </w:instrText>
      </w:r>
      <w:r w:rsidR="00650CC7">
        <w:rPr>
          <w:lang w:eastAsia="en-US"/>
        </w:rPr>
      </w:r>
      <w:r w:rsidR="00650CC7">
        <w:rPr>
          <w:lang w:eastAsia="en-US"/>
        </w:rPr>
        <w:fldChar w:fldCharType="separate"/>
      </w:r>
      <w:r w:rsidR="00472151">
        <w:rPr>
          <w:noProof/>
          <w:lang w:eastAsia="en-US"/>
        </w:rPr>
        <w:t>82</w:t>
      </w:r>
      <w:r w:rsidR="00650CC7">
        <w:rPr>
          <w:lang w:eastAsia="en-US"/>
        </w:rPr>
        <w:fldChar w:fldCharType="end"/>
      </w:r>
      <w:r>
        <w:rPr>
          <w:lang w:eastAsia="en-US"/>
        </w:rPr>
        <w:t xml:space="preserve"> of this report.</w:t>
      </w:r>
    </w:p>
    <w:p w14:paraId="13E69913" w14:textId="77777777" w:rsidR="00663E11" w:rsidRDefault="00663E11" w:rsidP="0011520C">
      <w:pPr>
        <w:pStyle w:val="Heading3"/>
      </w:pPr>
      <w:bookmarkStart w:id="691" w:name="_Toc89723089"/>
      <w:bookmarkStart w:id="692" w:name="_Toc90326032"/>
      <w:bookmarkStart w:id="693" w:name="_Toc93659438"/>
      <w:r>
        <w:lastRenderedPageBreak/>
        <w:t>Directors’ Meetings</w:t>
      </w:r>
      <w:bookmarkEnd w:id="691"/>
      <w:bookmarkEnd w:id="692"/>
      <w:bookmarkEnd w:id="693"/>
    </w:p>
    <w:p w14:paraId="487D4A84" w14:textId="4DE87F7C" w:rsidR="00663E11" w:rsidRDefault="00663E11" w:rsidP="0011520C">
      <w:pPr>
        <w:pStyle w:val="BodyText"/>
        <w:keepNext/>
        <w:keepLines/>
        <w:rPr>
          <w:lang w:eastAsia="en-US"/>
        </w:rPr>
      </w:pPr>
      <w:r>
        <w:rPr>
          <w:lang w:eastAsia="en-US"/>
        </w:rPr>
        <w:t>During the financial period, the Corporation held 11 scheduled meetings of directors.</w:t>
      </w:r>
    </w:p>
    <w:p w14:paraId="3C01394D" w14:textId="09A08EA9" w:rsidR="000025B2" w:rsidRDefault="00663E11" w:rsidP="0011520C">
      <w:pPr>
        <w:pStyle w:val="BodyText"/>
        <w:keepNext/>
        <w:keepLines/>
        <w:rPr>
          <w:lang w:eastAsia="en-US"/>
        </w:rPr>
      </w:pPr>
      <w:r>
        <w:rPr>
          <w:lang w:eastAsia="en-US"/>
        </w:rPr>
        <w:t>Attendance at meetings of the Board and its committees were:</w:t>
      </w:r>
    </w:p>
    <w:tbl>
      <w:tblPr>
        <w:tblStyle w:val="TableGrid"/>
        <w:tblW w:w="5000" w:type="pct"/>
        <w:tblLook w:val="04A0" w:firstRow="1" w:lastRow="0" w:firstColumn="1" w:lastColumn="0" w:noHBand="0" w:noVBand="1"/>
      </w:tblPr>
      <w:tblGrid>
        <w:gridCol w:w="2553"/>
        <w:gridCol w:w="1703"/>
        <w:gridCol w:w="1843"/>
        <w:gridCol w:w="1841"/>
        <w:gridCol w:w="1691"/>
      </w:tblGrid>
      <w:tr w:rsidR="00663E11" w14:paraId="4084CBA5"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1325" w:type="pct"/>
            <w:vAlign w:val="bottom"/>
          </w:tcPr>
          <w:p w14:paraId="14D92189" w14:textId="3025F8ED" w:rsidR="00663E11" w:rsidRDefault="00663E11" w:rsidP="0011520C">
            <w:pPr>
              <w:pStyle w:val="TableBodyText"/>
              <w:keepNext/>
              <w:keepLines/>
              <w:rPr>
                <w:lang w:eastAsia="en-US"/>
              </w:rPr>
            </w:pPr>
            <w:bookmarkStart w:id="694" w:name="ColumnTitle_29"/>
            <w:r>
              <w:rPr>
                <w:lang w:eastAsia="en-US"/>
              </w:rPr>
              <w:t>Name</w:t>
            </w:r>
          </w:p>
        </w:tc>
        <w:tc>
          <w:tcPr>
            <w:tcW w:w="884" w:type="pct"/>
            <w:vAlign w:val="bottom"/>
          </w:tcPr>
          <w:p w14:paraId="68E8443B" w14:textId="2B4D4A27" w:rsidR="00663E11" w:rsidRPr="00663E11" w:rsidRDefault="00663E11" w:rsidP="0011520C">
            <w:pPr>
              <w:pStyle w:val="TableBodyText"/>
              <w:keepNext/>
              <w:keepLines/>
              <w:rPr>
                <w:b w:val="0"/>
                <w:lang w:eastAsia="en-US"/>
              </w:rPr>
            </w:pPr>
            <w:r>
              <w:rPr>
                <w:lang w:eastAsia="en-US"/>
              </w:rPr>
              <w:t>Board</w:t>
            </w:r>
          </w:p>
        </w:tc>
        <w:tc>
          <w:tcPr>
            <w:tcW w:w="957" w:type="pct"/>
            <w:vAlign w:val="bottom"/>
          </w:tcPr>
          <w:p w14:paraId="318E85DE" w14:textId="44D32C77" w:rsidR="00663E11" w:rsidRDefault="00663E11" w:rsidP="0011520C">
            <w:pPr>
              <w:pStyle w:val="TableBodyText"/>
              <w:keepNext/>
              <w:keepLines/>
              <w:rPr>
                <w:lang w:eastAsia="en-US"/>
              </w:rPr>
            </w:pPr>
            <w:r>
              <w:rPr>
                <w:lang w:eastAsia="en-US"/>
              </w:rPr>
              <w:t>Audit, Risk and</w:t>
            </w:r>
            <w:r w:rsidR="002F4C86">
              <w:rPr>
                <w:lang w:eastAsia="en-US"/>
              </w:rPr>
              <w:t xml:space="preserve"> </w:t>
            </w:r>
            <w:r>
              <w:rPr>
                <w:lang w:eastAsia="en-US"/>
              </w:rPr>
              <w:t>Finance Committee</w:t>
            </w:r>
          </w:p>
        </w:tc>
        <w:tc>
          <w:tcPr>
            <w:tcW w:w="956" w:type="pct"/>
            <w:vAlign w:val="bottom"/>
          </w:tcPr>
          <w:p w14:paraId="43B267D8" w14:textId="7011C596" w:rsidR="00663E11" w:rsidRDefault="00663E11" w:rsidP="0011520C">
            <w:pPr>
              <w:pStyle w:val="TableBodyText"/>
              <w:keepNext/>
              <w:keepLines/>
              <w:rPr>
                <w:lang w:eastAsia="en-US"/>
              </w:rPr>
            </w:pPr>
            <w:r>
              <w:rPr>
                <w:lang w:eastAsia="en-US"/>
              </w:rPr>
              <w:t>People, Safety and</w:t>
            </w:r>
            <w:r w:rsidR="002F4C86">
              <w:rPr>
                <w:lang w:eastAsia="en-US"/>
              </w:rPr>
              <w:t xml:space="preserve"> </w:t>
            </w:r>
            <w:r>
              <w:rPr>
                <w:lang w:eastAsia="en-US"/>
              </w:rPr>
              <w:t>Remuneration</w:t>
            </w:r>
            <w:r w:rsidR="002F4C86">
              <w:rPr>
                <w:lang w:eastAsia="en-US"/>
              </w:rPr>
              <w:t xml:space="preserve"> </w:t>
            </w:r>
            <w:r>
              <w:rPr>
                <w:lang w:eastAsia="en-US"/>
              </w:rPr>
              <w:t>Committee</w:t>
            </w:r>
          </w:p>
        </w:tc>
        <w:tc>
          <w:tcPr>
            <w:tcW w:w="879" w:type="pct"/>
            <w:vAlign w:val="bottom"/>
          </w:tcPr>
          <w:p w14:paraId="2E46AD46" w14:textId="66D4E5C2" w:rsidR="00663E11" w:rsidRDefault="00663E11" w:rsidP="0011520C">
            <w:pPr>
              <w:pStyle w:val="TableBodyText"/>
              <w:keepNext/>
              <w:keepLines/>
              <w:rPr>
                <w:lang w:eastAsia="en-US"/>
              </w:rPr>
            </w:pPr>
            <w:r>
              <w:rPr>
                <w:lang w:eastAsia="en-US"/>
              </w:rPr>
              <w:t>Customer and</w:t>
            </w:r>
            <w:r w:rsidR="002F4C86">
              <w:rPr>
                <w:lang w:eastAsia="en-US"/>
              </w:rPr>
              <w:t xml:space="preserve"> </w:t>
            </w:r>
            <w:r>
              <w:rPr>
                <w:lang w:eastAsia="en-US"/>
              </w:rPr>
              <w:t>Service Delivery</w:t>
            </w:r>
            <w:r w:rsidR="002F4C86">
              <w:rPr>
                <w:lang w:eastAsia="en-US"/>
              </w:rPr>
              <w:t xml:space="preserve"> </w:t>
            </w:r>
            <w:r>
              <w:rPr>
                <w:lang w:eastAsia="en-US"/>
              </w:rPr>
              <w:t>Committee</w:t>
            </w:r>
          </w:p>
        </w:tc>
      </w:tr>
      <w:bookmarkEnd w:id="694"/>
      <w:tr w:rsidR="00663E11" w14:paraId="3B386029" w14:textId="77777777" w:rsidTr="00C102F1">
        <w:tc>
          <w:tcPr>
            <w:tcW w:w="1325" w:type="pct"/>
          </w:tcPr>
          <w:p w14:paraId="41854944" w14:textId="64660CCF" w:rsidR="00663E11" w:rsidRDefault="00663E11" w:rsidP="00663E11">
            <w:pPr>
              <w:pStyle w:val="TableBodyText"/>
              <w:rPr>
                <w:lang w:eastAsia="en-US"/>
              </w:rPr>
            </w:pPr>
            <w:r>
              <w:rPr>
                <w:lang w:eastAsia="en-US"/>
              </w:rPr>
              <w:t>John Thwaites (Chair)</w:t>
            </w:r>
          </w:p>
        </w:tc>
        <w:tc>
          <w:tcPr>
            <w:tcW w:w="884" w:type="pct"/>
          </w:tcPr>
          <w:p w14:paraId="082578CB" w14:textId="77777777" w:rsidR="00663E11" w:rsidRDefault="00663E11" w:rsidP="00663E11">
            <w:pPr>
              <w:pStyle w:val="TableBodyText"/>
              <w:rPr>
                <w:lang w:eastAsia="en-US"/>
              </w:rPr>
            </w:pPr>
            <w:r>
              <w:rPr>
                <w:lang w:eastAsia="en-US"/>
              </w:rPr>
              <w:t>Attended: 11</w:t>
            </w:r>
          </w:p>
          <w:p w14:paraId="315884C1" w14:textId="75537C7D" w:rsidR="00663E11" w:rsidRDefault="00663E11" w:rsidP="00663E11">
            <w:pPr>
              <w:pStyle w:val="TableBodyText"/>
              <w:rPr>
                <w:lang w:eastAsia="en-US"/>
              </w:rPr>
            </w:pPr>
            <w:r>
              <w:rPr>
                <w:lang w:eastAsia="en-US"/>
              </w:rPr>
              <w:t>Maximum held: 11</w:t>
            </w:r>
          </w:p>
        </w:tc>
        <w:tc>
          <w:tcPr>
            <w:tcW w:w="957" w:type="pct"/>
          </w:tcPr>
          <w:p w14:paraId="368C2DB3" w14:textId="648BA42A" w:rsidR="00663E11" w:rsidRDefault="00663E11" w:rsidP="00663E11">
            <w:pPr>
              <w:pStyle w:val="TableBodyText"/>
              <w:rPr>
                <w:lang w:eastAsia="en-US"/>
              </w:rPr>
            </w:pPr>
            <w:r>
              <w:rPr>
                <w:lang w:eastAsia="en-US"/>
              </w:rPr>
              <w:t>Attended: 4</w:t>
            </w:r>
          </w:p>
          <w:p w14:paraId="2BE9ABCB" w14:textId="372F98CE" w:rsidR="00663E11" w:rsidRDefault="00663E11" w:rsidP="00663E11">
            <w:pPr>
              <w:pStyle w:val="TableBodyText"/>
              <w:rPr>
                <w:lang w:eastAsia="en-US"/>
              </w:rPr>
            </w:pPr>
            <w:r>
              <w:rPr>
                <w:lang w:eastAsia="en-US"/>
              </w:rPr>
              <w:t>Maximum held: 4</w:t>
            </w:r>
          </w:p>
        </w:tc>
        <w:tc>
          <w:tcPr>
            <w:tcW w:w="956" w:type="pct"/>
          </w:tcPr>
          <w:p w14:paraId="2F2F0A39" w14:textId="49248121" w:rsidR="00663E11" w:rsidRDefault="00663E11" w:rsidP="00663E11">
            <w:pPr>
              <w:pStyle w:val="TableBodyText"/>
              <w:rPr>
                <w:lang w:eastAsia="en-US"/>
              </w:rPr>
            </w:pPr>
            <w:r>
              <w:rPr>
                <w:lang w:eastAsia="en-US"/>
              </w:rPr>
              <w:t>Attended: Nil</w:t>
            </w:r>
          </w:p>
          <w:p w14:paraId="3E704FC1" w14:textId="087D4749" w:rsidR="00663E11" w:rsidRDefault="00663E11" w:rsidP="00663E11">
            <w:pPr>
              <w:pStyle w:val="TableBodyText"/>
              <w:rPr>
                <w:lang w:eastAsia="en-US"/>
              </w:rPr>
            </w:pPr>
            <w:r>
              <w:rPr>
                <w:lang w:eastAsia="en-US"/>
              </w:rPr>
              <w:t>Maximum held: Nil</w:t>
            </w:r>
          </w:p>
        </w:tc>
        <w:tc>
          <w:tcPr>
            <w:tcW w:w="879" w:type="pct"/>
          </w:tcPr>
          <w:p w14:paraId="7F9E47AE" w14:textId="77777777" w:rsidR="00663E11" w:rsidRDefault="00663E11" w:rsidP="00663E11">
            <w:pPr>
              <w:pStyle w:val="TableBodyText"/>
              <w:rPr>
                <w:lang w:eastAsia="en-US"/>
              </w:rPr>
            </w:pPr>
            <w:r>
              <w:rPr>
                <w:lang w:eastAsia="en-US"/>
              </w:rPr>
              <w:t>Attended: Nil</w:t>
            </w:r>
          </w:p>
          <w:p w14:paraId="75B0841D" w14:textId="300B3B7F" w:rsidR="00663E11" w:rsidRDefault="00663E11" w:rsidP="00663E11">
            <w:pPr>
              <w:pStyle w:val="TableBodyText"/>
              <w:rPr>
                <w:lang w:eastAsia="en-US"/>
              </w:rPr>
            </w:pPr>
            <w:r>
              <w:rPr>
                <w:lang w:eastAsia="en-US"/>
              </w:rPr>
              <w:t>Maximum held: Nil</w:t>
            </w:r>
          </w:p>
        </w:tc>
      </w:tr>
      <w:tr w:rsidR="00663E11" w14:paraId="6A79F306" w14:textId="77777777" w:rsidTr="00C102F1">
        <w:tc>
          <w:tcPr>
            <w:tcW w:w="1325" w:type="pct"/>
          </w:tcPr>
          <w:p w14:paraId="211E5CFA" w14:textId="77777777" w:rsidR="00934BD5" w:rsidRDefault="00663E11" w:rsidP="00663E11">
            <w:pPr>
              <w:pStyle w:val="TableBodyText"/>
              <w:rPr>
                <w:lang w:eastAsia="en-US"/>
              </w:rPr>
            </w:pPr>
            <w:r>
              <w:rPr>
                <w:lang w:eastAsia="en-US"/>
              </w:rPr>
              <w:t>Michael Wandmaker (Managing Director)</w:t>
            </w:r>
          </w:p>
          <w:p w14:paraId="1EA641FF" w14:textId="2BDD97A9" w:rsidR="00934BD5" w:rsidRDefault="00926282" w:rsidP="00934BD5">
            <w:pPr>
              <w:pStyle w:val="TableBodyText"/>
              <w:rPr>
                <w:lang w:eastAsia="en-US"/>
              </w:rPr>
            </w:pPr>
            <w:hyperlink w:anchor="NoteaDirReport" w:history="1">
              <w:r w:rsidR="00934BD5" w:rsidRPr="00934BD5">
                <w:rPr>
                  <w:rStyle w:val="Hyperlink"/>
                  <w:lang w:eastAsia="en-US"/>
                </w:rPr>
                <w:t>refer note (a)</w:t>
              </w:r>
            </w:hyperlink>
          </w:p>
        </w:tc>
        <w:tc>
          <w:tcPr>
            <w:tcW w:w="884" w:type="pct"/>
          </w:tcPr>
          <w:p w14:paraId="48527415" w14:textId="77777777" w:rsidR="00663E11" w:rsidRDefault="00663E11" w:rsidP="00663E11">
            <w:pPr>
              <w:pStyle w:val="TableBodyText"/>
              <w:rPr>
                <w:lang w:eastAsia="en-US"/>
              </w:rPr>
            </w:pPr>
            <w:r>
              <w:rPr>
                <w:lang w:eastAsia="en-US"/>
              </w:rPr>
              <w:t>Attended: 11</w:t>
            </w:r>
          </w:p>
          <w:p w14:paraId="6B3E83F7" w14:textId="1E3C12E9" w:rsidR="00663E11" w:rsidRDefault="00663E11" w:rsidP="00663E11">
            <w:pPr>
              <w:pStyle w:val="TableBodyText"/>
              <w:rPr>
                <w:lang w:eastAsia="en-US"/>
              </w:rPr>
            </w:pPr>
            <w:r>
              <w:rPr>
                <w:lang w:eastAsia="en-US"/>
              </w:rPr>
              <w:t>Maximum held: 11</w:t>
            </w:r>
          </w:p>
        </w:tc>
        <w:tc>
          <w:tcPr>
            <w:tcW w:w="957" w:type="pct"/>
          </w:tcPr>
          <w:p w14:paraId="33D8B61F" w14:textId="18D6C263" w:rsidR="00663E11" w:rsidRDefault="00663E11" w:rsidP="00663E11">
            <w:pPr>
              <w:pStyle w:val="TableBodyText"/>
              <w:rPr>
                <w:lang w:eastAsia="en-US"/>
              </w:rPr>
            </w:pPr>
            <w:r>
              <w:rPr>
                <w:lang w:eastAsia="en-US"/>
              </w:rPr>
              <w:t>Attended: 4</w:t>
            </w:r>
          </w:p>
          <w:p w14:paraId="58597AA3" w14:textId="4F2FFCB9" w:rsidR="00663E11" w:rsidRPr="004316E0" w:rsidRDefault="00663E11" w:rsidP="00663E11">
            <w:pPr>
              <w:pStyle w:val="TableBodyText"/>
              <w:rPr>
                <w:lang w:eastAsia="en-US"/>
              </w:rPr>
            </w:pPr>
            <w:r>
              <w:rPr>
                <w:lang w:eastAsia="en-US"/>
              </w:rPr>
              <w:t>Maximum held: 4</w:t>
            </w:r>
          </w:p>
        </w:tc>
        <w:tc>
          <w:tcPr>
            <w:tcW w:w="956" w:type="pct"/>
          </w:tcPr>
          <w:p w14:paraId="0765F923" w14:textId="00D33475" w:rsidR="00663E11" w:rsidRDefault="00663E11" w:rsidP="00663E11">
            <w:pPr>
              <w:pStyle w:val="TableBodyText"/>
              <w:rPr>
                <w:lang w:eastAsia="en-US"/>
              </w:rPr>
            </w:pPr>
            <w:r>
              <w:rPr>
                <w:lang w:eastAsia="en-US"/>
              </w:rPr>
              <w:t>Attended: 4</w:t>
            </w:r>
          </w:p>
          <w:p w14:paraId="7BC2AC3B" w14:textId="43CB5D05" w:rsidR="00663E11" w:rsidRPr="004316E0" w:rsidRDefault="00663E11" w:rsidP="00663E11">
            <w:pPr>
              <w:pStyle w:val="TableBodyText"/>
              <w:rPr>
                <w:lang w:eastAsia="en-US"/>
              </w:rPr>
            </w:pPr>
            <w:r>
              <w:rPr>
                <w:lang w:eastAsia="en-US"/>
              </w:rPr>
              <w:t>Maximum held: 4</w:t>
            </w:r>
          </w:p>
        </w:tc>
        <w:tc>
          <w:tcPr>
            <w:tcW w:w="879" w:type="pct"/>
          </w:tcPr>
          <w:p w14:paraId="7A7E880E" w14:textId="024D3391" w:rsidR="00663E11" w:rsidRDefault="00663E11" w:rsidP="00663E11">
            <w:pPr>
              <w:pStyle w:val="TableBodyText"/>
              <w:rPr>
                <w:lang w:eastAsia="en-US"/>
              </w:rPr>
            </w:pPr>
            <w:r>
              <w:rPr>
                <w:lang w:eastAsia="en-US"/>
              </w:rPr>
              <w:t>Attended: 4</w:t>
            </w:r>
          </w:p>
          <w:p w14:paraId="76565EA6" w14:textId="36A748CA" w:rsidR="00663E11" w:rsidRPr="004316E0" w:rsidRDefault="00663E11" w:rsidP="00663E11">
            <w:pPr>
              <w:pStyle w:val="TableBodyText"/>
              <w:rPr>
                <w:lang w:eastAsia="en-US"/>
              </w:rPr>
            </w:pPr>
            <w:r>
              <w:rPr>
                <w:lang w:eastAsia="en-US"/>
              </w:rPr>
              <w:t>Maximum held: 4</w:t>
            </w:r>
          </w:p>
        </w:tc>
      </w:tr>
      <w:tr w:rsidR="00663E11" w14:paraId="72F0CCD6" w14:textId="77777777" w:rsidTr="00C102F1">
        <w:tc>
          <w:tcPr>
            <w:tcW w:w="1325" w:type="pct"/>
          </w:tcPr>
          <w:p w14:paraId="2ED544D9" w14:textId="61C99201" w:rsidR="00663E11" w:rsidRDefault="00663E11" w:rsidP="00663E11">
            <w:pPr>
              <w:pStyle w:val="TableBodyText"/>
              <w:rPr>
                <w:lang w:eastAsia="en-US"/>
              </w:rPr>
            </w:pPr>
            <w:r>
              <w:rPr>
                <w:lang w:eastAsia="en-US"/>
              </w:rPr>
              <w:t>Merran Kelsall (Deputy Chair)</w:t>
            </w:r>
          </w:p>
        </w:tc>
        <w:tc>
          <w:tcPr>
            <w:tcW w:w="884" w:type="pct"/>
          </w:tcPr>
          <w:p w14:paraId="49D26455" w14:textId="77777777" w:rsidR="00663E11" w:rsidRDefault="00663E11" w:rsidP="00663E11">
            <w:pPr>
              <w:pStyle w:val="TableBodyText"/>
              <w:rPr>
                <w:lang w:eastAsia="en-US"/>
              </w:rPr>
            </w:pPr>
            <w:r>
              <w:rPr>
                <w:lang w:eastAsia="en-US"/>
              </w:rPr>
              <w:t>Attended: 11</w:t>
            </w:r>
          </w:p>
          <w:p w14:paraId="46BF09AE" w14:textId="6411E82B" w:rsidR="00663E11" w:rsidRDefault="00663E11" w:rsidP="00663E11">
            <w:pPr>
              <w:pStyle w:val="TableBodyText"/>
              <w:rPr>
                <w:lang w:eastAsia="en-US"/>
              </w:rPr>
            </w:pPr>
            <w:r>
              <w:rPr>
                <w:lang w:eastAsia="en-US"/>
              </w:rPr>
              <w:t>Maximum held: 11</w:t>
            </w:r>
          </w:p>
        </w:tc>
        <w:tc>
          <w:tcPr>
            <w:tcW w:w="957" w:type="pct"/>
          </w:tcPr>
          <w:p w14:paraId="549E81D6" w14:textId="77777777" w:rsidR="00663E11" w:rsidRDefault="00663E11" w:rsidP="00663E11">
            <w:pPr>
              <w:pStyle w:val="TableBodyText"/>
              <w:rPr>
                <w:lang w:eastAsia="en-US"/>
              </w:rPr>
            </w:pPr>
            <w:r>
              <w:rPr>
                <w:lang w:eastAsia="en-US"/>
              </w:rPr>
              <w:t>Attended: 4</w:t>
            </w:r>
          </w:p>
          <w:p w14:paraId="29E331AD" w14:textId="3DEEB152" w:rsidR="00663E11" w:rsidRDefault="00663E11" w:rsidP="00663E11">
            <w:pPr>
              <w:pStyle w:val="TableBodyText"/>
              <w:rPr>
                <w:lang w:eastAsia="en-US"/>
              </w:rPr>
            </w:pPr>
            <w:r>
              <w:rPr>
                <w:lang w:eastAsia="en-US"/>
              </w:rPr>
              <w:t>Maximum held: 4</w:t>
            </w:r>
          </w:p>
        </w:tc>
        <w:tc>
          <w:tcPr>
            <w:tcW w:w="956" w:type="pct"/>
          </w:tcPr>
          <w:p w14:paraId="010882D1" w14:textId="77777777" w:rsidR="00663E11" w:rsidRDefault="00663E11" w:rsidP="00663E11">
            <w:pPr>
              <w:pStyle w:val="TableBodyText"/>
              <w:rPr>
                <w:lang w:eastAsia="en-US"/>
              </w:rPr>
            </w:pPr>
            <w:r>
              <w:rPr>
                <w:lang w:eastAsia="en-US"/>
              </w:rPr>
              <w:t>Attended: Nil</w:t>
            </w:r>
          </w:p>
          <w:p w14:paraId="0BF58F0B" w14:textId="029F18CB" w:rsidR="00663E11" w:rsidRDefault="00663E11" w:rsidP="00663E11">
            <w:pPr>
              <w:pStyle w:val="TableBodyText"/>
              <w:rPr>
                <w:lang w:eastAsia="en-US"/>
              </w:rPr>
            </w:pPr>
            <w:r>
              <w:rPr>
                <w:lang w:eastAsia="en-US"/>
              </w:rPr>
              <w:t>Maximum held: Nil</w:t>
            </w:r>
          </w:p>
        </w:tc>
        <w:tc>
          <w:tcPr>
            <w:tcW w:w="879" w:type="pct"/>
          </w:tcPr>
          <w:p w14:paraId="699EA4EB" w14:textId="77777777" w:rsidR="00663E11" w:rsidRDefault="00663E11" w:rsidP="00663E11">
            <w:pPr>
              <w:pStyle w:val="TableBodyText"/>
              <w:rPr>
                <w:lang w:eastAsia="en-US"/>
              </w:rPr>
            </w:pPr>
            <w:r>
              <w:rPr>
                <w:lang w:eastAsia="en-US"/>
              </w:rPr>
              <w:t>Attended: Nil</w:t>
            </w:r>
          </w:p>
          <w:p w14:paraId="667D60A0" w14:textId="5C21C104" w:rsidR="00663E11" w:rsidRDefault="00663E11" w:rsidP="00663E11">
            <w:pPr>
              <w:pStyle w:val="TableBodyText"/>
              <w:rPr>
                <w:lang w:eastAsia="en-US"/>
              </w:rPr>
            </w:pPr>
            <w:r>
              <w:rPr>
                <w:lang w:eastAsia="en-US"/>
              </w:rPr>
              <w:t>Maximum held: Nil</w:t>
            </w:r>
          </w:p>
        </w:tc>
      </w:tr>
      <w:tr w:rsidR="00663E11" w14:paraId="50110E9F" w14:textId="77777777" w:rsidTr="00C102F1">
        <w:tc>
          <w:tcPr>
            <w:tcW w:w="1325" w:type="pct"/>
          </w:tcPr>
          <w:p w14:paraId="0429AA11" w14:textId="15DD4664" w:rsidR="00663E11" w:rsidRDefault="00663E11" w:rsidP="00663E11">
            <w:pPr>
              <w:pStyle w:val="TableBodyText"/>
              <w:rPr>
                <w:lang w:eastAsia="en-US"/>
              </w:rPr>
            </w:pPr>
            <w:r>
              <w:rPr>
                <w:lang w:eastAsia="en-US"/>
              </w:rPr>
              <w:t>Garry Smith</w:t>
            </w:r>
          </w:p>
        </w:tc>
        <w:tc>
          <w:tcPr>
            <w:tcW w:w="884" w:type="pct"/>
          </w:tcPr>
          <w:p w14:paraId="3B21F01D" w14:textId="77777777" w:rsidR="00663E11" w:rsidRDefault="00663E11" w:rsidP="00663E11">
            <w:pPr>
              <w:pStyle w:val="TableBodyText"/>
              <w:rPr>
                <w:lang w:eastAsia="en-US"/>
              </w:rPr>
            </w:pPr>
            <w:r>
              <w:rPr>
                <w:lang w:eastAsia="en-US"/>
              </w:rPr>
              <w:t>Attended: 11</w:t>
            </w:r>
          </w:p>
          <w:p w14:paraId="4D6E1030" w14:textId="504E7D91" w:rsidR="00663E11" w:rsidRDefault="00663E11" w:rsidP="00663E11">
            <w:pPr>
              <w:pStyle w:val="TableBodyText"/>
              <w:rPr>
                <w:lang w:eastAsia="en-US"/>
              </w:rPr>
            </w:pPr>
            <w:r>
              <w:rPr>
                <w:lang w:eastAsia="en-US"/>
              </w:rPr>
              <w:t>Maximum held: 11</w:t>
            </w:r>
          </w:p>
        </w:tc>
        <w:tc>
          <w:tcPr>
            <w:tcW w:w="957" w:type="pct"/>
          </w:tcPr>
          <w:p w14:paraId="7F4DA382" w14:textId="77777777" w:rsidR="00663E11" w:rsidRDefault="00663E11" w:rsidP="00663E11">
            <w:pPr>
              <w:pStyle w:val="TableBodyText"/>
              <w:rPr>
                <w:lang w:eastAsia="en-US"/>
              </w:rPr>
            </w:pPr>
            <w:r>
              <w:rPr>
                <w:lang w:eastAsia="en-US"/>
              </w:rPr>
              <w:t>Attended: Nil</w:t>
            </w:r>
          </w:p>
          <w:p w14:paraId="126FDC41" w14:textId="139F59A2" w:rsidR="00663E11" w:rsidRDefault="00663E11" w:rsidP="00663E11">
            <w:pPr>
              <w:pStyle w:val="TableBodyText"/>
              <w:rPr>
                <w:lang w:eastAsia="en-US"/>
              </w:rPr>
            </w:pPr>
            <w:r>
              <w:rPr>
                <w:lang w:eastAsia="en-US"/>
              </w:rPr>
              <w:t>Maximum held: Nil</w:t>
            </w:r>
          </w:p>
        </w:tc>
        <w:tc>
          <w:tcPr>
            <w:tcW w:w="956" w:type="pct"/>
          </w:tcPr>
          <w:p w14:paraId="41FB030E" w14:textId="77777777" w:rsidR="00663E11" w:rsidRDefault="00663E11" w:rsidP="00663E11">
            <w:pPr>
              <w:pStyle w:val="TableBodyText"/>
              <w:rPr>
                <w:lang w:eastAsia="en-US"/>
              </w:rPr>
            </w:pPr>
            <w:r>
              <w:rPr>
                <w:lang w:eastAsia="en-US"/>
              </w:rPr>
              <w:t>Attended: Nil</w:t>
            </w:r>
          </w:p>
          <w:p w14:paraId="686162C8" w14:textId="1E180A77" w:rsidR="00663E11" w:rsidRDefault="00663E11" w:rsidP="00663E11">
            <w:pPr>
              <w:pStyle w:val="TableBodyText"/>
              <w:rPr>
                <w:lang w:eastAsia="en-US"/>
              </w:rPr>
            </w:pPr>
            <w:r>
              <w:rPr>
                <w:lang w:eastAsia="en-US"/>
              </w:rPr>
              <w:t>Maximum held: Nil</w:t>
            </w:r>
          </w:p>
        </w:tc>
        <w:tc>
          <w:tcPr>
            <w:tcW w:w="879" w:type="pct"/>
          </w:tcPr>
          <w:p w14:paraId="70EB0CAB" w14:textId="77777777" w:rsidR="00663E11" w:rsidRDefault="00663E11" w:rsidP="00663E11">
            <w:pPr>
              <w:pStyle w:val="TableBodyText"/>
              <w:rPr>
                <w:lang w:eastAsia="en-US"/>
              </w:rPr>
            </w:pPr>
            <w:r>
              <w:rPr>
                <w:lang w:eastAsia="en-US"/>
              </w:rPr>
              <w:t>Attended: 4</w:t>
            </w:r>
          </w:p>
          <w:p w14:paraId="7B178332" w14:textId="6F7F1A6C" w:rsidR="00663E11" w:rsidRDefault="00663E11" w:rsidP="00663E11">
            <w:pPr>
              <w:pStyle w:val="TableBodyText"/>
              <w:rPr>
                <w:lang w:eastAsia="en-US"/>
              </w:rPr>
            </w:pPr>
            <w:r>
              <w:rPr>
                <w:lang w:eastAsia="en-US"/>
              </w:rPr>
              <w:t>Maximum held: 4</w:t>
            </w:r>
          </w:p>
        </w:tc>
      </w:tr>
      <w:tr w:rsidR="00663E11" w14:paraId="4BFF5FA6" w14:textId="77777777" w:rsidTr="00C102F1">
        <w:tc>
          <w:tcPr>
            <w:tcW w:w="1325" w:type="pct"/>
          </w:tcPr>
          <w:p w14:paraId="2CDD11A2" w14:textId="4450D1AA" w:rsidR="00663E11" w:rsidRDefault="00663E11" w:rsidP="00663E11">
            <w:pPr>
              <w:pStyle w:val="TableBodyText"/>
              <w:rPr>
                <w:lang w:eastAsia="en-US"/>
              </w:rPr>
            </w:pPr>
            <w:r>
              <w:rPr>
                <w:lang w:eastAsia="en-US"/>
              </w:rPr>
              <w:t>Kathleen Bailey-Lord</w:t>
            </w:r>
          </w:p>
        </w:tc>
        <w:tc>
          <w:tcPr>
            <w:tcW w:w="884" w:type="pct"/>
          </w:tcPr>
          <w:p w14:paraId="0B92414F" w14:textId="77777777" w:rsidR="00663E11" w:rsidRDefault="00663E11" w:rsidP="00663E11">
            <w:pPr>
              <w:pStyle w:val="TableBodyText"/>
              <w:rPr>
                <w:lang w:eastAsia="en-US"/>
              </w:rPr>
            </w:pPr>
            <w:r>
              <w:rPr>
                <w:lang w:eastAsia="en-US"/>
              </w:rPr>
              <w:t>Attended: 11</w:t>
            </w:r>
          </w:p>
          <w:p w14:paraId="37FA356A" w14:textId="685F53A1" w:rsidR="00663E11" w:rsidRDefault="00663E11" w:rsidP="00663E11">
            <w:pPr>
              <w:pStyle w:val="TableBodyText"/>
              <w:rPr>
                <w:lang w:eastAsia="en-US"/>
              </w:rPr>
            </w:pPr>
            <w:r>
              <w:rPr>
                <w:lang w:eastAsia="en-US"/>
              </w:rPr>
              <w:t>Maximum held: 11</w:t>
            </w:r>
          </w:p>
        </w:tc>
        <w:tc>
          <w:tcPr>
            <w:tcW w:w="957" w:type="pct"/>
          </w:tcPr>
          <w:p w14:paraId="7E9EA3AC" w14:textId="77777777" w:rsidR="00663E11" w:rsidRDefault="00663E11" w:rsidP="00663E11">
            <w:pPr>
              <w:pStyle w:val="TableBodyText"/>
              <w:rPr>
                <w:lang w:eastAsia="en-US"/>
              </w:rPr>
            </w:pPr>
            <w:r>
              <w:rPr>
                <w:lang w:eastAsia="en-US"/>
              </w:rPr>
              <w:t>Attended: Nil</w:t>
            </w:r>
          </w:p>
          <w:p w14:paraId="14DFFAE1" w14:textId="67A6BD27" w:rsidR="00663E11" w:rsidRDefault="00663E11" w:rsidP="00663E11">
            <w:pPr>
              <w:pStyle w:val="TableBodyText"/>
              <w:rPr>
                <w:lang w:eastAsia="en-US"/>
              </w:rPr>
            </w:pPr>
            <w:r>
              <w:rPr>
                <w:lang w:eastAsia="en-US"/>
              </w:rPr>
              <w:t>Maximum held: Nil</w:t>
            </w:r>
          </w:p>
        </w:tc>
        <w:tc>
          <w:tcPr>
            <w:tcW w:w="956" w:type="pct"/>
          </w:tcPr>
          <w:p w14:paraId="36CE5269" w14:textId="77777777" w:rsidR="00663E11" w:rsidRDefault="00663E11" w:rsidP="00663E11">
            <w:pPr>
              <w:pStyle w:val="TableBodyText"/>
              <w:rPr>
                <w:lang w:eastAsia="en-US"/>
              </w:rPr>
            </w:pPr>
            <w:r>
              <w:rPr>
                <w:lang w:eastAsia="en-US"/>
              </w:rPr>
              <w:t>Attended: 4</w:t>
            </w:r>
          </w:p>
          <w:p w14:paraId="6FA83545" w14:textId="5C473AF5" w:rsidR="00663E11" w:rsidRDefault="00663E11" w:rsidP="00663E11">
            <w:pPr>
              <w:pStyle w:val="TableBodyText"/>
              <w:rPr>
                <w:lang w:eastAsia="en-US"/>
              </w:rPr>
            </w:pPr>
            <w:r>
              <w:rPr>
                <w:lang w:eastAsia="en-US"/>
              </w:rPr>
              <w:t>Maximum held: 4</w:t>
            </w:r>
          </w:p>
        </w:tc>
        <w:tc>
          <w:tcPr>
            <w:tcW w:w="879" w:type="pct"/>
          </w:tcPr>
          <w:p w14:paraId="1AA17C33" w14:textId="77777777" w:rsidR="00663E11" w:rsidRDefault="00663E11" w:rsidP="00663E11">
            <w:pPr>
              <w:pStyle w:val="TableBodyText"/>
              <w:rPr>
                <w:lang w:eastAsia="en-US"/>
              </w:rPr>
            </w:pPr>
            <w:r>
              <w:rPr>
                <w:lang w:eastAsia="en-US"/>
              </w:rPr>
              <w:t>Attended: Nil</w:t>
            </w:r>
          </w:p>
          <w:p w14:paraId="2310865D" w14:textId="276461D2" w:rsidR="00663E11" w:rsidRDefault="00663E11" w:rsidP="00663E11">
            <w:pPr>
              <w:pStyle w:val="TableBodyText"/>
              <w:rPr>
                <w:lang w:eastAsia="en-US"/>
              </w:rPr>
            </w:pPr>
            <w:r>
              <w:rPr>
                <w:lang w:eastAsia="en-US"/>
              </w:rPr>
              <w:t>Maximum held: Nil</w:t>
            </w:r>
          </w:p>
        </w:tc>
      </w:tr>
      <w:tr w:rsidR="00663E11" w14:paraId="55B59250" w14:textId="77777777" w:rsidTr="00C102F1">
        <w:tc>
          <w:tcPr>
            <w:tcW w:w="1325" w:type="pct"/>
          </w:tcPr>
          <w:p w14:paraId="0A21E1AA" w14:textId="3DF36022" w:rsidR="00663E11" w:rsidRDefault="00663E11" w:rsidP="00663E11">
            <w:pPr>
              <w:pStyle w:val="TableBodyText"/>
              <w:rPr>
                <w:lang w:eastAsia="en-US"/>
              </w:rPr>
            </w:pPr>
            <w:r>
              <w:rPr>
                <w:lang w:eastAsia="en-US"/>
              </w:rPr>
              <w:t>Hugh Gleeson</w:t>
            </w:r>
          </w:p>
        </w:tc>
        <w:tc>
          <w:tcPr>
            <w:tcW w:w="884" w:type="pct"/>
          </w:tcPr>
          <w:p w14:paraId="62887CA8" w14:textId="77777777" w:rsidR="00663E11" w:rsidRDefault="00663E11" w:rsidP="00663E11">
            <w:pPr>
              <w:pStyle w:val="TableBodyText"/>
              <w:rPr>
                <w:lang w:eastAsia="en-US"/>
              </w:rPr>
            </w:pPr>
            <w:r>
              <w:rPr>
                <w:lang w:eastAsia="en-US"/>
              </w:rPr>
              <w:t>Attended: 11</w:t>
            </w:r>
          </w:p>
          <w:p w14:paraId="50DAF04D" w14:textId="36A389E1" w:rsidR="00663E11" w:rsidRDefault="00663E11" w:rsidP="00663E11">
            <w:pPr>
              <w:pStyle w:val="TableBodyText"/>
              <w:rPr>
                <w:lang w:eastAsia="en-US"/>
              </w:rPr>
            </w:pPr>
            <w:r>
              <w:rPr>
                <w:lang w:eastAsia="en-US"/>
              </w:rPr>
              <w:t>Maximum held: 11</w:t>
            </w:r>
          </w:p>
        </w:tc>
        <w:tc>
          <w:tcPr>
            <w:tcW w:w="957" w:type="pct"/>
          </w:tcPr>
          <w:p w14:paraId="6BD6AF23" w14:textId="77777777" w:rsidR="00663E11" w:rsidRDefault="00663E11" w:rsidP="00663E11">
            <w:pPr>
              <w:pStyle w:val="TableBodyText"/>
              <w:rPr>
                <w:lang w:eastAsia="en-US"/>
              </w:rPr>
            </w:pPr>
            <w:r>
              <w:rPr>
                <w:lang w:eastAsia="en-US"/>
              </w:rPr>
              <w:t>Attended: 4</w:t>
            </w:r>
          </w:p>
          <w:p w14:paraId="7A41A6FD" w14:textId="41B20D10" w:rsidR="00663E11" w:rsidRDefault="00663E11" w:rsidP="00663E11">
            <w:pPr>
              <w:pStyle w:val="TableBodyText"/>
              <w:rPr>
                <w:lang w:eastAsia="en-US"/>
              </w:rPr>
            </w:pPr>
            <w:r>
              <w:rPr>
                <w:lang w:eastAsia="en-US"/>
              </w:rPr>
              <w:t>Maximum held: 4</w:t>
            </w:r>
          </w:p>
        </w:tc>
        <w:tc>
          <w:tcPr>
            <w:tcW w:w="956" w:type="pct"/>
          </w:tcPr>
          <w:p w14:paraId="25217C25" w14:textId="77777777" w:rsidR="00663E11" w:rsidRDefault="00663E11" w:rsidP="00663E11">
            <w:pPr>
              <w:pStyle w:val="TableBodyText"/>
              <w:rPr>
                <w:lang w:eastAsia="en-US"/>
              </w:rPr>
            </w:pPr>
            <w:r>
              <w:rPr>
                <w:lang w:eastAsia="en-US"/>
              </w:rPr>
              <w:t>Attended: 4</w:t>
            </w:r>
          </w:p>
          <w:p w14:paraId="43B04321" w14:textId="48448EC3" w:rsidR="00663E11" w:rsidRDefault="00663E11" w:rsidP="00663E11">
            <w:pPr>
              <w:pStyle w:val="TableBodyText"/>
              <w:rPr>
                <w:lang w:eastAsia="en-US"/>
              </w:rPr>
            </w:pPr>
            <w:r>
              <w:rPr>
                <w:lang w:eastAsia="en-US"/>
              </w:rPr>
              <w:t>Maximum held: 4</w:t>
            </w:r>
          </w:p>
        </w:tc>
        <w:tc>
          <w:tcPr>
            <w:tcW w:w="879" w:type="pct"/>
          </w:tcPr>
          <w:p w14:paraId="1B9A17CA" w14:textId="77777777" w:rsidR="00663E11" w:rsidRDefault="00663E11" w:rsidP="00663E11">
            <w:pPr>
              <w:pStyle w:val="TableBodyText"/>
              <w:rPr>
                <w:lang w:eastAsia="en-US"/>
              </w:rPr>
            </w:pPr>
            <w:r>
              <w:rPr>
                <w:lang w:eastAsia="en-US"/>
              </w:rPr>
              <w:t>Attended: Nil</w:t>
            </w:r>
          </w:p>
          <w:p w14:paraId="5C0C0F58" w14:textId="5CD27667" w:rsidR="00663E11" w:rsidRDefault="00663E11" w:rsidP="00663E11">
            <w:pPr>
              <w:pStyle w:val="TableBodyText"/>
              <w:rPr>
                <w:lang w:eastAsia="en-US"/>
              </w:rPr>
            </w:pPr>
            <w:r>
              <w:rPr>
                <w:lang w:eastAsia="en-US"/>
              </w:rPr>
              <w:t>Maximum held: Nil</w:t>
            </w:r>
          </w:p>
        </w:tc>
      </w:tr>
      <w:tr w:rsidR="00663E11" w14:paraId="5893A619" w14:textId="77777777" w:rsidTr="00C102F1">
        <w:tc>
          <w:tcPr>
            <w:tcW w:w="1325" w:type="pct"/>
          </w:tcPr>
          <w:p w14:paraId="0738BC55" w14:textId="21DC91C7" w:rsidR="00663E11" w:rsidRDefault="00663E11" w:rsidP="00663E11">
            <w:pPr>
              <w:pStyle w:val="TableBodyText"/>
              <w:rPr>
                <w:lang w:eastAsia="en-US"/>
              </w:rPr>
            </w:pPr>
            <w:r>
              <w:rPr>
                <w:lang w:eastAsia="en-US"/>
              </w:rPr>
              <w:t>Robyn McLeod</w:t>
            </w:r>
          </w:p>
        </w:tc>
        <w:tc>
          <w:tcPr>
            <w:tcW w:w="884" w:type="pct"/>
          </w:tcPr>
          <w:p w14:paraId="305CC5E3" w14:textId="77777777" w:rsidR="00663E11" w:rsidRDefault="00663E11" w:rsidP="00663E11">
            <w:pPr>
              <w:pStyle w:val="TableBodyText"/>
              <w:rPr>
                <w:lang w:eastAsia="en-US"/>
              </w:rPr>
            </w:pPr>
            <w:r>
              <w:rPr>
                <w:lang w:eastAsia="en-US"/>
              </w:rPr>
              <w:t>Attended: 11</w:t>
            </w:r>
          </w:p>
          <w:p w14:paraId="269DC0A1" w14:textId="7606AB8A" w:rsidR="00663E11" w:rsidRDefault="00663E11" w:rsidP="00663E11">
            <w:pPr>
              <w:pStyle w:val="TableBodyText"/>
              <w:rPr>
                <w:lang w:eastAsia="en-US"/>
              </w:rPr>
            </w:pPr>
            <w:r>
              <w:rPr>
                <w:lang w:eastAsia="en-US"/>
              </w:rPr>
              <w:t>Maximum held: 11</w:t>
            </w:r>
          </w:p>
        </w:tc>
        <w:tc>
          <w:tcPr>
            <w:tcW w:w="957" w:type="pct"/>
          </w:tcPr>
          <w:p w14:paraId="6CF5EB8D" w14:textId="77777777" w:rsidR="00663E11" w:rsidRDefault="00663E11" w:rsidP="00663E11">
            <w:pPr>
              <w:pStyle w:val="TableBodyText"/>
              <w:rPr>
                <w:lang w:eastAsia="en-US"/>
              </w:rPr>
            </w:pPr>
            <w:r>
              <w:rPr>
                <w:lang w:eastAsia="en-US"/>
              </w:rPr>
              <w:t>Attended: Nil</w:t>
            </w:r>
          </w:p>
          <w:p w14:paraId="0CF3995D" w14:textId="615C415B" w:rsidR="00663E11" w:rsidRDefault="00663E11" w:rsidP="00663E11">
            <w:pPr>
              <w:pStyle w:val="TableBodyText"/>
              <w:rPr>
                <w:lang w:eastAsia="en-US"/>
              </w:rPr>
            </w:pPr>
            <w:r>
              <w:rPr>
                <w:lang w:eastAsia="en-US"/>
              </w:rPr>
              <w:t>Maximum held: Nil</w:t>
            </w:r>
          </w:p>
        </w:tc>
        <w:tc>
          <w:tcPr>
            <w:tcW w:w="956" w:type="pct"/>
          </w:tcPr>
          <w:p w14:paraId="765713DD" w14:textId="77777777" w:rsidR="00663E11" w:rsidRDefault="00C102F1" w:rsidP="00663E11">
            <w:pPr>
              <w:pStyle w:val="TableBodyText"/>
              <w:rPr>
                <w:lang w:eastAsia="en-US"/>
              </w:rPr>
            </w:pPr>
            <w:r>
              <w:rPr>
                <w:lang w:eastAsia="en-US"/>
              </w:rPr>
              <w:t>Attended: 4</w:t>
            </w:r>
          </w:p>
          <w:p w14:paraId="784F3316" w14:textId="72BA15EA" w:rsidR="00C102F1" w:rsidRDefault="00C102F1" w:rsidP="00663E11">
            <w:pPr>
              <w:pStyle w:val="TableBodyText"/>
              <w:rPr>
                <w:lang w:eastAsia="en-US"/>
              </w:rPr>
            </w:pPr>
            <w:r>
              <w:rPr>
                <w:lang w:eastAsia="en-US"/>
              </w:rPr>
              <w:t>Maximum held: 4</w:t>
            </w:r>
          </w:p>
        </w:tc>
        <w:tc>
          <w:tcPr>
            <w:tcW w:w="879" w:type="pct"/>
          </w:tcPr>
          <w:p w14:paraId="489668C1" w14:textId="77777777" w:rsidR="00663E11" w:rsidRDefault="00C102F1" w:rsidP="00663E11">
            <w:pPr>
              <w:pStyle w:val="TableBodyText"/>
              <w:rPr>
                <w:lang w:eastAsia="en-US"/>
              </w:rPr>
            </w:pPr>
            <w:r>
              <w:rPr>
                <w:lang w:eastAsia="en-US"/>
              </w:rPr>
              <w:t>Attended: 4</w:t>
            </w:r>
          </w:p>
          <w:p w14:paraId="1167DCF0" w14:textId="4921D048" w:rsidR="00C102F1" w:rsidRDefault="00C102F1" w:rsidP="00663E11">
            <w:pPr>
              <w:pStyle w:val="TableBodyText"/>
              <w:rPr>
                <w:lang w:eastAsia="en-US"/>
              </w:rPr>
            </w:pPr>
            <w:r>
              <w:rPr>
                <w:lang w:eastAsia="en-US"/>
              </w:rPr>
              <w:t>Maximum held: 4</w:t>
            </w:r>
          </w:p>
        </w:tc>
      </w:tr>
      <w:tr w:rsidR="00C102F1" w14:paraId="589C84F6" w14:textId="77777777" w:rsidTr="00C102F1">
        <w:tc>
          <w:tcPr>
            <w:tcW w:w="1325" w:type="pct"/>
          </w:tcPr>
          <w:p w14:paraId="2F4C220B" w14:textId="4BA4D998" w:rsidR="00C102F1" w:rsidRDefault="00C102F1" w:rsidP="00663E11">
            <w:pPr>
              <w:pStyle w:val="TableBodyText"/>
              <w:rPr>
                <w:lang w:eastAsia="en-US"/>
              </w:rPr>
            </w:pPr>
            <w:r>
              <w:rPr>
                <w:lang w:eastAsia="en-US"/>
              </w:rPr>
              <w:t>Fiona Rowland</w:t>
            </w:r>
          </w:p>
        </w:tc>
        <w:tc>
          <w:tcPr>
            <w:tcW w:w="884" w:type="pct"/>
          </w:tcPr>
          <w:p w14:paraId="26B3EE29" w14:textId="77777777" w:rsidR="00C102F1" w:rsidRDefault="00C102F1" w:rsidP="00663E11">
            <w:pPr>
              <w:pStyle w:val="TableBodyText"/>
              <w:rPr>
                <w:lang w:eastAsia="en-US"/>
              </w:rPr>
            </w:pPr>
            <w:r>
              <w:rPr>
                <w:lang w:eastAsia="en-US"/>
              </w:rPr>
              <w:t>Attended: 11</w:t>
            </w:r>
          </w:p>
          <w:p w14:paraId="16C2CFCC" w14:textId="48ABA468" w:rsidR="00C102F1" w:rsidRDefault="00C102F1" w:rsidP="00663E11">
            <w:pPr>
              <w:pStyle w:val="TableBodyText"/>
              <w:rPr>
                <w:lang w:eastAsia="en-US"/>
              </w:rPr>
            </w:pPr>
            <w:r>
              <w:rPr>
                <w:lang w:eastAsia="en-US"/>
              </w:rPr>
              <w:t>Maximum held: 11</w:t>
            </w:r>
          </w:p>
        </w:tc>
        <w:tc>
          <w:tcPr>
            <w:tcW w:w="957" w:type="pct"/>
          </w:tcPr>
          <w:p w14:paraId="55AD8BCC" w14:textId="77777777" w:rsidR="00C102F1" w:rsidRDefault="00C102F1" w:rsidP="00663E11">
            <w:pPr>
              <w:pStyle w:val="TableBodyText"/>
              <w:rPr>
                <w:lang w:eastAsia="en-US"/>
              </w:rPr>
            </w:pPr>
            <w:r>
              <w:rPr>
                <w:lang w:eastAsia="en-US"/>
              </w:rPr>
              <w:t>Attended: 4</w:t>
            </w:r>
          </w:p>
          <w:p w14:paraId="4AAA89BE" w14:textId="5F120498" w:rsidR="00C102F1" w:rsidRDefault="00C102F1" w:rsidP="00663E11">
            <w:pPr>
              <w:pStyle w:val="TableBodyText"/>
              <w:rPr>
                <w:lang w:eastAsia="en-US"/>
              </w:rPr>
            </w:pPr>
            <w:r>
              <w:rPr>
                <w:lang w:eastAsia="en-US"/>
              </w:rPr>
              <w:t>Maximum held: 4</w:t>
            </w:r>
          </w:p>
        </w:tc>
        <w:tc>
          <w:tcPr>
            <w:tcW w:w="956" w:type="pct"/>
          </w:tcPr>
          <w:p w14:paraId="74219DDB" w14:textId="77777777" w:rsidR="00C102F1" w:rsidRDefault="00C102F1" w:rsidP="00663E11">
            <w:pPr>
              <w:pStyle w:val="TableBodyText"/>
              <w:rPr>
                <w:lang w:eastAsia="en-US"/>
              </w:rPr>
            </w:pPr>
            <w:r>
              <w:rPr>
                <w:lang w:eastAsia="en-US"/>
              </w:rPr>
              <w:t>Attended: Nil</w:t>
            </w:r>
          </w:p>
          <w:p w14:paraId="0B73268D" w14:textId="17D5085D" w:rsidR="00C102F1" w:rsidRDefault="00C102F1" w:rsidP="00663E11">
            <w:pPr>
              <w:pStyle w:val="TableBodyText"/>
              <w:rPr>
                <w:lang w:eastAsia="en-US"/>
              </w:rPr>
            </w:pPr>
            <w:r>
              <w:rPr>
                <w:lang w:eastAsia="en-US"/>
              </w:rPr>
              <w:t>Maximum held: Nil</w:t>
            </w:r>
          </w:p>
        </w:tc>
        <w:tc>
          <w:tcPr>
            <w:tcW w:w="879" w:type="pct"/>
          </w:tcPr>
          <w:p w14:paraId="7B4D856B" w14:textId="77777777" w:rsidR="00C102F1" w:rsidRDefault="00C102F1" w:rsidP="00663E11">
            <w:pPr>
              <w:pStyle w:val="TableBodyText"/>
              <w:rPr>
                <w:lang w:eastAsia="en-US"/>
              </w:rPr>
            </w:pPr>
            <w:r>
              <w:rPr>
                <w:lang w:eastAsia="en-US"/>
              </w:rPr>
              <w:t>Attended: 4</w:t>
            </w:r>
          </w:p>
          <w:p w14:paraId="5B9AB19C" w14:textId="11826353" w:rsidR="00C102F1" w:rsidRDefault="00C102F1" w:rsidP="00663E11">
            <w:pPr>
              <w:pStyle w:val="TableBodyText"/>
              <w:rPr>
                <w:lang w:eastAsia="en-US"/>
              </w:rPr>
            </w:pPr>
            <w:r>
              <w:rPr>
                <w:lang w:eastAsia="en-US"/>
              </w:rPr>
              <w:t>Maximum held: 4</w:t>
            </w:r>
          </w:p>
        </w:tc>
      </w:tr>
      <w:tr w:rsidR="00C102F1" w14:paraId="7ACEA334" w14:textId="77777777" w:rsidTr="00C102F1">
        <w:tc>
          <w:tcPr>
            <w:tcW w:w="1325" w:type="pct"/>
          </w:tcPr>
          <w:p w14:paraId="635C2394" w14:textId="61C4A5BF" w:rsidR="00C102F1" w:rsidRDefault="00C102F1" w:rsidP="00663E11">
            <w:pPr>
              <w:pStyle w:val="TableBodyText"/>
              <w:rPr>
                <w:lang w:eastAsia="en-US"/>
              </w:rPr>
            </w:pPr>
            <w:r>
              <w:rPr>
                <w:lang w:eastAsia="en-US"/>
              </w:rPr>
              <w:t>Russell Anderson</w:t>
            </w:r>
          </w:p>
        </w:tc>
        <w:tc>
          <w:tcPr>
            <w:tcW w:w="884" w:type="pct"/>
          </w:tcPr>
          <w:p w14:paraId="61D121D2" w14:textId="77777777" w:rsidR="00C102F1" w:rsidRDefault="00C102F1" w:rsidP="00663E11">
            <w:pPr>
              <w:pStyle w:val="TableBodyText"/>
              <w:rPr>
                <w:lang w:eastAsia="en-US"/>
              </w:rPr>
            </w:pPr>
            <w:r>
              <w:rPr>
                <w:lang w:eastAsia="en-US"/>
              </w:rPr>
              <w:t>Attended: 10</w:t>
            </w:r>
          </w:p>
          <w:p w14:paraId="60CDDCA6" w14:textId="6AA6F3A3" w:rsidR="00C102F1" w:rsidRDefault="00C102F1" w:rsidP="00663E11">
            <w:pPr>
              <w:pStyle w:val="TableBodyText"/>
              <w:rPr>
                <w:lang w:eastAsia="en-US"/>
              </w:rPr>
            </w:pPr>
            <w:r>
              <w:rPr>
                <w:lang w:eastAsia="en-US"/>
              </w:rPr>
              <w:t>Maximum held: 11</w:t>
            </w:r>
          </w:p>
        </w:tc>
        <w:tc>
          <w:tcPr>
            <w:tcW w:w="957" w:type="pct"/>
          </w:tcPr>
          <w:p w14:paraId="65474878" w14:textId="77777777" w:rsidR="00C102F1" w:rsidRDefault="00C102F1" w:rsidP="00663E11">
            <w:pPr>
              <w:pStyle w:val="TableBodyText"/>
              <w:rPr>
                <w:lang w:eastAsia="en-US"/>
              </w:rPr>
            </w:pPr>
            <w:r>
              <w:rPr>
                <w:lang w:eastAsia="en-US"/>
              </w:rPr>
              <w:t>Attended: Nil</w:t>
            </w:r>
          </w:p>
          <w:p w14:paraId="5496BE1F" w14:textId="0F19FC0F" w:rsidR="00C102F1" w:rsidRDefault="00C102F1" w:rsidP="00663E11">
            <w:pPr>
              <w:pStyle w:val="TableBodyText"/>
              <w:rPr>
                <w:lang w:eastAsia="en-US"/>
              </w:rPr>
            </w:pPr>
            <w:r>
              <w:rPr>
                <w:lang w:eastAsia="en-US"/>
              </w:rPr>
              <w:t>Maximum held: Nil</w:t>
            </w:r>
          </w:p>
        </w:tc>
        <w:tc>
          <w:tcPr>
            <w:tcW w:w="956" w:type="pct"/>
          </w:tcPr>
          <w:p w14:paraId="528E7408" w14:textId="77777777" w:rsidR="00C102F1" w:rsidRDefault="00C102F1" w:rsidP="00663E11">
            <w:pPr>
              <w:pStyle w:val="TableBodyText"/>
              <w:rPr>
                <w:lang w:eastAsia="en-US"/>
              </w:rPr>
            </w:pPr>
            <w:r>
              <w:rPr>
                <w:lang w:eastAsia="en-US"/>
              </w:rPr>
              <w:t>Attended: 4</w:t>
            </w:r>
          </w:p>
          <w:p w14:paraId="360881BB" w14:textId="0E4E3579" w:rsidR="00C102F1" w:rsidRDefault="00C102F1" w:rsidP="00663E11">
            <w:pPr>
              <w:pStyle w:val="TableBodyText"/>
              <w:rPr>
                <w:lang w:eastAsia="en-US"/>
              </w:rPr>
            </w:pPr>
            <w:r>
              <w:rPr>
                <w:lang w:eastAsia="en-US"/>
              </w:rPr>
              <w:t>Maximum held: 4</w:t>
            </w:r>
          </w:p>
        </w:tc>
        <w:tc>
          <w:tcPr>
            <w:tcW w:w="879" w:type="pct"/>
          </w:tcPr>
          <w:p w14:paraId="629D8602" w14:textId="77777777" w:rsidR="00C102F1" w:rsidRDefault="00C102F1" w:rsidP="00663E11">
            <w:pPr>
              <w:pStyle w:val="TableBodyText"/>
              <w:rPr>
                <w:lang w:eastAsia="en-US"/>
              </w:rPr>
            </w:pPr>
            <w:r>
              <w:rPr>
                <w:lang w:eastAsia="en-US"/>
              </w:rPr>
              <w:t>Attended: 4</w:t>
            </w:r>
          </w:p>
          <w:p w14:paraId="7F65ADEF" w14:textId="794FF043" w:rsidR="00C102F1" w:rsidRDefault="00C102F1" w:rsidP="00663E11">
            <w:pPr>
              <w:pStyle w:val="TableBodyText"/>
              <w:rPr>
                <w:lang w:eastAsia="en-US"/>
              </w:rPr>
            </w:pPr>
            <w:r>
              <w:rPr>
                <w:lang w:eastAsia="en-US"/>
              </w:rPr>
              <w:t>Maximum held: 4</w:t>
            </w:r>
          </w:p>
        </w:tc>
      </w:tr>
    </w:tbl>
    <w:p w14:paraId="42AA2249" w14:textId="6EC8CDC1" w:rsidR="00C102F1" w:rsidRDefault="00C102F1" w:rsidP="00C102F1">
      <w:pPr>
        <w:pStyle w:val="BodyText"/>
        <w:rPr>
          <w:lang w:eastAsia="en-US"/>
        </w:rPr>
      </w:pPr>
      <w:r>
        <w:rPr>
          <w:lang w:eastAsia="en-US"/>
        </w:rPr>
        <w:t>The Managing Director is invited to attend all committee meetings. As he is not a member of these committees his attendance has not been included. Further, where a director has attended a committee meeting of which they are not a member, this attendance has also not been included.</w:t>
      </w:r>
    </w:p>
    <w:p w14:paraId="194F5D12" w14:textId="288A5163" w:rsidR="000025B2" w:rsidRDefault="00C102F1" w:rsidP="0011520C">
      <w:pPr>
        <w:pStyle w:val="BodyText"/>
        <w:keepNext/>
        <w:keepLines/>
        <w:rPr>
          <w:lang w:eastAsia="en-US"/>
        </w:rPr>
      </w:pPr>
      <w:r>
        <w:rPr>
          <w:lang w:eastAsia="en-US"/>
        </w:rPr>
        <w:lastRenderedPageBreak/>
        <w:t>In addition to the regular Board and committee meetings, the Corporation held the following special meetings during the year.</w:t>
      </w:r>
    </w:p>
    <w:tbl>
      <w:tblPr>
        <w:tblStyle w:val="TableGrid"/>
        <w:tblW w:w="5000" w:type="pct"/>
        <w:tblLook w:val="04A0" w:firstRow="1" w:lastRow="0" w:firstColumn="1" w:lastColumn="0" w:noHBand="0" w:noVBand="1"/>
      </w:tblPr>
      <w:tblGrid>
        <w:gridCol w:w="1843"/>
        <w:gridCol w:w="1701"/>
        <w:gridCol w:w="1984"/>
        <w:gridCol w:w="2127"/>
        <w:gridCol w:w="1976"/>
      </w:tblGrid>
      <w:tr w:rsidR="00C102F1" w14:paraId="3C37527D"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957" w:type="pct"/>
            <w:vAlign w:val="bottom"/>
          </w:tcPr>
          <w:p w14:paraId="001E07BE" w14:textId="77777777" w:rsidR="00C102F1" w:rsidRDefault="00C102F1" w:rsidP="0011520C">
            <w:pPr>
              <w:pStyle w:val="TableBodyText"/>
              <w:keepNext/>
              <w:keepLines/>
              <w:rPr>
                <w:lang w:eastAsia="en-US"/>
              </w:rPr>
            </w:pPr>
            <w:bookmarkStart w:id="695" w:name="ColumnTitle_30"/>
            <w:r>
              <w:rPr>
                <w:lang w:eastAsia="en-US"/>
              </w:rPr>
              <w:t>Name</w:t>
            </w:r>
          </w:p>
        </w:tc>
        <w:tc>
          <w:tcPr>
            <w:tcW w:w="883" w:type="pct"/>
            <w:vAlign w:val="bottom"/>
          </w:tcPr>
          <w:p w14:paraId="1B1BBA33" w14:textId="18A82824" w:rsidR="00C102F1" w:rsidRPr="00663E11" w:rsidRDefault="00C102F1" w:rsidP="0011520C">
            <w:pPr>
              <w:pStyle w:val="TableBodyText"/>
              <w:keepNext/>
              <w:keepLines/>
              <w:rPr>
                <w:b w:val="0"/>
                <w:lang w:eastAsia="en-US"/>
              </w:rPr>
            </w:pPr>
            <w:r>
              <w:rPr>
                <w:lang w:eastAsia="en-US"/>
              </w:rPr>
              <w:t>Special Board</w:t>
            </w:r>
            <w:r w:rsidR="002F4C86">
              <w:rPr>
                <w:lang w:eastAsia="en-US"/>
              </w:rPr>
              <w:t xml:space="preserve"> </w:t>
            </w:r>
            <w:r>
              <w:rPr>
                <w:lang w:eastAsia="en-US"/>
              </w:rPr>
              <w:t>meetings</w:t>
            </w:r>
          </w:p>
        </w:tc>
        <w:tc>
          <w:tcPr>
            <w:tcW w:w="1030" w:type="pct"/>
            <w:vAlign w:val="bottom"/>
          </w:tcPr>
          <w:p w14:paraId="11C2F685" w14:textId="618C5FAB" w:rsidR="00C102F1" w:rsidRDefault="00C102F1" w:rsidP="0011520C">
            <w:pPr>
              <w:pStyle w:val="TableBodyText"/>
              <w:keepNext/>
              <w:keepLines/>
              <w:rPr>
                <w:lang w:eastAsia="en-US"/>
              </w:rPr>
            </w:pPr>
            <w:r>
              <w:rPr>
                <w:lang w:eastAsia="en-US"/>
              </w:rPr>
              <w:t>Special Audit,</w:t>
            </w:r>
            <w:r w:rsidR="002F4C86">
              <w:rPr>
                <w:lang w:eastAsia="en-US"/>
              </w:rPr>
              <w:t xml:space="preserve"> </w:t>
            </w:r>
            <w:r w:rsidR="002F4C86">
              <w:rPr>
                <w:lang w:eastAsia="en-US"/>
              </w:rPr>
              <w:br/>
            </w:r>
            <w:r>
              <w:rPr>
                <w:lang w:eastAsia="en-US"/>
              </w:rPr>
              <w:t>Risk and Finance</w:t>
            </w:r>
            <w:r w:rsidR="002F4C86">
              <w:rPr>
                <w:lang w:eastAsia="en-US"/>
              </w:rPr>
              <w:t xml:space="preserve"> </w:t>
            </w:r>
            <w:r>
              <w:rPr>
                <w:lang w:eastAsia="en-US"/>
              </w:rPr>
              <w:t>Committee meetings</w:t>
            </w:r>
          </w:p>
        </w:tc>
        <w:tc>
          <w:tcPr>
            <w:tcW w:w="1104" w:type="pct"/>
            <w:vAlign w:val="bottom"/>
          </w:tcPr>
          <w:p w14:paraId="7F7812D2" w14:textId="6C1BDB49" w:rsidR="00C102F1" w:rsidRDefault="00C102F1" w:rsidP="0011520C">
            <w:pPr>
              <w:pStyle w:val="TableBodyText"/>
              <w:keepNext/>
              <w:keepLines/>
              <w:rPr>
                <w:lang w:eastAsia="en-US"/>
              </w:rPr>
            </w:pPr>
            <w:r>
              <w:rPr>
                <w:lang w:eastAsia="en-US"/>
              </w:rPr>
              <w:t>Special People, Safety</w:t>
            </w:r>
            <w:r w:rsidR="002F4C86">
              <w:rPr>
                <w:lang w:eastAsia="en-US"/>
              </w:rPr>
              <w:t xml:space="preserve"> </w:t>
            </w:r>
            <w:r>
              <w:rPr>
                <w:lang w:eastAsia="en-US"/>
              </w:rPr>
              <w:t>and Remuneration</w:t>
            </w:r>
            <w:r w:rsidR="002F4C86">
              <w:rPr>
                <w:lang w:eastAsia="en-US"/>
              </w:rPr>
              <w:t xml:space="preserve"> </w:t>
            </w:r>
            <w:r>
              <w:rPr>
                <w:lang w:eastAsia="en-US"/>
              </w:rPr>
              <w:t>Committee meetings</w:t>
            </w:r>
          </w:p>
        </w:tc>
        <w:tc>
          <w:tcPr>
            <w:tcW w:w="1026" w:type="pct"/>
            <w:vAlign w:val="bottom"/>
          </w:tcPr>
          <w:p w14:paraId="3C76FF92" w14:textId="0B9BEB3E" w:rsidR="00C102F1" w:rsidRDefault="00C102F1" w:rsidP="0011520C">
            <w:pPr>
              <w:pStyle w:val="TableBodyText"/>
              <w:keepNext/>
              <w:keepLines/>
              <w:rPr>
                <w:lang w:eastAsia="en-US"/>
              </w:rPr>
            </w:pPr>
            <w:r>
              <w:rPr>
                <w:lang w:eastAsia="en-US"/>
              </w:rPr>
              <w:t>Special Customer</w:t>
            </w:r>
            <w:r w:rsidR="002F4C86">
              <w:rPr>
                <w:lang w:eastAsia="en-US"/>
              </w:rPr>
              <w:t xml:space="preserve"> </w:t>
            </w:r>
            <w:r>
              <w:rPr>
                <w:lang w:eastAsia="en-US"/>
              </w:rPr>
              <w:t>and Service Delivery</w:t>
            </w:r>
            <w:r w:rsidR="002F4C86">
              <w:rPr>
                <w:lang w:eastAsia="en-US"/>
              </w:rPr>
              <w:t xml:space="preserve"> </w:t>
            </w:r>
            <w:r>
              <w:rPr>
                <w:lang w:eastAsia="en-US"/>
              </w:rPr>
              <w:t>Committee meetings</w:t>
            </w:r>
          </w:p>
        </w:tc>
      </w:tr>
      <w:bookmarkEnd w:id="695"/>
      <w:tr w:rsidR="00C102F1" w14:paraId="6B908656" w14:textId="77777777" w:rsidTr="00C102F1">
        <w:tc>
          <w:tcPr>
            <w:tcW w:w="957" w:type="pct"/>
          </w:tcPr>
          <w:p w14:paraId="31646612" w14:textId="77777777" w:rsidR="00C102F1" w:rsidRDefault="00C102F1" w:rsidP="0011520C">
            <w:pPr>
              <w:pStyle w:val="TableBodyText"/>
              <w:keepNext/>
              <w:keepLines/>
              <w:rPr>
                <w:lang w:eastAsia="en-US"/>
              </w:rPr>
            </w:pPr>
            <w:r>
              <w:rPr>
                <w:lang w:eastAsia="en-US"/>
              </w:rPr>
              <w:t>John Thwaites (Chair)</w:t>
            </w:r>
          </w:p>
        </w:tc>
        <w:tc>
          <w:tcPr>
            <w:tcW w:w="883" w:type="pct"/>
          </w:tcPr>
          <w:p w14:paraId="73AC8026" w14:textId="4AC42C9B" w:rsidR="00C102F1" w:rsidRDefault="00C102F1" w:rsidP="0011520C">
            <w:pPr>
              <w:pStyle w:val="TableBodyText"/>
              <w:keepNext/>
              <w:keepLines/>
              <w:rPr>
                <w:lang w:eastAsia="en-US"/>
              </w:rPr>
            </w:pPr>
            <w:r>
              <w:rPr>
                <w:lang w:eastAsia="en-US"/>
              </w:rPr>
              <w:t>Attended: 1</w:t>
            </w:r>
          </w:p>
          <w:p w14:paraId="3BBD3A2D" w14:textId="62F01850" w:rsidR="00C102F1" w:rsidRDefault="00C102F1" w:rsidP="0011520C">
            <w:pPr>
              <w:pStyle w:val="TableBodyText"/>
              <w:keepNext/>
              <w:keepLines/>
              <w:rPr>
                <w:lang w:eastAsia="en-US"/>
              </w:rPr>
            </w:pPr>
            <w:r>
              <w:rPr>
                <w:lang w:eastAsia="en-US"/>
              </w:rPr>
              <w:t>Maximum held: 1</w:t>
            </w:r>
          </w:p>
        </w:tc>
        <w:tc>
          <w:tcPr>
            <w:tcW w:w="1030" w:type="pct"/>
          </w:tcPr>
          <w:p w14:paraId="656D9A4D" w14:textId="7E925ECA" w:rsidR="00C102F1" w:rsidRDefault="00C102F1" w:rsidP="0011520C">
            <w:pPr>
              <w:pStyle w:val="TableBodyText"/>
              <w:keepNext/>
              <w:keepLines/>
              <w:rPr>
                <w:lang w:eastAsia="en-US"/>
              </w:rPr>
            </w:pPr>
            <w:r>
              <w:rPr>
                <w:lang w:eastAsia="en-US"/>
              </w:rPr>
              <w:t>Attended: 1</w:t>
            </w:r>
          </w:p>
          <w:p w14:paraId="38C56087" w14:textId="770C7B04" w:rsidR="00C102F1" w:rsidRDefault="00C102F1" w:rsidP="0011520C">
            <w:pPr>
              <w:pStyle w:val="TableBodyText"/>
              <w:keepNext/>
              <w:keepLines/>
              <w:rPr>
                <w:lang w:eastAsia="en-US"/>
              </w:rPr>
            </w:pPr>
            <w:r>
              <w:rPr>
                <w:lang w:eastAsia="en-US"/>
              </w:rPr>
              <w:t>Maximum held: 1</w:t>
            </w:r>
          </w:p>
        </w:tc>
        <w:tc>
          <w:tcPr>
            <w:tcW w:w="1104" w:type="pct"/>
          </w:tcPr>
          <w:p w14:paraId="0714EBBF" w14:textId="77777777" w:rsidR="00C102F1" w:rsidRDefault="00C102F1" w:rsidP="0011520C">
            <w:pPr>
              <w:pStyle w:val="TableBodyText"/>
              <w:keepNext/>
              <w:keepLines/>
              <w:rPr>
                <w:lang w:eastAsia="en-US"/>
              </w:rPr>
            </w:pPr>
            <w:r>
              <w:rPr>
                <w:lang w:eastAsia="en-US"/>
              </w:rPr>
              <w:t>Attended: Nil</w:t>
            </w:r>
          </w:p>
          <w:p w14:paraId="48A4A38D" w14:textId="77777777" w:rsidR="00C102F1" w:rsidRDefault="00C102F1" w:rsidP="0011520C">
            <w:pPr>
              <w:pStyle w:val="TableBodyText"/>
              <w:keepNext/>
              <w:keepLines/>
              <w:rPr>
                <w:lang w:eastAsia="en-US"/>
              </w:rPr>
            </w:pPr>
            <w:r>
              <w:rPr>
                <w:lang w:eastAsia="en-US"/>
              </w:rPr>
              <w:t>Maximum held: Nil</w:t>
            </w:r>
          </w:p>
        </w:tc>
        <w:tc>
          <w:tcPr>
            <w:tcW w:w="1026" w:type="pct"/>
          </w:tcPr>
          <w:p w14:paraId="6F2335A8" w14:textId="77777777" w:rsidR="00C102F1" w:rsidRDefault="00C102F1" w:rsidP="0011520C">
            <w:pPr>
              <w:pStyle w:val="TableBodyText"/>
              <w:keepNext/>
              <w:keepLines/>
              <w:rPr>
                <w:lang w:eastAsia="en-US"/>
              </w:rPr>
            </w:pPr>
            <w:r>
              <w:rPr>
                <w:lang w:eastAsia="en-US"/>
              </w:rPr>
              <w:t>Attended: Nil</w:t>
            </w:r>
          </w:p>
          <w:p w14:paraId="34CE5B47" w14:textId="77777777" w:rsidR="00C102F1" w:rsidRDefault="00C102F1" w:rsidP="0011520C">
            <w:pPr>
              <w:pStyle w:val="TableBodyText"/>
              <w:keepNext/>
              <w:keepLines/>
              <w:rPr>
                <w:lang w:eastAsia="en-US"/>
              </w:rPr>
            </w:pPr>
            <w:r>
              <w:rPr>
                <w:lang w:eastAsia="en-US"/>
              </w:rPr>
              <w:t>Maximum held: Nil</w:t>
            </w:r>
          </w:p>
        </w:tc>
      </w:tr>
      <w:tr w:rsidR="00C102F1" w14:paraId="2F0B0A04" w14:textId="77777777" w:rsidTr="00C102F1">
        <w:tc>
          <w:tcPr>
            <w:tcW w:w="957" w:type="pct"/>
          </w:tcPr>
          <w:p w14:paraId="227E7F64" w14:textId="77777777" w:rsidR="00C102F1" w:rsidRDefault="00C102F1" w:rsidP="0011520C">
            <w:pPr>
              <w:pStyle w:val="TableBodyText"/>
              <w:keepNext/>
              <w:keepLines/>
              <w:rPr>
                <w:lang w:eastAsia="en-US"/>
              </w:rPr>
            </w:pPr>
            <w:r>
              <w:rPr>
                <w:lang w:eastAsia="en-US"/>
              </w:rPr>
              <w:t>Michael Wandmaker (Managing Director)</w:t>
            </w:r>
          </w:p>
        </w:tc>
        <w:tc>
          <w:tcPr>
            <w:tcW w:w="883" w:type="pct"/>
          </w:tcPr>
          <w:p w14:paraId="69E9D367" w14:textId="34D82CDC" w:rsidR="00C102F1" w:rsidRDefault="00C102F1" w:rsidP="0011520C">
            <w:pPr>
              <w:pStyle w:val="TableBodyText"/>
              <w:keepNext/>
              <w:keepLines/>
              <w:rPr>
                <w:lang w:eastAsia="en-US"/>
              </w:rPr>
            </w:pPr>
            <w:r>
              <w:rPr>
                <w:lang w:eastAsia="en-US"/>
              </w:rPr>
              <w:t>Attended: 1</w:t>
            </w:r>
          </w:p>
          <w:p w14:paraId="4A5FF979" w14:textId="643DB6AE" w:rsidR="00C102F1" w:rsidRDefault="00C102F1" w:rsidP="0011520C">
            <w:pPr>
              <w:pStyle w:val="TableBodyText"/>
              <w:keepNext/>
              <w:keepLines/>
              <w:rPr>
                <w:lang w:eastAsia="en-US"/>
              </w:rPr>
            </w:pPr>
            <w:r>
              <w:rPr>
                <w:lang w:eastAsia="en-US"/>
              </w:rPr>
              <w:t>Maximum held: 1</w:t>
            </w:r>
          </w:p>
        </w:tc>
        <w:tc>
          <w:tcPr>
            <w:tcW w:w="1030" w:type="pct"/>
          </w:tcPr>
          <w:p w14:paraId="5EF275BD" w14:textId="5209ABA7" w:rsidR="00C102F1" w:rsidRDefault="00C102F1" w:rsidP="0011520C">
            <w:pPr>
              <w:pStyle w:val="TableBodyText"/>
              <w:keepNext/>
              <w:keepLines/>
              <w:rPr>
                <w:lang w:eastAsia="en-US"/>
              </w:rPr>
            </w:pPr>
            <w:r>
              <w:rPr>
                <w:lang w:eastAsia="en-US"/>
              </w:rPr>
              <w:t>Attended: 1</w:t>
            </w:r>
          </w:p>
          <w:p w14:paraId="169BCB40" w14:textId="3CEFA23F" w:rsidR="00C102F1" w:rsidRPr="004316E0" w:rsidRDefault="00C102F1" w:rsidP="0011520C">
            <w:pPr>
              <w:pStyle w:val="TableBodyText"/>
              <w:keepNext/>
              <w:keepLines/>
              <w:rPr>
                <w:lang w:eastAsia="en-US"/>
              </w:rPr>
            </w:pPr>
            <w:r>
              <w:rPr>
                <w:lang w:eastAsia="en-US"/>
              </w:rPr>
              <w:t>Maximum held: 1</w:t>
            </w:r>
          </w:p>
        </w:tc>
        <w:tc>
          <w:tcPr>
            <w:tcW w:w="1104" w:type="pct"/>
          </w:tcPr>
          <w:p w14:paraId="71D105D4" w14:textId="11CC6F99" w:rsidR="00C102F1" w:rsidRDefault="00C102F1" w:rsidP="0011520C">
            <w:pPr>
              <w:pStyle w:val="TableBodyText"/>
              <w:keepNext/>
              <w:keepLines/>
              <w:rPr>
                <w:lang w:eastAsia="en-US"/>
              </w:rPr>
            </w:pPr>
            <w:r>
              <w:rPr>
                <w:lang w:eastAsia="en-US"/>
              </w:rPr>
              <w:t>Attended: Nil</w:t>
            </w:r>
          </w:p>
          <w:p w14:paraId="7AD97CF7" w14:textId="67CE0069" w:rsidR="00C102F1" w:rsidRPr="004316E0" w:rsidRDefault="00C102F1" w:rsidP="0011520C">
            <w:pPr>
              <w:pStyle w:val="TableBodyText"/>
              <w:keepNext/>
              <w:keepLines/>
              <w:rPr>
                <w:lang w:eastAsia="en-US"/>
              </w:rPr>
            </w:pPr>
            <w:r>
              <w:rPr>
                <w:lang w:eastAsia="en-US"/>
              </w:rPr>
              <w:t>Maximum held: Nil</w:t>
            </w:r>
          </w:p>
        </w:tc>
        <w:tc>
          <w:tcPr>
            <w:tcW w:w="1026" w:type="pct"/>
          </w:tcPr>
          <w:p w14:paraId="049BFFC1" w14:textId="49FD8FE2" w:rsidR="00C102F1" w:rsidRDefault="00C102F1" w:rsidP="0011520C">
            <w:pPr>
              <w:pStyle w:val="TableBodyText"/>
              <w:keepNext/>
              <w:keepLines/>
              <w:rPr>
                <w:lang w:eastAsia="en-US"/>
              </w:rPr>
            </w:pPr>
            <w:r>
              <w:rPr>
                <w:lang w:eastAsia="en-US"/>
              </w:rPr>
              <w:t>Attended: 1</w:t>
            </w:r>
          </w:p>
          <w:p w14:paraId="6FAF3181" w14:textId="64666375" w:rsidR="00C102F1" w:rsidRPr="004316E0" w:rsidRDefault="00C102F1" w:rsidP="0011520C">
            <w:pPr>
              <w:pStyle w:val="TableBodyText"/>
              <w:keepNext/>
              <w:keepLines/>
              <w:rPr>
                <w:lang w:eastAsia="en-US"/>
              </w:rPr>
            </w:pPr>
            <w:r>
              <w:rPr>
                <w:lang w:eastAsia="en-US"/>
              </w:rPr>
              <w:t>Maximum held: 1</w:t>
            </w:r>
          </w:p>
        </w:tc>
      </w:tr>
      <w:tr w:rsidR="00C102F1" w14:paraId="360C24F2" w14:textId="77777777" w:rsidTr="00C102F1">
        <w:tc>
          <w:tcPr>
            <w:tcW w:w="957" w:type="pct"/>
          </w:tcPr>
          <w:p w14:paraId="558C0183" w14:textId="77777777" w:rsidR="00C102F1" w:rsidRDefault="00C102F1" w:rsidP="0011520C">
            <w:pPr>
              <w:pStyle w:val="TableBodyText"/>
              <w:keepNext/>
              <w:keepLines/>
              <w:rPr>
                <w:lang w:eastAsia="en-US"/>
              </w:rPr>
            </w:pPr>
            <w:r>
              <w:rPr>
                <w:lang w:eastAsia="en-US"/>
              </w:rPr>
              <w:t>Merran Kelsall (Deputy Chair)</w:t>
            </w:r>
          </w:p>
        </w:tc>
        <w:tc>
          <w:tcPr>
            <w:tcW w:w="883" w:type="pct"/>
          </w:tcPr>
          <w:p w14:paraId="7722D20F" w14:textId="47025E83" w:rsidR="00C102F1" w:rsidRDefault="00C102F1" w:rsidP="0011520C">
            <w:pPr>
              <w:pStyle w:val="TableBodyText"/>
              <w:keepNext/>
              <w:keepLines/>
              <w:rPr>
                <w:lang w:eastAsia="en-US"/>
              </w:rPr>
            </w:pPr>
            <w:r>
              <w:rPr>
                <w:lang w:eastAsia="en-US"/>
              </w:rPr>
              <w:t>Attended: 1</w:t>
            </w:r>
          </w:p>
          <w:p w14:paraId="0DE170A1" w14:textId="40F0ADB8" w:rsidR="00C102F1" w:rsidRDefault="00C102F1" w:rsidP="0011520C">
            <w:pPr>
              <w:pStyle w:val="TableBodyText"/>
              <w:keepNext/>
              <w:keepLines/>
              <w:rPr>
                <w:lang w:eastAsia="en-US"/>
              </w:rPr>
            </w:pPr>
            <w:r>
              <w:rPr>
                <w:lang w:eastAsia="en-US"/>
              </w:rPr>
              <w:t>Maximum held: 1</w:t>
            </w:r>
          </w:p>
        </w:tc>
        <w:tc>
          <w:tcPr>
            <w:tcW w:w="1030" w:type="pct"/>
          </w:tcPr>
          <w:p w14:paraId="1CAA889D" w14:textId="361F5850" w:rsidR="00C102F1" w:rsidRDefault="00C102F1" w:rsidP="0011520C">
            <w:pPr>
              <w:pStyle w:val="TableBodyText"/>
              <w:keepNext/>
              <w:keepLines/>
              <w:rPr>
                <w:lang w:eastAsia="en-US"/>
              </w:rPr>
            </w:pPr>
            <w:r>
              <w:rPr>
                <w:lang w:eastAsia="en-US"/>
              </w:rPr>
              <w:t>Attended: 1</w:t>
            </w:r>
          </w:p>
          <w:p w14:paraId="5547A462" w14:textId="698833E3" w:rsidR="00C102F1" w:rsidRDefault="00C102F1" w:rsidP="0011520C">
            <w:pPr>
              <w:pStyle w:val="TableBodyText"/>
              <w:keepNext/>
              <w:keepLines/>
              <w:rPr>
                <w:lang w:eastAsia="en-US"/>
              </w:rPr>
            </w:pPr>
            <w:r>
              <w:rPr>
                <w:lang w:eastAsia="en-US"/>
              </w:rPr>
              <w:t>Maximum held: 1</w:t>
            </w:r>
          </w:p>
        </w:tc>
        <w:tc>
          <w:tcPr>
            <w:tcW w:w="1104" w:type="pct"/>
          </w:tcPr>
          <w:p w14:paraId="387A2A08" w14:textId="77777777" w:rsidR="00C102F1" w:rsidRDefault="00C102F1" w:rsidP="0011520C">
            <w:pPr>
              <w:pStyle w:val="TableBodyText"/>
              <w:keepNext/>
              <w:keepLines/>
              <w:rPr>
                <w:lang w:eastAsia="en-US"/>
              </w:rPr>
            </w:pPr>
            <w:r>
              <w:rPr>
                <w:lang w:eastAsia="en-US"/>
              </w:rPr>
              <w:t>Attended: Nil</w:t>
            </w:r>
          </w:p>
          <w:p w14:paraId="41AB33FF" w14:textId="77777777" w:rsidR="00C102F1" w:rsidRDefault="00C102F1" w:rsidP="0011520C">
            <w:pPr>
              <w:pStyle w:val="TableBodyText"/>
              <w:keepNext/>
              <w:keepLines/>
              <w:rPr>
                <w:lang w:eastAsia="en-US"/>
              </w:rPr>
            </w:pPr>
            <w:r>
              <w:rPr>
                <w:lang w:eastAsia="en-US"/>
              </w:rPr>
              <w:t>Maximum held: Nil</w:t>
            </w:r>
          </w:p>
        </w:tc>
        <w:tc>
          <w:tcPr>
            <w:tcW w:w="1026" w:type="pct"/>
          </w:tcPr>
          <w:p w14:paraId="5FF6953A" w14:textId="77777777" w:rsidR="00C102F1" w:rsidRDefault="00C102F1" w:rsidP="0011520C">
            <w:pPr>
              <w:pStyle w:val="TableBodyText"/>
              <w:keepNext/>
              <w:keepLines/>
              <w:rPr>
                <w:lang w:eastAsia="en-US"/>
              </w:rPr>
            </w:pPr>
            <w:r>
              <w:rPr>
                <w:lang w:eastAsia="en-US"/>
              </w:rPr>
              <w:t>Attended: Nil</w:t>
            </w:r>
          </w:p>
          <w:p w14:paraId="11C7B8E0" w14:textId="77777777" w:rsidR="00C102F1" w:rsidRDefault="00C102F1" w:rsidP="0011520C">
            <w:pPr>
              <w:pStyle w:val="TableBodyText"/>
              <w:keepNext/>
              <w:keepLines/>
              <w:rPr>
                <w:lang w:eastAsia="en-US"/>
              </w:rPr>
            </w:pPr>
            <w:r>
              <w:rPr>
                <w:lang w:eastAsia="en-US"/>
              </w:rPr>
              <w:t>Maximum held: Nil</w:t>
            </w:r>
          </w:p>
        </w:tc>
      </w:tr>
      <w:tr w:rsidR="00C102F1" w14:paraId="08179AEB" w14:textId="77777777" w:rsidTr="00C102F1">
        <w:tc>
          <w:tcPr>
            <w:tcW w:w="957" w:type="pct"/>
          </w:tcPr>
          <w:p w14:paraId="0AF21AE7" w14:textId="77777777" w:rsidR="00C102F1" w:rsidRDefault="00C102F1" w:rsidP="0011520C">
            <w:pPr>
              <w:pStyle w:val="TableBodyText"/>
              <w:keepNext/>
              <w:keepLines/>
              <w:rPr>
                <w:lang w:eastAsia="en-US"/>
              </w:rPr>
            </w:pPr>
            <w:r>
              <w:rPr>
                <w:lang w:eastAsia="en-US"/>
              </w:rPr>
              <w:t>Garry Smith</w:t>
            </w:r>
          </w:p>
        </w:tc>
        <w:tc>
          <w:tcPr>
            <w:tcW w:w="883" w:type="pct"/>
          </w:tcPr>
          <w:p w14:paraId="04FED23C" w14:textId="5CF07014" w:rsidR="00C102F1" w:rsidRDefault="00C102F1" w:rsidP="0011520C">
            <w:pPr>
              <w:pStyle w:val="TableBodyText"/>
              <w:keepNext/>
              <w:keepLines/>
              <w:rPr>
                <w:lang w:eastAsia="en-US"/>
              </w:rPr>
            </w:pPr>
            <w:r>
              <w:rPr>
                <w:lang w:eastAsia="en-US"/>
              </w:rPr>
              <w:t>Attended: 1</w:t>
            </w:r>
          </w:p>
          <w:p w14:paraId="3ED3F1C2" w14:textId="0F089146" w:rsidR="00C102F1" w:rsidRDefault="00C102F1" w:rsidP="0011520C">
            <w:pPr>
              <w:pStyle w:val="TableBodyText"/>
              <w:keepNext/>
              <w:keepLines/>
              <w:rPr>
                <w:lang w:eastAsia="en-US"/>
              </w:rPr>
            </w:pPr>
            <w:r>
              <w:rPr>
                <w:lang w:eastAsia="en-US"/>
              </w:rPr>
              <w:t>Maximum held: 1</w:t>
            </w:r>
          </w:p>
        </w:tc>
        <w:tc>
          <w:tcPr>
            <w:tcW w:w="1030" w:type="pct"/>
          </w:tcPr>
          <w:p w14:paraId="63EE6E86" w14:textId="77777777" w:rsidR="00C102F1" w:rsidRDefault="00C102F1" w:rsidP="0011520C">
            <w:pPr>
              <w:pStyle w:val="TableBodyText"/>
              <w:keepNext/>
              <w:keepLines/>
              <w:rPr>
                <w:lang w:eastAsia="en-US"/>
              </w:rPr>
            </w:pPr>
            <w:r>
              <w:rPr>
                <w:lang w:eastAsia="en-US"/>
              </w:rPr>
              <w:t>Attended: Nil</w:t>
            </w:r>
          </w:p>
          <w:p w14:paraId="4D12FCB8" w14:textId="77777777" w:rsidR="00C102F1" w:rsidRDefault="00C102F1" w:rsidP="0011520C">
            <w:pPr>
              <w:pStyle w:val="TableBodyText"/>
              <w:keepNext/>
              <w:keepLines/>
              <w:rPr>
                <w:lang w:eastAsia="en-US"/>
              </w:rPr>
            </w:pPr>
            <w:r>
              <w:rPr>
                <w:lang w:eastAsia="en-US"/>
              </w:rPr>
              <w:t>Maximum held: Nil</w:t>
            </w:r>
          </w:p>
        </w:tc>
        <w:tc>
          <w:tcPr>
            <w:tcW w:w="1104" w:type="pct"/>
          </w:tcPr>
          <w:p w14:paraId="6C760A37" w14:textId="77777777" w:rsidR="00C102F1" w:rsidRDefault="00C102F1" w:rsidP="0011520C">
            <w:pPr>
              <w:pStyle w:val="TableBodyText"/>
              <w:keepNext/>
              <w:keepLines/>
              <w:rPr>
                <w:lang w:eastAsia="en-US"/>
              </w:rPr>
            </w:pPr>
            <w:r>
              <w:rPr>
                <w:lang w:eastAsia="en-US"/>
              </w:rPr>
              <w:t>Attended: Nil</w:t>
            </w:r>
          </w:p>
          <w:p w14:paraId="0772C4FD" w14:textId="77777777" w:rsidR="00C102F1" w:rsidRDefault="00C102F1" w:rsidP="0011520C">
            <w:pPr>
              <w:pStyle w:val="TableBodyText"/>
              <w:keepNext/>
              <w:keepLines/>
              <w:rPr>
                <w:lang w:eastAsia="en-US"/>
              </w:rPr>
            </w:pPr>
            <w:r>
              <w:rPr>
                <w:lang w:eastAsia="en-US"/>
              </w:rPr>
              <w:t>Maximum held: Nil</w:t>
            </w:r>
          </w:p>
        </w:tc>
        <w:tc>
          <w:tcPr>
            <w:tcW w:w="1026" w:type="pct"/>
          </w:tcPr>
          <w:p w14:paraId="58FBCBB1" w14:textId="36E13828" w:rsidR="00C102F1" w:rsidRDefault="00C102F1" w:rsidP="0011520C">
            <w:pPr>
              <w:pStyle w:val="TableBodyText"/>
              <w:keepNext/>
              <w:keepLines/>
              <w:rPr>
                <w:lang w:eastAsia="en-US"/>
              </w:rPr>
            </w:pPr>
            <w:r>
              <w:rPr>
                <w:lang w:eastAsia="en-US"/>
              </w:rPr>
              <w:t xml:space="preserve">Attended: </w:t>
            </w:r>
            <w:r w:rsidR="00934BD5">
              <w:rPr>
                <w:lang w:eastAsia="en-US"/>
              </w:rPr>
              <w:t>1</w:t>
            </w:r>
          </w:p>
          <w:p w14:paraId="4EC21E77" w14:textId="60D1CDF6" w:rsidR="00C102F1" w:rsidRDefault="00C102F1" w:rsidP="0011520C">
            <w:pPr>
              <w:pStyle w:val="TableBodyText"/>
              <w:keepNext/>
              <w:keepLines/>
              <w:rPr>
                <w:lang w:eastAsia="en-US"/>
              </w:rPr>
            </w:pPr>
            <w:r>
              <w:rPr>
                <w:lang w:eastAsia="en-US"/>
              </w:rPr>
              <w:t xml:space="preserve">Maximum held: </w:t>
            </w:r>
            <w:r w:rsidR="00934BD5">
              <w:rPr>
                <w:lang w:eastAsia="en-US"/>
              </w:rPr>
              <w:t>1</w:t>
            </w:r>
          </w:p>
        </w:tc>
      </w:tr>
      <w:tr w:rsidR="00C102F1" w14:paraId="6324A3B2" w14:textId="77777777" w:rsidTr="00C102F1">
        <w:tc>
          <w:tcPr>
            <w:tcW w:w="957" w:type="pct"/>
          </w:tcPr>
          <w:p w14:paraId="0C9EDB20" w14:textId="77777777" w:rsidR="00C102F1" w:rsidRDefault="00C102F1" w:rsidP="00C778D6">
            <w:pPr>
              <w:pStyle w:val="TableBodyText"/>
              <w:rPr>
                <w:lang w:eastAsia="en-US"/>
              </w:rPr>
            </w:pPr>
            <w:r>
              <w:rPr>
                <w:lang w:eastAsia="en-US"/>
              </w:rPr>
              <w:t>Kathleen Bailey-Lord</w:t>
            </w:r>
          </w:p>
        </w:tc>
        <w:tc>
          <w:tcPr>
            <w:tcW w:w="883" w:type="pct"/>
          </w:tcPr>
          <w:p w14:paraId="4549257A" w14:textId="6BD733CD" w:rsidR="00C102F1" w:rsidRDefault="00C102F1" w:rsidP="00C778D6">
            <w:pPr>
              <w:pStyle w:val="TableBodyText"/>
              <w:rPr>
                <w:lang w:eastAsia="en-US"/>
              </w:rPr>
            </w:pPr>
            <w:r>
              <w:rPr>
                <w:lang w:eastAsia="en-US"/>
              </w:rPr>
              <w:t>Attended: 1</w:t>
            </w:r>
          </w:p>
          <w:p w14:paraId="222FA4C5" w14:textId="39EB2CB8" w:rsidR="00C102F1" w:rsidRDefault="00C102F1" w:rsidP="00C778D6">
            <w:pPr>
              <w:pStyle w:val="TableBodyText"/>
              <w:rPr>
                <w:lang w:eastAsia="en-US"/>
              </w:rPr>
            </w:pPr>
            <w:r>
              <w:rPr>
                <w:lang w:eastAsia="en-US"/>
              </w:rPr>
              <w:t>Maximum held: 1</w:t>
            </w:r>
          </w:p>
        </w:tc>
        <w:tc>
          <w:tcPr>
            <w:tcW w:w="1030" w:type="pct"/>
          </w:tcPr>
          <w:p w14:paraId="18D0DF2D" w14:textId="77777777" w:rsidR="00C102F1" w:rsidRDefault="00C102F1" w:rsidP="00C778D6">
            <w:pPr>
              <w:pStyle w:val="TableBodyText"/>
              <w:rPr>
                <w:lang w:eastAsia="en-US"/>
              </w:rPr>
            </w:pPr>
            <w:r>
              <w:rPr>
                <w:lang w:eastAsia="en-US"/>
              </w:rPr>
              <w:t>Attended: Nil</w:t>
            </w:r>
          </w:p>
          <w:p w14:paraId="200E9160" w14:textId="77777777" w:rsidR="00C102F1" w:rsidRDefault="00C102F1" w:rsidP="00C778D6">
            <w:pPr>
              <w:pStyle w:val="TableBodyText"/>
              <w:rPr>
                <w:lang w:eastAsia="en-US"/>
              </w:rPr>
            </w:pPr>
            <w:r>
              <w:rPr>
                <w:lang w:eastAsia="en-US"/>
              </w:rPr>
              <w:t>Maximum held: Nil</w:t>
            </w:r>
          </w:p>
        </w:tc>
        <w:tc>
          <w:tcPr>
            <w:tcW w:w="1104" w:type="pct"/>
          </w:tcPr>
          <w:p w14:paraId="69EBC30C" w14:textId="0DC5ADFD" w:rsidR="00C102F1" w:rsidRDefault="00C102F1" w:rsidP="00C778D6">
            <w:pPr>
              <w:pStyle w:val="TableBodyText"/>
              <w:rPr>
                <w:lang w:eastAsia="en-US"/>
              </w:rPr>
            </w:pPr>
            <w:r>
              <w:rPr>
                <w:lang w:eastAsia="en-US"/>
              </w:rPr>
              <w:t xml:space="preserve">Attended: </w:t>
            </w:r>
            <w:r w:rsidR="00934BD5">
              <w:rPr>
                <w:lang w:eastAsia="en-US"/>
              </w:rPr>
              <w:t>Nil</w:t>
            </w:r>
          </w:p>
          <w:p w14:paraId="14A6A5E3" w14:textId="7132C6F6" w:rsidR="00C102F1" w:rsidRDefault="00C102F1" w:rsidP="00C778D6">
            <w:pPr>
              <w:pStyle w:val="TableBodyText"/>
              <w:rPr>
                <w:lang w:eastAsia="en-US"/>
              </w:rPr>
            </w:pPr>
            <w:r>
              <w:rPr>
                <w:lang w:eastAsia="en-US"/>
              </w:rPr>
              <w:t xml:space="preserve">Maximum held: </w:t>
            </w:r>
            <w:r w:rsidR="00934BD5">
              <w:rPr>
                <w:lang w:eastAsia="en-US"/>
              </w:rPr>
              <w:t>Nil</w:t>
            </w:r>
          </w:p>
        </w:tc>
        <w:tc>
          <w:tcPr>
            <w:tcW w:w="1026" w:type="pct"/>
          </w:tcPr>
          <w:p w14:paraId="5836B8F9" w14:textId="77777777" w:rsidR="00C102F1" w:rsidRDefault="00C102F1" w:rsidP="00C778D6">
            <w:pPr>
              <w:pStyle w:val="TableBodyText"/>
              <w:rPr>
                <w:lang w:eastAsia="en-US"/>
              </w:rPr>
            </w:pPr>
            <w:r>
              <w:rPr>
                <w:lang w:eastAsia="en-US"/>
              </w:rPr>
              <w:t>Attended: Nil</w:t>
            </w:r>
          </w:p>
          <w:p w14:paraId="46631B8C" w14:textId="77777777" w:rsidR="00C102F1" w:rsidRDefault="00C102F1" w:rsidP="00C778D6">
            <w:pPr>
              <w:pStyle w:val="TableBodyText"/>
              <w:rPr>
                <w:lang w:eastAsia="en-US"/>
              </w:rPr>
            </w:pPr>
            <w:r>
              <w:rPr>
                <w:lang w:eastAsia="en-US"/>
              </w:rPr>
              <w:t>Maximum held: Nil</w:t>
            </w:r>
          </w:p>
        </w:tc>
      </w:tr>
      <w:tr w:rsidR="00C102F1" w14:paraId="75555840" w14:textId="77777777" w:rsidTr="00C102F1">
        <w:tc>
          <w:tcPr>
            <w:tcW w:w="957" w:type="pct"/>
          </w:tcPr>
          <w:p w14:paraId="0FA8DBB4" w14:textId="77777777" w:rsidR="00C102F1" w:rsidRDefault="00C102F1" w:rsidP="00C778D6">
            <w:pPr>
              <w:pStyle w:val="TableBodyText"/>
              <w:rPr>
                <w:lang w:eastAsia="en-US"/>
              </w:rPr>
            </w:pPr>
            <w:r>
              <w:rPr>
                <w:lang w:eastAsia="en-US"/>
              </w:rPr>
              <w:t>Hugh Gleeson</w:t>
            </w:r>
          </w:p>
        </w:tc>
        <w:tc>
          <w:tcPr>
            <w:tcW w:w="883" w:type="pct"/>
          </w:tcPr>
          <w:p w14:paraId="5C013B6A" w14:textId="4407AF3F" w:rsidR="00C102F1" w:rsidRDefault="00C102F1" w:rsidP="00C778D6">
            <w:pPr>
              <w:pStyle w:val="TableBodyText"/>
              <w:rPr>
                <w:lang w:eastAsia="en-US"/>
              </w:rPr>
            </w:pPr>
            <w:r>
              <w:rPr>
                <w:lang w:eastAsia="en-US"/>
              </w:rPr>
              <w:t>Attended: 1</w:t>
            </w:r>
          </w:p>
          <w:p w14:paraId="36514619" w14:textId="75DAE2AB" w:rsidR="00C102F1" w:rsidRDefault="00C102F1" w:rsidP="00C778D6">
            <w:pPr>
              <w:pStyle w:val="TableBodyText"/>
              <w:rPr>
                <w:lang w:eastAsia="en-US"/>
              </w:rPr>
            </w:pPr>
            <w:r>
              <w:rPr>
                <w:lang w:eastAsia="en-US"/>
              </w:rPr>
              <w:t>Maximum held: 1</w:t>
            </w:r>
          </w:p>
        </w:tc>
        <w:tc>
          <w:tcPr>
            <w:tcW w:w="1030" w:type="pct"/>
          </w:tcPr>
          <w:p w14:paraId="66FAF8D5" w14:textId="724C42B2" w:rsidR="00C102F1" w:rsidRDefault="00C102F1" w:rsidP="00C778D6">
            <w:pPr>
              <w:pStyle w:val="TableBodyText"/>
              <w:rPr>
                <w:lang w:eastAsia="en-US"/>
              </w:rPr>
            </w:pPr>
            <w:r>
              <w:rPr>
                <w:lang w:eastAsia="en-US"/>
              </w:rPr>
              <w:t xml:space="preserve">Attended: </w:t>
            </w:r>
            <w:r w:rsidR="00934BD5">
              <w:rPr>
                <w:lang w:eastAsia="en-US"/>
              </w:rPr>
              <w:t>1</w:t>
            </w:r>
          </w:p>
          <w:p w14:paraId="4528F5B8" w14:textId="20F0B00E" w:rsidR="00C102F1" w:rsidRDefault="00C102F1" w:rsidP="00C778D6">
            <w:pPr>
              <w:pStyle w:val="TableBodyText"/>
              <w:rPr>
                <w:lang w:eastAsia="en-US"/>
              </w:rPr>
            </w:pPr>
            <w:r>
              <w:rPr>
                <w:lang w:eastAsia="en-US"/>
              </w:rPr>
              <w:t xml:space="preserve">Maximum held: </w:t>
            </w:r>
            <w:r w:rsidR="00934BD5">
              <w:rPr>
                <w:lang w:eastAsia="en-US"/>
              </w:rPr>
              <w:t>1</w:t>
            </w:r>
          </w:p>
        </w:tc>
        <w:tc>
          <w:tcPr>
            <w:tcW w:w="1104" w:type="pct"/>
          </w:tcPr>
          <w:p w14:paraId="4F6774BA" w14:textId="2BF06400" w:rsidR="00C102F1" w:rsidRDefault="00C102F1" w:rsidP="00C778D6">
            <w:pPr>
              <w:pStyle w:val="TableBodyText"/>
              <w:rPr>
                <w:lang w:eastAsia="en-US"/>
              </w:rPr>
            </w:pPr>
            <w:r>
              <w:rPr>
                <w:lang w:eastAsia="en-US"/>
              </w:rPr>
              <w:t xml:space="preserve">Attended: </w:t>
            </w:r>
            <w:r w:rsidR="00934BD5">
              <w:rPr>
                <w:lang w:eastAsia="en-US"/>
              </w:rPr>
              <w:t>Nil</w:t>
            </w:r>
          </w:p>
          <w:p w14:paraId="4EF5D817" w14:textId="3C89EB61" w:rsidR="00C102F1" w:rsidRDefault="00C102F1" w:rsidP="00C778D6">
            <w:pPr>
              <w:pStyle w:val="TableBodyText"/>
              <w:rPr>
                <w:lang w:eastAsia="en-US"/>
              </w:rPr>
            </w:pPr>
            <w:r>
              <w:rPr>
                <w:lang w:eastAsia="en-US"/>
              </w:rPr>
              <w:t xml:space="preserve">Maximum held: </w:t>
            </w:r>
            <w:r w:rsidR="00934BD5">
              <w:rPr>
                <w:lang w:eastAsia="en-US"/>
              </w:rPr>
              <w:t>Nil</w:t>
            </w:r>
          </w:p>
        </w:tc>
        <w:tc>
          <w:tcPr>
            <w:tcW w:w="1026" w:type="pct"/>
          </w:tcPr>
          <w:p w14:paraId="486FC000" w14:textId="77777777" w:rsidR="00C102F1" w:rsidRDefault="00C102F1" w:rsidP="00C778D6">
            <w:pPr>
              <w:pStyle w:val="TableBodyText"/>
              <w:rPr>
                <w:lang w:eastAsia="en-US"/>
              </w:rPr>
            </w:pPr>
            <w:r>
              <w:rPr>
                <w:lang w:eastAsia="en-US"/>
              </w:rPr>
              <w:t>Attended: Nil</w:t>
            </w:r>
          </w:p>
          <w:p w14:paraId="02258B15" w14:textId="77777777" w:rsidR="00C102F1" w:rsidRDefault="00C102F1" w:rsidP="00C778D6">
            <w:pPr>
              <w:pStyle w:val="TableBodyText"/>
              <w:rPr>
                <w:lang w:eastAsia="en-US"/>
              </w:rPr>
            </w:pPr>
            <w:r>
              <w:rPr>
                <w:lang w:eastAsia="en-US"/>
              </w:rPr>
              <w:t>Maximum held: Nil</w:t>
            </w:r>
          </w:p>
        </w:tc>
      </w:tr>
      <w:tr w:rsidR="00C102F1" w14:paraId="3DC58ADC" w14:textId="77777777" w:rsidTr="00C102F1">
        <w:tc>
          <w:tcPr>
            <w:tcW w:w="957" w:type="pct"/>
          </w:tcPr>
          <w:p w14:paraId="66279539" w14:textId="77777777" w:rsidR="00C102F1" w:rsidRDefault="00C102F1" w:rsidP="00C778D6">
            <w:pPr>
              <w:pStyle w:val="TableBodyText"/>
              <w:rPr>
                <w:lang w:eastAsia="en-US"/>
              </w:rPr>
            </w:pPr>
            <w:r>
              <w:rPr>
                <w:lang w:eastAsia="en-US"/>
              </w:rPr>
              <w:t>Robyn McLeod</w:t>
            </w:r>
          </w:p>
        </w:tc>
        <w:tc>
          <w:tcPr>
            <w:tcW w:w="883" w:type="pct"/>
          </w:tcPr>
          <w:p w14:paraId="179493EF" w14:textId="1217C993" w:rsidR="00C102F1" w:rsidRDefault="00C102F1" w:rsidP="00C778D6">
            <w:pPr>
              <w:pStyle w:val="TableBodyText"/>
              <w:rPr>
                <w:lang w:eastAsia="en-US"/>
              </w:rPr>
            </w:pPr>
            <w:r>
              <w:rPr>
                <w:lang w:eastAsia="en-US"/>
              </w:rPr>
              <w:t>Attended: 1</w:t>
            </w:r>
          </w:p>
          <w:p w14:paraId="39FC04B4" w14:textId="359CBE01" w:rsidR="00C102F1" w:rsidRDefault="00C102F1" w:rsidP="00C778D6">
            <w:pPr>
              <w:pStyle w:val="TableBodyText"/>
              <w:rPr>
                <w:lang w:eastAsia="en-US"/>
              </w:rPr>
            </w:pPr>
            <w:r>
              <w:rPr>
                <w:lang w:eastAsia="en-US"/>
              </w:rPr>
              <w:t>Maximum held: 1</w:t>
            </w:r>
          </w:p>
        </w:tc>
        <w:tc>
          <w:tcPr>
            <w:tcW w:w="1030" w:type="pct"/>
          </w:tcPr>
          <w:p w14:paraId="144D2ECE" w14:textId="77777777" w:rsidR="00C102F1" w:rsidRDefault="00C102F1" w:rsidP="00C778D6">
            <w:pPr>
              <w:pStyle w:val="TableBodyText"/>
              <w:rPr>
                <w:lang w:eastAsia="en-US"/>
              </w:rPr>
            </w:pPr>
            <w:r>
              <w:rPr>
                <w:lang w:eastAsia="en-US"/>
              </w:rPr>
              <w:t>Attended: Nil</w:t>
            </w:r>
          </w:p>
          <w:p w14:paraId="70095E43" w14:textId="77777777" w:rsidR="00C102F1" w:rsidRDefault="00C102F1" w:rsidP="00C778D6">
            <w:pPr>
              <w:pStyle w:val="TableBodyText"/>
              <w:rPr>
                <w:lang w:eastAsia="en-US"/>
              </w:rPr>
            </w:pPr>
            <w:r>
              <w:rPr>
                <w:lang w:eastAsia="en-US"/>
              </w:rPr>
              <w:t>Maximum held: Nil</w:t>
            </w:r>
          </w:p>
        </w:tc>
        <w:tc>
          <w:tcPr>
            <w:tcW w:w="1104" w:type="pct"/>
          </w:tcPr>
          <w:p w14:paraId="327230D8" w14:textId="556B743D" w:rsidR="00C102F1" w:rsidRDefault="00C102F1" w:rsidP="00C778D6">
            <w:pPr>
              <w:pStyle w:val="TableBodyText"/>
              <w:rPr>
                <w:lang w:eastAsia="en-US"/>
              </w:rPr>
            </w:pPr>
            <w:r>
              <w:rPr>
                <w:lang w:eastAsia="en-US"/>
              </w:rPr>
              <w:t xml:space="preserve">Attended: </w:t>
            </w:r>
            <w:r w:rsidR="00934BD5">
              <w:rPr>
                <w:lang w:eastAsia="en-US"/>
              </w:rPr>
              <w:t>Nil</w:t>
            </w:r>
          </w:p>
          <w:p w14:paraId="61C895B9" w14:textId="014CAF5B" w:rsidR="00C102F1" w:rsidRDefault="00C102F1" w:rsidP="00C778D6">
            <w:pPr>
              <w:pStyle w:val="TableBodyText"/>
              <w:rPr>
                <w:lang w:eastAsia="en-US"/>
              </w:rPr>
            </w:pPr>
            <w:r>
              <w:rPr>
                <w:lang w:eastAsia="en-US"/>
              </w:rPr>
              <w:t xml:space="preserve">Maximum held: </w:t>
            </w:r>
            <w:r w:rsidR="00934BD5">
              <w:rPr>
                <w:lang w:eastAsia="en-US"/>
              </w:rPr>
              <w:t>Nil</w:t>
            </w:r>
          </w:p>
        </w:tc>
        <w:tc>
          <w:tcPr>
            <w:tcW w:w="1026" w:type="pct"/>
          </w:tcPr>
          <w:p w14:paraId="6724D071" w14:textId="0FB9A021" w:rsidR="00C102F1" w:rsidRDefault="00C102F1" w:rsidP="00C778D6">
            <w:pPr>
              <w:pStyle w:val="TableBodyText"/>
              <w:rPr>
                <w:lang w:eastAsia="en-US"/>
              </w:rPr>
            </w:pPr>
            <w:r>
              <w:rPr>
                <w:lang w:eastAsia="en-US"/>
              </w:rPr>
              <w:t xml:space="preserve">Attended: </w:t>
            </w:r>
            <w:r w:rsidR="00934BD5">
              <w:rPr>
                <w:lang w:eastAsia="en-US"/>
              </w:rPr>
              <w:t>1</w:t>
            </w:r>
          </w:p>
          <w:p w14:paraId="0A5D7105" w14:textId="51184C98" w:rsidR="00C102F1" w:rsidRDefault="00C102F1" w:rsidP="00C778D6">
            <w:pPr>
              <w:pStyle w:val="TableBodyText"/>
              <w:rPr>
                <w:lang w:eastAsia="en-US"/>
              </w:rPr>
            </w:pPr>
            <w:r>
              <w:rPr>
                <w:lang w:eastAsia="en-US"/>
              </w:rPr>
              <w:t xml:space="preserve">Maximum held: </w:t>
            </w:r>
            <w:r w:rsidR="00934BD5">
              <w:rPr>
                <w:lang w:eastAsia="en-US"/>
              </w:rPr>
              <w:t>1</w:t>
            </w:r>
          </w:p>
        </w:tc>
      </w:tr>
      <w:tr w:rsidR="00C102F1" w14:paraId="0C3C2078" w14:textId="77777777" w:rsidTr="00C102F1">
        <w:tc>
          <w:tcPr>
            <w:tcW w:w="957" w:type="pct"/>
          </w:tcPr>
          <w:p w14:paraId="5E6CDCAE" w14:textId="77777777" w:rsidR="00C102F1" w:rsidRDefault="00C102F1" w:rsidP="00C778D6">
            <w:pPr>
              <w:pStyle w:val="TableBodyText"/>
              <w:rPr>
                <w:lang w:eastAsia="en-US"/>
              </w:rPr>
            </w:pPr>
            <w:r>
              <w:rPr>
                <w:lang w:eastAsia="en-US"/>
              </w:rPr>
              <w:t>Fiona Rowland</w:t>
            </w:r>
          </w:p>
        </w:tc>
        <w:tc>
          <w:tcPr>
            <w:tcW w:w="883" w:type="pct"/>
          </w:tcPr>
          <w:p w14:paraId="115AF959" w14:textId="2C3F43CE" w:rsidR="00C102F1" w:rsidRDefault="00C102F1" w:rsidP="00C778D6">
            <w:pPr>
              <w:pStyle w:val="TableBodyText"/>
              <w:rPr>
                <w:lang w:eastAsia="en-US"/>
              </w:rPr>
            </w:pPr>
            <w:r>
              <w:rPr>
                <w:lang w:eastAsia="en-US"/>
              </w:rPr>
              <w:t>Attended: 1</w:t>
            </w:r>
          </w:p>
          <w:p w14:paraId="6A1C81A7" w14:textId="1218EE7C" w:rsidR="00C102F1" w:rsidRDefault="00C102F1" w:rsidP="00C778D6">
            <w:pPr>
              <w:pStyle w:val="TableBodyText"/>
              <w:rPr>
                <w:lang w:eastAsia="en-US"/>
              </w:rPr>
            </w:pPr>
            <w:r>
              <w:rPr>
                <w:lang w:eastAsia="en-US"/>
              </w:rPr>
              <w:t>Maximum held: 1</w:t>
            </w:r>
          </w:p>
        </w:tc>
        <w:tc>
          <w:tcPr>
            <w:tcW w:w="1030" w:type="pct"/>
          </w:tcPr>
          <w:p w14:paraId="62A6D7F4" w14:textId="4B4E5724" w:rsidR="00C102F1" w:rsidRDefault="00C102F1" w:rsidP="00C778D6">
            <w:pPr>
              <w:pStyle w:val="TableBodyText"/>
              <w:rPr>
                <w:lang w:eastAsia="en-US"/>
              </w:rPr>
            </w:pPr>
            <w:r>
              <w:rPr>
                <w:lang w:eastAsia="en-US"/>
              </w:rPr>
              <w:t xml:space="preserve">Attended: </w:t>
            </w:r>
            <w:r w:rsidR="00934BD5">
              <w:rPr>
                <w:lang w:eastAsia="en-US"/>
              </w:rPr>
              <w:t>1</w:t>
            </w:r>
          </w:p>
          <w:p w14:paraId="35B7A83F" w14:textId="07E4057A" w:rsidR="00C102F1" w:rsidRDefault="00C102F1" w:rsidP="00C778D6">
            <w:pPr>
              <w:pStyle w:val="TableBodyText"/>
              <w:rPr>
                <w:lang w:eastAsia="en-US"/>
              </w:rPr>
            </w:pPr>
            <w:r>
              <w:rPr>
                <w:lang w:eastAsia="en-US"/>
              </w:rPr>
              <w:t xml:space="preserve">Maximum held: </w:t>
            </w:r>
            <w:r w:rsidR="00934BD5">
              <w:rPr>
                <w:lang w:eastAsia="en-US"/>
              </w:rPr>
              <w:t>1</w:t>
            </w:r>
          </w:p>
        </w:tc>
        <w:tc>
          <w:tcPr>
            <w:tcW w:w="1104" w:type="pct"/>
          </w:tcPr>
          <w:p w14:paraId="61BE5559" w14:textId="77777777" w:rsidR="00C102F1" w:rsidRDefault="00C102F1" w:rsidP="00C778D6">
            <w:pPr>
              <w:pStyle w:val="TableBodyText"/>
              <w:rPr>
                <w:lang w:eastAsia="en-US"/>
              </w:rPr>
            </w:pPr>
            <w:r>
              <w:rPr>
                <w:lang w:eastAsia="en-US"/>
              </w:rPr>
              <w:t>Attended: Nil</w:t>
            </w:r>
          </w:p>
          <w:p w14:paraId="5DDD16B7" w14:textId="77777777" w:rsidR="00C102F1" w:rsidRDefault="00C102F1" w:rsidP="00C778D6">
            <w:pPr>
              <w:pStyle w:val="TableBodyText"/>
              <w:rPr>
                <w:lang w:eastAsia="en-US"/>
              </w:rPr>
            </w:pPr>
            <w:r>
              <w:rPr>
                <w:lang w:eastAsia="en-US"/>
              </w:rPr>
              <w:t>Maximum held: Nil</w:t>
            </w:r>
          </w:p>
        </w:tc>
        <w:tc>
          <w:tcPr>
            <w:tcW w:w="1026" w:type="pct"/>
          </w:tcPr>
          <w:p w14:paraId="05BD4D17" w14:textId="50FA9BB7" w:rsidR="00C102F1" w:rsidRDefault="00C102F1" w:rsidP="00C778D6">
            <w:pPr>
              <w:pStyle w:val="TableBodyText"/>
              <w:rPr>
                <w:lang w:eastAsia="en-US"/>
              </w:rPr>
            </w:pPr>
            <w:r>
              <w:rPr>
                <w:lang w:eastAsia="en-US"/>
              </w:rPr>
              <w:t xml:space="preserve">Attended: </w:t>
            </w:r>
            <w:r w:rsidR="00934BD5">
              <w:rPr>
                <w:lang w:eastAsia="en-US"/>
              </w:rPr>
              <w:t>1</w:t>
            </w:r>
          </w:p>
          <w:p w14:paraId="4A432054" w14:textId="326AEFCA" w:rsidR="00C102F1" w:rsidRDefault="00C102F1" w:rsidP="00C778D6">
            <w:pPr>
              <w:pStyle w:val="TableBodyText"/>
              <w:rPr>
                <w:lang w:eastAsia="en-US"/>
              </w:rPr>
            </w:pPr>
            <w:r>
              <w:rPr>
                <w:lang w:eastAsia="en-US"/>
              </w:rPr>
              <w:t xml:space="preserve">Maximum held: </w:t>
            </w:r>
            <w:r w:rsidR="00934BD5">
              <w:rPr>
                <w:lang w:eastAsia="en-US"/>
              </w:rPr>
              <w:t>1</w:t>
            </w:r>
          </w:p>
        </w:tc>
      </w:tr>
      <w:tr w:rsidR="00C102F1" w14:paraId="13F4218F" w14:textId="77777777" w:rsidTr="00C102F1">
        <w:tc>
          <w:tcPr>
            <w:tcW w:w="957" w:type="pct"/>
          </w:tcPr>
          <w:p w14:paraId="79B648EC" w14:textId="77777777" w:rsidR="00C102F1" w:rsidRDefault="00C102F1" w:rsidP="00C778D6">
            <w:pPr>
              <w:pStyle w:val="TableBodyText"/>
              <w:rPr>
                <w:lang w:eastAsia="en-US"/>
              </w:rPr>
            </w:pPr>
            <w:r>
              <w:rPr>
                <w:lang w:eastAsia="en-US"/>
              </w:rPr>
              <w:t>Russell Anderson</w:t>
            </w:r>
          </w:p>
        </w:tc>
        <w:tc>
          <w:tcPr>
            <w:tcW w:w="883" w:type="pct"/>
          </w:tcPr>
          <w:p w14:paraId="611881D0" w14:textId="4B7DDD8B" w:rsidR="00C102F1" w:rsidRDefault="00C102F1" w:rsidP="00C778D6">
            <w:pPr>
              <w:pStyle w:val="TableBodyText"/>
              <w:rPr>
                <w:lang w:eastAsia="en-US"/>
              </w:rPr>
            </w:pPr>
            <w:r>
              <w:rPr>
                <w:lang w:eastAsia="en-US"/>
              </w:rPr>
              <w:t>Attended: 1</w:t>
            </w:r>
          </w:p>
          <w:p w14:paraId="043900FA" w14:textId="36A8EA13" w:rsidR="00C102F1" w:rsidRDefault="00C102F1" w:rsidP="00C778D6">
            <w:pPr>
              <w:pStyle w:val="TableBodyText"/>
              <w:rPr>
                <w:lang w:eastAsia="en-US"/>
              </w:rPr>
            </w:pPr>
            <w:r>
              <w:rPr>
                <w:lang w:eastAsia="en-US"/>
              </w:rPr>
              <w:t>Maximum held: 1</w:t>
            </w:r>
          </w:p>
        </w:tc>
        <w:tc>
          <w:tcPr>
            <w:tcW w:w="1030" w:type="pct"/>
          </w:tcPr>
          <w:p w14:paraId="19E72654" w14:textId="77777777" w:rsidR="00C102F1" w:rsidRDefault="00C102F1" w:rsidP="00C778D6">
            <w:pPr>
              <w:pStyle w:val="TableBodyText"/>
              <w:rPr>
                <w:lang w:eastAsia="en-US"/>
              </w:rPr>
            </w:pPr>
            <w:r>
              <w:rPr>
                <w:lang w:eastAsia="en-US"/>
              </w:rPr>
              <w:t>Attended: Nil</w:t>
            </w:r>
          </w:p>
          <w:p w14:paraId="53B61E22" w14:textId="77777777" w:rsidR="00C102F1" w:rsidRDefault="00C102F1" w:rsidP="00C778D6">
            <w:pPr>
              <w:pStyle w:val="TableBodyText"/>
              <w:rPr>
                <w:lang w:eastAsia="en-US"/>
              </w:rPr>
            </w:pPr>
            <w:r>
              <w:rPr>
                <w:lang w:eastAsia="en-US"/>
              </w:rPr>
              <w:t>Maximum held: Nil</w:t>
            </w:r>
          </w:p>
        </w:tc>
        <w:tc>
          <w:tcPr>
            <w:tcW w:w="1104" w:type="pct"/>
          </w:tcPr>
          <w:p w14:paraId="0CAEF258" w14:textId="4C54EDAC" w:rsidR="00C102F1" w:rsidRDefault="00C102F1" w:rsidP="00C778D6">
            <w:pPr>
              <w:pStyle w:val="TableBodyText"/>
              <w:rPr>
                <w:lang w:eastAsia="en-US"/>
              </w:rPr>
            </w:pPr>
            <w:r>
              <w:rPr>
                <w:lang w:eastAsia="en-US"/>
              </w:rPr>
              <w:t xml:space="preserve">Attended: </w:t>
            </w:r>
            <w:r w:rsidR="00934BD5">
              <w:rPr>
                <w:lang w:eastAsia="en-US"/>
              </w:rPr>
              <w:t>Nil</w:t>
            </w:r>
          </w:p>
          <w:p w14:paraId="2E93D457" w14:textId="744DB688" w:rsidR="00C102F1" w:rsidRDefault="00C102F1" w:rsidP="00C778D6">
            <w:pPr>
              <w:pStyle w:val="TableBodyText"/>
              <w:rPr>
                <w:lang w:eastAsia="en-US"/>
              </w:rPr>
            </w:pPr>
            <w:r>
              <w:rPr>
                <w:lang w:eastAsia="en-US"/>
              </w:rPr>
              <w:t xml:space="preserve">Maximum held: </w:t>
            </w:r>
            <w:r w:rsidR="00934BD5">
              <w:rPr>
                <w:lang w:eastAsia="en-US"/>
              </w:rPr>
              <w:t>Nil</w:t>
            </w:r>
          </w:p>
        </w:tc>
        <w:tc>
          <w:tcPr>
            <w:tcW w:w="1026" w:type="pct"/>
          </w:tcPr>
          <w:p w14:paraId="7845D42F" w14:textId="63A7E574" w:rsidR="00C102F1" w:rsidRDefault="00C102F1" w:rsidP="00C778D6">
            <w:pPr>
              <w:pStyle w:val="TableBodyText"/>
              <w:rPr>
                <w:lang w:eastAsia="en-US"/>
              </w:rPr>
            </w:pPr>
            <w:r>
              <w:rPr>
                <w:lang w:eastAsia="en-US"/>
              </w:rPr>
              <w:t xml:space="preserve">Attended: </w:t>
            </w:r>
            <w:r w:rsidR="00934BD5">
              <w:rPr>
                <w:lang w:eastAsia="en-US"/>
              </w:rPr>
              <w:t>1</w:t>
            </w:r>
          </w:p>
          <w:p w14:paraId="29EA1353" w14:textId="02A52A66" w:rsidR="00C102F1" w:rsidRDefault="00C102F1" w:rsidP="00C778D6">
            <w:pPr>
              <w:pStyle w:val="TableBodyText"/>
              <w:rPr>
                <w:lang w:eastAsia="en-US"/>
              </w:rPr>
            </w:pPr>
            <w:r>
              <w:rPr>
                <w:lang w:eastAsia="en-US"/>
              </w:rPr>
              <w:t xml:space="preserve">Maximum held: </w:t>
            </w:r>
            <w:r w:rsidR="00934BD5">
              <w:rPr>
                <w:lang w:eastAsia="en-US"/>
              </w:rPr>
              <w:t>1</w:t>
            </w:r>
          </w:p>
        </w:tc>
      </w:tr>
    </w:tbl>
    <w:p w14:paraId="5D610892" w14:textId="0A8B0215" w:rsidR="00C102F1" w:rsidRDefault="00934BD5" w:rsidP="00C102F1">
      <w:pPr>
        <w:pStyle w:val="BodyText"/>
        <w:rPr>
          <w:lang w:eastAsia="en-US"/>
        </w:rPr>
      </w:pPr>
      <w:bookmarkStart w:id="696" w:name="NoteaDirReport"/>
      <w:r w:rsidRPr="00934BD5">
        <w:rPr>
          <w:lang w:eastAsia="en-US"/>
        </w:rPr>
        <w:t xml:space="preserve">(a) </w:t>
      </w:r>
      <w:bookmarkEnd w:id="696"/>
      <w:r w:rsidRPr="00934BD5">
        <w:rPr>
          <w:lang w:eastAsia="en-US"/>
        </w:rPr>
        <w:t>While the Managing Director is not a member of Board committees, he is invited to attend all committee meetings.</w:t>
      </w:r>
    </w:p>
    <w:p w14:paraId="3D6DDC25" w14:textId="77777777" w:rsidR="00934BD5" w:rsidRDefault="00934BD5" w:rsidP="002F4C86">
      <w:pPr>
        <w:pStyle w:val="Heading3"/>
      </w:pPr>
      <w:bookmarkStart w:id="697" w:name="_Toc89723090"/>
      <w:bookmarkStart w:id="698" w:name="_Toc90326033"/>
      <w:bookmarkStart w:id="699" w:name="_Toc93659439"/>
      <w:r>
        <w:t>Director benefits</w:t>
      </w:r>
      <w:bookmarkEnd w:id="697"/>
      <w:bookmarkEnd w:id="698"/>
      <w:bookmarkEnd w:id="699"/>
    </w:p>
    <w:p w14:paraId="373F3C24" w14:textId="5B3E301F" w:rsidR="00934BD5" w:rsidRDefault="00934BD5" w:rsidP="00934BD5">
      <w:pPr>
        <w:pStyle w:val="BodyText"/>
        <w:rPr>
          <w:lang w:eastAsia="en-US"/>
        </w:rPr>
      </w:pPr>
      <w:r>
        <w:rPr>
          <w:lang w:eastAsia="en-US"/>
        </w:rPr>
        <w:t xml:space="preserve">No director has received, or become entitled to receive, a benefit (other than a benefit included in Notes </w:t>
      </w:r>
      <w:r w:rsidR="00450381">
        <w:rPr>
          <w:lang w:eastAsia="en-US"/>
        </w:rPr>
        <w:fldChar w:fldCharType="begin"/>
      </w:r>
      <w:r w:rsidR="00450381">
        <w:rPr>
          <w:lang w:eastAsia="en-US"/>
        </w:rPr>
        <w:instrText xml:space="preserve"> REF Note72 \h </w:instrText>
      </w:r>
      <w:r w:rsidR="00450381">
        <w:rPr>
          <w:lang w:eastAsia="en-US"/>
        </w:rPr>
      </w:r>
      <w:r w:rsidR="00450381">
        <w:rPr>
          <w:lang w:eastAsia="en-US"/>
        </w:rPr>
        <w:fldChar w:fldCharType="separate"/>
      </w:r>
      <w:r w:rsidR="00472151">
        <w:t xml:space="preserve">7.2 </w:t>
      </w:r>
      <w:r w:rsidR="00450381">
        <w:rPr>
          <w:lang w:eastAsia="en-US"/>
        </w:rPr>
        <w:fldChar w:fldCharType="end"/>
      </w:r>
      <w:r>
        <w:rPr>
          <w:lang w:eastAsia="en-US"/>
        </w:rPr>
        <w:t xml:space="preserve"> and </w:t>
      </w:r>
      <w:r w:rsidR="00450381">
        <w:rPr>
          <w:lang w:eastAsia="en-US"/>
        </w:rPr>
        <w:fldChar w:fldCharType="begin"/>
      </w:r>
      <w:r w:rsidR="00450381">
        <w:rPr>
          <w:lang w:eastAsia="en-US"/>
        </w:rPr>
        <w:instrText xml:space="preserve"> REF Note74 \h </w:instrText>
      </w:r>
      <w:r w:rsidR="00450381">
        <w:rPr>
          <w:lang w:eastAsia="en-US"/>
        </w:rPr>
      </w:r>
      <w:r w:rsidR="00450381">
        <w:rPr>
          <w:lang w:eastAsia="en-US"/>
        </w:rPr>
        <w:fldChar w:fldCharType="separate"/>
      </w:r>
      <w:r w:rsidR="00472151">
        <w:t xml:space="preserve">7.4 </w:t>
      </w:r>
      <w:r w:rsidR="00450381">
        <w:rPr>
          <w:lang w:eastAsia="en-US"/>
        </w:rPr>
        <w:fldChar w:fldCharType="end"/>
      </w:r>
      <w:r>
        <w:rPr>
          <w:lang w:eastAsia="en-US"/>
        </w:rPr>
        <w:t>in the Financial Statements) because of a contract that the director, a firm of which the director is a member, or an entity in which the director has a substantial financial interest, has made (during the period ended 30 June 2021 or at any other time) with:</w:t>
      </w:r>
    </w:p>
    <w:p w14:paraId="0FF2F365" w14:textId="2134395A" w:rsidR="00934BD5" w:rsidRDefault="00934BD5" w:rsidP="00934BD5">
      <w:pPr>
        <w:pStyle w:val="ListBullet"/>
        <w:rPr>
          <w:lang w:eastAsia="en-US"/>
        </w:rPr>
      </w:pPr>
      <w:r>
        <w:rPr>
          <w:lang w:eastAsia="en-US"/>
        </w:rPr>
        <w:t>the Corporation; or</w:t>
      </w:r>
    </w:p>
    <w:p w14:paraId="28BF7B90" w14:textId="0F7804D4" w:rsidR="00934BD5" w:rsidRDefault="00934BD5" w:rsidP="00C778D6">
      <w:pPr>
        <w:pStyle w:val="ListBullet"/>
        <w:rPr>
          <w:lang w:eastAsia="en-US"/>
        </w:rPr>
      </w:pPr>
      <w:r>
        <w:rPr>
          <w:lang w:eastAsia="en-US"/>
        </w:rPr>
        <w:t>an entity that the Corporation controlled, or a body corporate that was related to the Corporation, when the contract was made or when the director received, or became entitled to receive, the benefit.</w:t>
      </w:r>
    </w:p>
    <w:p w14:paraId="54F3FDFB" w14:textId="77777777" w:rsidR="00934BD5" w:rsidRDefault="00934BD5" w:rsidP="002F4C86">
      <w:pPr>
        <w:pStyle w:val="Heading3"/>
      </w:pPr>
      <w:bookmarkStart w:id="700" w:name="_Toc89723091"/>
      <w:bookmarkStart w:id="701" w:name="_Toc90326034"/>
      <w:bookmarkStart w:id="702" w:name="_Toc93659440"/>
      <w:r>
        <w:t>Directors’ and officers’ liability insurance</w:t>
      </w:r>
      <w:bookmarkEnd w:id="700"/>
      <w:bookmarkEnd w:id="701"/>
      <w:bookmarkEnd w:id="702"/>
    </w:p>
    <w:p w14:paraId="5A18DD08" w14:textId="7CEA1DDD" w:rsidR="00934BD5" w:rsidRDefault="00934BD5" w:rsidP="00934BD5">
      <w:pPr>
        <w:pStyle w:val="BodyText"/>
        <w:rPr>
          <w:lang w:eastAsia="en-US"/>
        </w:rPr>
      </w:pPr>
      <w:r>
        <w:rPr>
          <w:lang w:eastAsia="en-US"/>
        </w:rPr>
        <w:t>During the financial year, the Corporation paid premiums to insure all directors and officers against certain liabilities. Disclosure of policy terms and the total amount of the premiums paid under this insurance policy is not permitted under the confidentiality provisions of the insurance contract.</w:t>
      </w:r>
    </w:p>
    <w:p w14:paraId="06E450CE" w14:textId="77777777" w:rsidR="00934BD5" w:rsidRDefault="00934BD5" w:rsidP="002F4C86">
      <w:pPr>
        <w:pStyle w:val="Heading3"/>
      </w:pPr>
      <w:bookmarkStart w:id="703" w:name="_Toc89723092"/>
      <w:bookmarkStart w:id="704" w:name="_Toc90326035"/>
      <w:bookmarkStart w:id="705" w:name="_Toc93659441"/>
      <w:r>
        <w:lastRenderedPageBreak/>
        <w:t>Interest in contracts</w:t>
      </w:r>
      <w:bookmarkEnd w:id="703"/>
      <w:bookmarkEnd w:id="704"/>
      <w:bookmarkEnd w:id="705"/>
    </w:p>
    <w:p w14:paraId="69298225" w14:textId="3F4D4A39" w:rsidR="00934BD5" w:rsidRDefault="00934BD5" w:rsidP="00934BD5">
      <w:pPr>
        <w:pStyle w:val="BodyText"/>
        <w:rPr>
          <w:lang w:eastAsia="en-US"/>
        </w:rPr>
      </w:pPr>
      <w:r>
        <w:rPr>
          <w:lang w:eastAsia="en-US"/>
        </w:rPr>
        <w:t xml:space="preserve">No contracts involving directors’ interests were entered into since the end of the previous financial year, or existed at the end of the 2020-21 financial year, other than the transactions detailed in Notes </w:t>
      </w:r>
      <w:r w:rsidR="00450381">
        <w:rPr>
          <w:lang w:eastAsia="en-US"/>
        </w:rPr>
        <w:fldChar w:fldCharType="begin"/>
      </w:r>
      <w:r w:rsidR="00450381">
        <w:rPr>
          <w:lang w:eastAsia="en-US"/>
        </w:rPr>
        <w:instrText xml:space="preserve"> REF Note72 \h </w:instrText>
      </w:r>
      <w:r w:rsidR="00450381">
        <w:rPr>
          <w:lang w:eastAsia="en-US"/>
        </w:rPr>
      </w:r>
      <w:r w:rsidR="00450381">
        <w:rPr>
          <w:lang w:eastAsia="en-US"/>
        </w:rPr>
        <w:fldChar w:fldCharType="separate"/>
      </w:r>
      <w:r w:rsidR="00472151">
        <w:t xml:space="preserve">7.2 </w:t>
      </w:r>
      <w:r w:rsidR="00450381">
        <w:rPr>
          <w:lang w:eastAsia="en-US"/>
        </w:rPr>
        <w:fldChar w:fldCharType="end"/>
      </w:r>
      <w:r>
        <w:rPr>
          <w:lang w:eastAsia="en-US"/>
        </w:rPr>
        <w:t xml:space="preserve">and </w:t>
      </w:r>
      <w:r w:rsidR="00450381">
        <w:rPr>
          <w:lang w:eastAsia="en-US"/>
        </w:rPr>
        <w:fldChar w:fldCharType="begin"/>
      </w:r>
      <w:r w:rsidR="00450381">
        <w:rPr>
          <w:lang w:eastAsia="en-US"/>
        </w:rPr>
        <w:instrText xml:space="preserve"> REF Note74 \h </w:instrText>
      </w:r>
      <w:r w:rsidR="00450381">
        <w:rPr>
          <w:lang w:eastAsia="en-US"/>
        </w:rPr>
      </w:r>
      <w:r w:rsidR="00450381">
        <w:rPr>
          <w:lang w:eastAsia="en-US"/>
        </w:rPr>
        <w:fldChar w:fldCharType="separate"/>
      </w:r>
      <w:r w:rsidR="00472151">
        <w:t xml:space="preserve">7.4 </w:t>
      </w:r>
      <w:r w:rsidR="00450381">
        <w:rPr>
          <w:lang w:eastAsia="en-US"/>
        </w:rPr>
        <w:fldChar w:fldCharType="end"/>
      </w:r>
      <w:r>
        <w:rPr>
          <w:lang w:eastAsia="en-US"/>
        </w:rPr>
        <w:t>to the Financial Statements.</w:t>
      </w:r>
    </w:p>
    <w:p w14:paraId="7872C4E4" w14:textId="77777777" w:rsidR="00934BD5" w:rsidRDefault="00934BD5" w:rsidP="002562FC">
      <w:pPr>
        <w:pStyle w:val="Heading3"/>
      </w:pPr>
      <w:bookmarkStart w:id="706" w:name="_Toc89723093"/>
      <w:bookmarkStart w:id="707" w:name="_Toc90326036"/>
      <w:bookmarkStart w:id="708" w:name="_Toc93659442"/>
      <w:r>
        <w:t>Principal activities</w:t>
      </w:r>
      <w:bookmarkEnd w:id="706"/>
      <w:bookmarkEnd w:id="707"/>
      <w:bookmarkEnd w:id="708"/>
    </w:p>
    <w:p w14:paraId="773B8DB5" w14:textId="7BB74CDA" w:rsidR="00934BD5" w:rsidRDefault="00934BD5" w:rsidP="00934BD5">
      <w:pPr>
        <w:pStyle w:val="BodyText"/>
        <w:rPr>
          <w:lang w:eastAsia="en-US"/>
        </w:rPr>
      </w:pPr>
      <w:r>
        <w:rPr>
          <w:lang w:eastAsia="en-US"/>
        </w:rPr>
        <w:t>The Corporation is owned by the State of Victoria. The Corporation manages and maintains Melbourne’s water supply catchments, removes and treats most of Melbourne’s sewage, and manages rivers, creeks and major waterways and drainage systems in the Port Phillip and Westernport regions. The Corporation delivers innovative integrated planning to establish Melbourne as a water sensitive city.</w:t>
      </w:r>
    </w:p>
    <w:p w14:paraId="132FB937" w14:textId="5BC1CADA" w:rsidR="000025B2" w:rsidRDefault="00934BD5" w:rsidP="00934BD5">
      <w:pPr>
        <w:pStyle w:val="BodyText"/>
        <w:rPr>
          <w:lang w:eastAsia="en-US"/>
        </w:rPr>
      </w:pPr>
      <w:r>
        <w:rPr>
          <w:lang w:eastAsia="en-US"/>
        </w:rPr>
        <w:t>The Corporation also provides wholesale water and sewerage services to Melbourne’s three metropolitan retail water companies, City West Water, South East Water and Yarra Valley Water, and water services to Western Water and Gippsland Water. The Corporation also has the capability to provide water services to other entities including South Gippsland Water, Westernport Water and Barwon Water. The Corporation works with local government, developers and the community to provide waterways and drainage services.</w:t>
      </w:r>
    </w:p>
    <w:p w14:paraId="58CA6214" w14:textId="77777777" w:rsidR="00114DCF" w:rsidRDefault="00114DCF" w:rsidP="002562FC">
      <w:pPr>
        <w:pStyle w:val="Heading3"/>
      </w:pPr>
      <w:bookmarkStart w:id="709" w:name="_Toc89723094"/>
      <w:bookmarkStart w:id="710" w:name="_Toc90326037"/>
      <w:bookmarkStart w:id="711" w:name="_Toc93659443"/>
      <w:r>
        <w:t>Operating results</w:t>
      </w:r>
      <w:bookmarkEnd w:id="709"/>
      <w:bookmarkEnd w:id="710"/>
      <w:bookmarkEnd w:id="711"/>
    </w:p>
    <w:p w14:paraId="0D2C37BD" w14:textId="4155A236" w:rsidR="00114DCF" w:rsidRDefault="00114DCF" w:rsidP="00114DCF">
      <w:pPr>
        <w:pStyle w:val="BodyText"/>
        <w:rPr>
          <w:lang w:eastAsia="en-US"/>
        </w:rPr>
      </w:pPr>
      <w:r>
        <w:rPr>
          <w:lang w:eastAsia="en-US"/>
        </w:rPr>
        <w:t>The Corporation’s profit, after providing for income tax was $192.0 million.</w:t>
      </w:r>
    </w:p>
    <w:p w14:paraId="7462FA3D" w14:textId="77777777" w:rsidR="00114DCF" w:rsidRDefault="00114DCF" w:rsidP="002562FC">
      <w:pPr>
        <w:pStyle w:val="Heading3"/>
      </w:pPr>
      <w:bookmarkStart w:id="712" w:name="_Toc89723095"/>
      <w:bookmarkStart w:id="713" w:name="_Toc90326038"/>
      <w:bookmarkStart w:id="714" w:name="_Toc93659444"/>
      <w:r>
        <w:t>Review of operations</w:t>
      </w:r>
      <w:bookmarkEnd w:id="712"/>
      <w:bookmarkEnd w:id="713"/>
      <w:bookmarkEnd w:id="714"/>
    </w:p>
    <w:p w14:paraId="5971865F" w14:textId="5AFC29AE" w:rsidR="00114DCF" w:rsidRDefault="00114DCF" w:rsidP="00114DCF">
      <w:pPr>
        <w:pStyle w:val="BodyText"/>
        <w:rPr>
          <w:lang w:eastAsia="en-US"/>
        </w:rPr>
      </w:pPr>
      <w:r>
        <w:rPr>
          <w:lang w:eastAsia="en-US"/>
        </w:rPr>
        <w:t xml:space="preserve">The directors’ review of the Corporation’s operations during the financial year ended 30 June 2021 is set out in the Report from the Chair and Managing Director on pages </w:t>
      </w:r>
      <w:r w:rsidR="00650CC7">
        <w:rPr>
          <w:lang w:eastAsia="en-US"/>
        </w:rPr>
        <w:fldChar w:fldCharType="begin"/>
      </w:r>
      <w:r w:rsidR="00650CC7">
        <w:rPr>
          <w:lang w:eastAsia="en-US"/>
        </w:rPr>
        <w:instrText xml:space="preserve"> PAGEREF _Ref89719072 \h </w:instrText>
      </w:r>
      <w:r w:rsidR="00650CC7">
        <w:rPr>
          <w:lang w:eastAsia="en-US"/>
        </w:rPr>
      </w:r>
      <w:r w:rsidR="00650CC7">
        <w:rPr>
          <w:lang w:eastAsia="en-US"/>
        </w:rPr>
        <w:fldChar w:fldCharType="separate"/>
      </w:r>
      <w:r w:rsidR="00472151">
        <w:rPr>
          <w:noProof/>
          <w:lang w:eastAsia="en-US"/>
        </w:rPr>
        <w:t>9</w:t>
      </w:r>
      <w:r w:rsidR="00650CC7">
        <w:rPr>
          <w:lang w:eastAsia="en-US"/>
        </w:rPr>
        <w:fldChar w:fldCharType="end"/>
      </w:r>
      <w:r>
        <w:rPr>
          <w:lang w:eastAsia="en-US"/>
        </w:rPr>
        <w:t>-</w:t>
      </w:r>
      <w:r w:rsidR="00650CC7">
        <w:rPr>
          <w:lang w:eastAsia="en-US"/>
        </w:rPr>
        <w:fldChar w:fldCharType="begin"/>
      </w:r>
      <w:r w:rsidR="00650CC7">
        <w:rPr>
          <w:lang w:eastAsia="en-US"/>
        </w:rPr>
        <w:instrText xml:space="preserve"> PAGEREF YearinReviewend \h </w:instrText>
      </w:r>
      <w:r w:rsidR="00650CC7">
        <w:rPr>
          <w:lang w:eastAsia="en-US"/>
        </w:rPr>
      </w:r>
      <w:r w:rsidR="00650CC7">
        <w:rPr>
          <w:lang w:eastAsia="en-US"/>
        </w:rPr>
        <w:fldChar w:fldCharType="separate"/>
      </w:r>
      <w:r w:rsidR="00472151">
        <w:rPr>
          <w:noProof/>
          <w:lang w:eastAsia="en-US"/>
        </w:rPr>
        <w:t>11</w:t>
      </w:r>
      <w:r w:rsidR="00650CC7">
        <w:rPr>
          <w:lang w:eastAsia="en-US"/>
        </w:rPr>
        <w:fldChar w:fldCharType="end"/>
      </w:r>
      <w:r>
        <w:rPr>
          <w:lang w:eastAsia="en-US"/>
        </w:rPr>
        <w:t xml:space="preserve"> of this report.</w:t>
      </w:r>
    </w:p>
    <w:p w14:paraId="733CBF1A" w14:textId="77777777" w:rsidR="00114DCF" w:rsidRDefault="00114DCF" w:rsidP="002562FC">
      <w:pPr>
        <w:pStyle w:val="Heading3"/>
      </w:pPr>
      <w:bookmarkStart w:id="715" w:name="_Toc89723096"/>
      <w:bookmarkStart w:id="716" w:name="_Toc90326039"/>
      <w:bookmarkStart w:id="717" w:name="_Toc93659445"/>
      <w:r>
        <w:t>State of affairs</w:t>
      </w:r>
      <w:bookmarkEnd w:id="715"/>
      <w:bookmarkEnd w:id="716"/>
      <w:bookmarkEnd w:id="717"/>
    </w:p>
    <w:p w14:paraId="47663531" w14:textId="16F20517" w:rsidR="00114DCF" w:rsidRDefault="00114DCF" w:rsidP="00114DCF">
      <w:pPr>
        <w:pStyle w:val="BodyText"/>
        <w:rPr>
          <w:lang w:eastAsia="en-US"/>
        </w:rPr>
      </w:pPr>
      <w:r>
        <w:rPr>
          <w:lang w:eastAsia="en-US"/>
        </w:rPr>
        <w:t>There were no significant changes in the state of affairs of the Corporation during the financial period ended 30 June 2021.</w:t>
      </w:r>
    </w:p>
    <w:p w14:paraId="0038CE38" w14:textId="491F4131" w:rsidR="00114DCF" w:rsidRDefault="00114DCF" w:rsidP="00114DCF">
      <w:pPr>
        <w:pStyle w:val="Heading2"/>
      </w:pPr>
      <w:bookmarkStart w:id="718" w:name="_Toc89723097"/>
      <w:bookmarkStart w:id="719" w:name="_Toc89723233"/>
      <w:bookmarkStart w:id="720" w:name="_Toc89723293"/>
      <w:bookmarkStart w:id="721" w:name="_Ref89805036"/>
      <w:bookmarkStart w:id="722" w:name="_Toc89860557"/>
      <w:bookmarkStart w:id="723" w:name="_Toc89860701"/>
      <w:bookmarkStart w:id="724" w:name="_Toc90326040"/>
      <w:bookmarkStart w:id="725" w:name="MelbWaterFinancialManagement"/>
      <w:bookmarkStart w:id="726" w:name="_Toc93659446"/>
      <w:r>
        <w:t>Melbourne Water Financial Management Compliance Attestation</w:t>
      </w:r>
      <w:bookmarkEnd w:id="718"/>
      <w:bookmarkEnd w:id="719"/>
      <w:bookmarkEnd w:id="720"/>
      <w:bookmarkEnd w:id="721"/>
      <w:bookmarkEnd w:id="722"/>
      <w:bookmarkEnd w:id="723"/>
      <w:bookmarkEnd w:id="724"/>
      <w:bookmarkEnd w:id="726"/>
    </w:p>
    <w:bookmarkEnd w:id="725"/>
    <w:p w14:paraId="60032E62" w14:textId="1DAEB76F" w:rsidR="000025B2" w:rsidRDefault="00114DCF" w:rsidP="00114DCF">
      <w:pPr>
        <w:pStyle w:val="BodyText"/>
        <w:rPr>
          <w:lang w:eastAsia="en-US"/>
        </w:rPr>
      </w:pPr>
      <w:r>
        <w:rPr>
          <w:lang w:eastAsia="en-US"/>
        </w:rPr>
        <w:t xml:space="preserve">I, John Thwaites, on behalf of the Board, certify that Melbourne Water has complied with the applicable Standing Directions made under the </w:t>
      </w:r>
      <w:r w:rsidRPr="00114DCF">
        <w:rPr>
          <w:rStyle w:val="ItalicText"/>
          <w:lang w:eastAsia="en-US"/>
        </w:rPr>
        <w:t>Financial Management Act 1994</w:t>
      </w:r>
      <w:r>
        <w:rPr>
          <w:lang w:eastAsia="en-US"/>
        </w:rPr>
        <w:t xml:space="preserve"> and Instructions.</w:t>
      </w:r>
    </w:p>
    <w:p w14:paraId="1C9106B4" w14:textId="77777777" w:rsidR="00114DCF" w:rsidRPr="00114DCF" w:rsidRDefault="00114DCF" w:rsidP="00114DCF">
      <w:r w:rsidRPr="00114DCF">
        <w:t>John Thwaites</w:t>
      </w:r>
    </w:p>
    <w:p w14:paraId="02BAF64B" w14:textId="77777777" w:rsidR="00114DCF" w:rsidRPr="00114DCF" w:rsidRDefault="00114DCF" w:rsidP="00114DCF">
      <w:r w:rsidRPr="00114DCF">
        <w:t>Chair</w:t>
      </w:r>
    </w:p>
    <w:p w14:paraId="144DC004" w14:textId="386DAF2A" w:rsidR="00934BD5" w:rsidRDefault="00114DCF" w:rsidP="00114DCF">
      <w:r w:rsidRPr="00114DCF">
        <w:t>27 August 2021</w:t>
      </w:r>
    </w:p>
    <w:p w14:paraId="62E5B326" w14:textId="2898CD61" w:rsidR="00114DCF" w:rsidRDefault="0067316B" w:rsidP="0067316B">
      <w:pPr>
        <w:pStyle w:val="Heading1"/>
      </w:pPr>
      <w:bookmarkStart w:id="727" w:name="_Toc89723098"/>
      <w:bookmarkStart w:id="728" w:name="_Toc89723234"/>
      <w:bookmarkStart w:id="729" w:name="_Toc89723294"/>
      <w:bookmarkStart w:id="730" w:name="_Toc89860558"/>
      <w:bookmarkStart w:id="731" w:name="_Toc89860702"/>
      <w:bookmarkStart w:id="732" w:name="_Toc90326041"/>
      <w:bookmarkStart w:id="733" w:name="_Toc93659447"/>
      <w:r>
        <w:lastRenderedPageBreak/>
        <w:t>Financial Report</w:t>
      </w:r>
      <w:bookmarkEnd w:id="727"/>
      <w:bookmarkEnd w:id="728"/>
      <w:bookmarkEnd w:id="729"/>
      <w:bookmarkEnd w:id="730"/>
      <w:bookmarkEnd w:id="731"/>
      <w:bookmarkEnd w:id="732"/>
      <w:bookmarkEnd w:id="733"/>
    </w:p>
    <w:p w14:paraId="5998AA38" w14:textId="77777777" w:rsidR="0067316B" w:rsidRPr="00ED4315" w:rsidRDefault="0067316B" w:rsidP="0067316B">
      <w:pPr>
        <w:pStyle w:val="Heading2"/>
      </w:pPr>
      <w:bookmarkStart w:id="734" w:name="_Toc89723099"/>
      <w:bookmarkStart w:id="735" w:name="_Toc89723235"/>
      <w:bookmarkStart w:id="736" w:name="_Toc89723295"/>
      <w:bookmarkStart w:id="737" w:name="_Toc89860559"/>
      <w:bookmarkStart w:id="738" w:name="_Toc89860703"/>
      <w:bookmarkStart w:id="739" w:name="_Toc90326042"/>
      <w:bookmarkStart w:id="740" w:name="_Toc93659448"/>
      <w:r w:rsidRPr="00ED4315">
        <w:t>How this Report is Structured</w:t>
      </w:r>
      <w:bookmarkEnd w:id="734"/>
      <w:bookmarkEnd w:id="735"/>
      <w:bookmarkEnd w:id="736"/>
      <w:bookmarkEnd w:id="737"/>
      <w:bookmarkEnd w:id="738"/>
      <w:bookmarkEnd w:id="739"/>
      <w:bookmarkEnd w:id="740"/>
    </w:p>
    <w:p w14:paraId="2FA5FA0E" w14:textId="64B630B0" w:rsidR="0067316B" w:rsidRPr="00ED4315" w:rsidRDefault="0067316B" w:rsidP="0067316B">
      <w:pPr>
        <w:pStyle w:val="BodyText"/>
      </w:pPr>
      <w:r w:rsidRPr="00ED4315">
        <w:t>Melbourne Water Corporation ('the Corporation') presents its audited general purpose financial statements for the financial year ended 30 June 2021. The following structure provides users with information about the Corporation's stewardship of resources entrusted to it.</w:t>
      </w:r>
    </w:p>
    <w:p w14:paraId="28D66894" w14:textId="77777777" w:rsidR="00124DE7" w:rsidRPr="00ED4315" w:rsidRDefault="00124DE7" w:rsidP="00ED4315">
      <w:pPr>
        <w:pStyle w:val="Heading2"/>
      </w:pPr>
      <w:bookmarkStart w:id="741" w:name="_Toc89860560"/>
      <w:bookmarkStart w:id="742" w:name="_Toc89860704"/>
      <w:bookmarkStart w:id="743" w:name="_Toc90326043"/>
      <w:bookmarkStart w:id="744" w:name="_Toc93659449"/>
      <w:r w:rsidRPr="00ED4315">
        <w:t>Financial statements</w:t>
      </w:r>
      <w:bookmarkEnd w:id="741"/>
      <w:bookmarkEnd w:id="742"/>
      <w:bookmarkEnd w:id="743"/>
      <w:bookmarkEnd w:id="744"/>
    </w:p>
    <w:p w14:paraId="1BDF2C4E" w14:textId="2522060B" w:rsidR="00124DE7" w:rsidRPr="00194E07" w:rsidRDefault="00194E07" w:rsidP="00194E07">
      <w:pPr>
        <w:rPr>
          <w:u w:val="single"/>
        </w:rPr>
      </w:pPr>
      <w:r w:rsidRPr="00194E07">
        <w:rPr>
          <w:color w:val="0000FF"/>
          <w:u w:val="single"/>
        </w:rPr>
        <w:fldChar w:fldCharType="begin"/>
      </w:r>
      <w:r w:rsidRPr="00194E07">
        <w:rPr>
          <w:color w:val="0000FF"/>
          <w:u w:val="single"/>
        </w:rPr>
        <w:instrText xml:space="preserve"> REF _Ref89811979 \h  \* MERGEFORMAT </w:instrText>
      </w:r>
      <w:r w:rsidRPr="00194E07">
        <w:rPr>
          <w:color w:val="0000FF"/>
          <w:u w:val="single"/>
        </w:rPr>
      </w:r>
      <w:r w:rsidRPr="00194E07">
        <w:rPr>
          <w:color w:val="0000FF"/>
          <w:u w:val="single"/>
        </w:rPr>
        <w:fldChar w:fldCharType="separate"/>
      </w:r>
      <w:r w:rsidR="00472151" w:rsidRPr="00472151">
        <w:rPr>
          <w:color w:val="0000FF"/>
          <w:u w:val="single"/>
        </w:rPr>
        <w:t>Statement of Profit or Loss and Other Comprehensive Income</w:t>
      </w:r>
      <w:r w:rsidRPr="00194E07">
        <w:rPr>
          <w:color w:val="0000FF"/>
          <w:u w:val="single"/>
        </w:rPr>
        <w:fldChar w:fldCharType="end"/>
      </w:r>
    </w:p>
    <w:p w14:paraId="5BB361D5" w14:textId="300A47C4" w:rsidR="00124DE7" w:rsidRPr="003940AD" w:rsidRDefault="003940AD" w:rsidP="00ED4315">
      <w:pPr>
        <w:spacing w:before="60" w:after="60"/>
        <w:rPr>
          <w:u w:val="single"/>
        </w:rPr>
      </w:pPr>
      <w:r w:rsidRPr="003940AD">
        <w:rPr>
          <w:color w:val="0000FF"/>
          <w:u w:val="single"/>
        </w:rPr>
        <w:fldChar w:fldCharType="begin"/>
      </w:r>
      <w:r w:rsidRPr="003940AD">
        <w:rPr>
          <w:color w:val="0000FF"/>
          <w:u w:val="single"/>
        </w:rPr>
        <w:instrText xml:space="preserve"> REF _Ref89812055 \h </w:instrText>
      </w:r>
      <w:r w:rsidRPr="003940AD">
        <w:rPr>
          <w:color w:val="0000FF"/>
          <w:u w:val="single"/>
        </w:rPr>
      </w:r>
      <w:r w:rsidRPr="003940AD">
        <w:rPr>
          <w:color w:val="0000FF"/>
          <w:u w:val="single"/>
        </w:rPr>
        <w:fldChar w:fldCharType="separate"/>
      </w:r>
      <w:r w:rsidR="00472151">
        <w:t xml:space="preserve">Statement of </w:t>
      </w:r>
      <w:r w:rsidR="00472151" w:rsidRPr="00EF49C6">
        <w:t>Changes</w:t>
      </w:r>
      <w:r w:rsidR="00472151">
        <w:t xml:space="preserve"> in Equity</w:t>
      </w:r>
      <w:r w:rsidRPr="003940AD">
        <w:rPr>
          <w:color w:val="0000FF"/>
          <w:u w:val="single"/>
        </w:rPr>
        <w:fldChar w:fldCharType="end"/>
      </w:r>
    </w:p>
    <w:p w14:paraId="138F5DC2" w14:textId="2D7440EC" w:rsidR="003940AD" w:rsidRPr="007C16EA" w:rsidRDefault="003940AD" w:rsidP="00ED4315">
      <w:pPr>
        <w:spacing w:before="60" w:after="60"/>
        <w:rPr>
          <w:u w:val="single"/>
        </w:rPr>
      </w:pPr>
      <w:r w:rsidRPr="007C16EA">
        <w:rPr>
          <w:color w:val="0000FF"/>
          <w:u w:val="single"/>
        </w:rPr>
        <w:fldChar w:fldCharType="begin"/>
      </w:r>
      <w:r w:rsidRPr="007C16EA">
        <w:rPr>
          <w:color w:val="0000FF"/>
          <w:u w:val="single"/>
        </w:rPr>
        <w:instrText xml:space="preserve"> REF _Ref89812071 \h </w:instrText>
      </w:r>
      <w:r w:rsidRPr="007C16EA">
        <w:rPr>
          <w:color w:val="0000FF"/>
          <w:u w:val="single"/>
        </w:rPr>
      </w:r>
      <w:r w:rsidRPr="007C16EA">
        <w:rPr>
          <w:color w:val="0000FF"/>
          <w:u w:val="single"/>
        </w:rPr>
        <w:fldChar w:fldCharType="separate"/>
      </w:r>
      <w:r w:rsidR="00472151">
        <w:t>Statement of Cash Flows</w:t>
      </w:r>
      <w:r w:rsidRPr="007C16EA">
        <w:rPr>
          <w:color w:val="0000FF"/>
          <w:u w:val="single"/>
        </w:rPr>
        <w:fldChar w:fldCharType="end"/>
      </w:r>
    </w:p>
    <w:p w14:paraId="55051023" w14:textId="402E7239" w:rsidR="00124DE7" w:rsidRDefault="00124DE7" w:rsidP="003940AD">
      <w:pPr>
        <w:pStyle w:val="Heading2"/>
      </w:pPr>
      <w:bookmarkStart w:id="745" w:name="_Toc89860561"/>
      <w:bookmarkStart w:id="746" w:name="_Toc89860705"/>
      <w:bookmarkStart w:id="747" w:name="_Toc90326044"/>
      <w:bookmarkStart w:id="748" w:name="_Toc93659450"/>
      <w:r w:rsidRPr="00ED4315">
        <w:t>Notes to the financial</w:t>
      </w:r>
      <w:r w:rsidR="003940AD">
        <w:t xml:space="preserve"> </w:t>
      </w:r>
      <w:r w:rsidRPr="00ED4315">
        <w:t>statements</w:t>
      </w:r>
      <w:bookmarkEnd w:id="745"/>
      <w:bookmarkEnd w:id="746"/>
      <w:bookmarkEnd w:id="747"/>
      <w:bookmarkEnd w:id="748"/>
    </w:p>
    <w:p w14:paraId="1AD3A140" w14:textId="04639055" w:rsidR="007C16EA" w:rsidRPr="005C7060" w:rsidRDefault="000F799D" w:rsidP="005C7060">
      <w:pPr>
        <w:spacing w:before="60" w:after="60"/>
        <w:rPr>
          <w:color w:val="0000FF"/>
          <w:u w:val="single"/>
        </w:rPr>
      </w:pPr>
      <w:r w:rsidRPr="005C7060">
        <w:rPr>
          <w:color w:val="0000FF"/>
          <w:u w:val="single"/>
        </w:rPr>
        <w:t xml:space="preserve">1. </w:t>
      </w:r>
      <w:r w:rsidR="007C16EA" w:rsidRPr="005C7060">
        <w:rPr>
          <w:color w:val="0000FF"/>
          <w:u w:val="single"/>
        </w:rPr>
        <w:fldChar w:fldCharType="begin"/>
      </w:r>
      <w:r w:rsidR="007C16EA" w:rsidRPr="005C7060">
        <w:rPr>
          <w:color w:val="0000FF"/>
          <w:u w:val="single"/>
        </w:rPr>
        <w:instrText xml:space="preserve"> REF _Ref89843352 \h  \* MERGEFORMAT </w:instrText>
      </w:r>
      <w:r w:rsidR="007C16EA" w:rsidRPr="005C7060">
        <w:rPr>
          <w:color w:val="0000FF"/>
          <w:u w:val="single"/>
        </w:rPr>
      </w:r>
      <w:r w:rsidR="007C16EA" w:rsidRPr="005C7060">
        <w:rPr>
          <w:color w:val="0000FF"/>
          <w:u w:val="single"/>
        </w:rPr>
        <w:fldChar w:fldCharType="separate"/>
      </w:r>
      <w:r w:rsidR="00472151" w:rsidRPr="00472151">
        <w:rPr>
          <w:color w:val="0000FF"/>
          <w:u w:val="single"/>
        </w:rPr>
        <w:t>About this Report</w:t>
      </w:r>
      <w:r w:rsidR="007C16EA" w:rsidRPr="005C7060">
        <w:rPr>
          <w:color w:val="0000FF"/>
          <w:u w:val="single"/>
        </w:rPr>
        <w:fldChar w:fldCharType="end"/>
      </w:r>
    </w:p>
    <w:p w14:paraId="4EB7119E" w14:textId="06F27A4F" w:rsidR="00124DE7" w:rsidRDefault="00124DE7" w:rsidP="005C7060">
      <w:pPr>
        <w:pStyle w:val="ListContinue"/>
        <w:spacing w:before="60" w:after="60"/>
      </w:pPr>
      <w:r w:rsidRPr="00ED4315">
        <w:t>The basis on which the financial statements have been prepared and compliance with</w:t>
      </w:r>
      <w:r w:rsidR="007C16EA">
        <w:t xml:space="preserve"> </w:t>
      </w:r>
      <w:r w:rsidRPr="00ED4315">
        <w:t>reporting regulations.</w:t>
      </w:r>
    </w:p>
    <w:p w14:paraId="198328FE" w14:textId="5B1556BD" w:rsidR="007C16EA" w:rsidRPr="005C7060" w:rsidRDefault="000F799D" w:rsidP="005C7060">
      <w:pPr>
        <w:spacing w:before="60" w:after="60"/>
        <w:rPr>
          <w:u w:val="single"/>
        </w:rPr>
      </w:pPr>
      <w:r w:rsidRPr="005C7060">
        <w:rPr>
          <w:color w:val="0000FF"/>
          <w:u w:val="single"/>
        </w:rPr>
        <w:t xml:space="preserve">2. </w:t>
      </w:r>
      <w:r w:rsidR="007C16EA" w:rsidRPr="005C7060">
        <w:rPr>
          <w:color w:val="0000FF"/>
          <w:u w:val="single"/>
        </w:rPr>
        <w:fldChar w:fldCharType="begin"/>
      </w:r>
      <w:r w:rsidR="007C16EA" w:rsidRPr="005C7060">
        <w:rPr>
          <w:color w:val="0000FF"/>
          <w:u w:val="single"/>
        </w:rPr>
        <w:instrText xml:space="preserve"> REF _Ref89843429 \h  \* MERGEFORMAT </w:instrText>
      </w:r>
      <w:r w:rsidR="007C16EA" w:rsidRPr="005C7060">
        <w:rPr>
          <w:color w:val="0000FF"/>
          <w:u w:val="single"/>
        </w:rPr>
      </w:r>
      <w:r w:rsidR="007C16EA" w:rsidRPr="005C7060">
        <w:rPr>
          <w:color w:val="0000FF"/>
          <w:u w:val="single"/>
        </w:rPr>
        <w:fldChar w:fldCharType="separate"/>
      </w:r>
      <w:r w:rsidR="00472151" w:rsidRPr="00472151">
        <w:rPr>
          <w:color w:val="0000FF"/>
          <w:u w:val="single"/>
        </w:rPr>
        <w:t>Funding Delivery of Our Services</w:t>
      </w:r>
      <w:r w:rsidR="007C16EA" w:rsidRPr="005C7060">
        <w:rPr>
          <w:color w:val="0000FF"/>
          <w:u w:val="single"/>
        </w:rPr>
        <w:fldChar w:fldCharType="end"/>
      </w:r>
    </w:p>
    <w:p w14:paraId="501C70FB" w14:textId="111E8ED6" w:rsidR="00124DE7" w:rsidRPr="000F799D" w:rsidRDefault="00124DE7" w:rsidP="005C7060">
      <w:pPr>
        <w:pStyle w:val="ListContinue"/>
        <w:spacing w:before="60" w:after="60"/>
      </w:pPr>
      <w:r w:rsidRPr="000F799D">
        <w:t>Revenue recognised from the provision of water, sewerage services, flood mitigation and</w:t>
      </w:r>
      <w:r w:rsidR="007C16EA" w:rsidRPr="000F799D">
        <w:t xml:space="preserve"> </w:t>
      </w:r>
      <w:r w:rsidRPr="000F799D">
        <w:t>environmental protection.</w:t>
      </w:r>
    </w:p>
    <w:p w14:paraId="1503B310" w14:textId="1F696214" w:rsidR="007C16EA" w:rsidRPr="00893ACF" w:rsidRDefault="007C16EA" w:rsidP="005C7060">
      <w:pPr>
        <w:spacing w:before="60" w:after="60"/>
        <w:ind w:left="340"/>
      </w:pPr>
      <w:r w:rsidRPr="00893ACF">
        <w:fldChar w:fldCharType="begin"/>
      </w:r>
      <w:r w:rsidRPr="00893ACF">
        <w:instrText xml:space="preserve"> REF _Ref89843459 \h </w:instrText>
      </w:r>
      <w:r w:rsidR="000F799D" w:rsidRPr="00893ACF">
        <w:instrText xml:space="preserve"> \* MERGEFORMAT </w:instrText>
      </w:r>
      <w:r w:rsidRPr="00893ACF">
        <w:fldChar w:fldCharType="separate"/>
      </w:r>
      <w:r w:rsidR="00472151" w:rsidRPr="00D84113">
        <w:t>2.1 Revenue from contracts with customers</w:t>
      </w:r>
      <w:r w:rsidRPr="00893ACF">
        <w:fldChar w:fldCharType="end"/>
      </w:r>
    </w:p>
    <w:p w14:paraId="4744B2A4" w14:textId="2705F2A6" w:rsidR="007C16EA" w:rsidRPr="00893ACF" w:rsidRDefault="007C16EA" w:rsidP="005C7060">
      <w:pPr>
        <w:spacing w:before="60" w:after="60"/>
        <w:ind w:left="340"/>
      </w:pPr>
      <w:r w:rsidRPr="00893ACF">
        <w:fldChar w:fldCharType="begin"/>
      </w:r>
      <w:r w:rsidRPr="00893ACF">
        <w:instrText xml:space="preserve"> REF _Ref89843488 \h </w:instrText>
      </w:r>
      <w:r w:rsidR="000F799D" w:rsidRPr="00893ACF">
        <w:instrText xml:space="preserve"> \* MERGEFORMAT </w:instrText>
      </w:r>
      <w:r w:rsidRPr="00893ACF">
        <w:fldChar w:fldCharType="separate"/>
      </w:r>
      <w:r w:rsidR="00472151">
        <w:t>2.2 Other income</w:t>
      </w:r>
      <w:r w:rsidRPr="00893ACF">
        <w:fldChar w:fldCharType="end"/>
      </w:r>
    </w:p>
    <w:p w14:paraId="59D1E744" w14:textId="573A2613" w:rsidR="007C16EA" w:rsidRPr="005C434E" w:rsidRDefault="007C16EA" w:rsidP="005C7060">
      <w:pPr>
        <w:spacing w:before="60" w:after="60"/>
        <w:ind w:left="340"/>
      </w:pPr>
      <w:r w:rsidRPr="00893ACF">
        <w:fldChar w:fldCharType="begin"/>
      </w:r>
      <w:r w:rsidRPr="00893ACF">
        <w:instrText xml:space="preserve"> REF _Ref89843502 \h </w:instrText>
      </w:r>
      <w:r w:rsidR="000F799D" w:rsidRPr="00893ACF">
        <w:instrText xml:space="preserve"> \* MERGEFORMAT </w:instrText>
      </w:r>
      <w:r w:rsidRPr="00893ACF">
        <w:fldChar w:fldCharType="separate"/>
      </w:r>
      <w:r w:rsidR="00472151">
        <w:t>2.3 Receivables</w:t>
      </w:r>
      <w:r w:rsidRPr="00893ACF">
        <w:fldChar w:fldCharType="end"/>
      </w:r>
    </w:p>
    <w:p w14:paraId="6419483D" w14:textId="0564445E" w:rsidR="007C16EA" w:rsidRPr="005C7060" w:rsidRDefault="000F799D" w:rsidP="005C7060">
      <w:pPr>
        <w:spacing w:before="60" w:after="60"/>
        <w:rPr>
          <w:color w:val="0000FF"/>
          <w:u w:val="single"/>
        </w:rPr>
      </w:pPr>
      <w:r w:rsidRPr="005C7060">
        <w:rPr>
          <w:color w:val="0000FF"/>
          <w:u w:val="single"/>
        </w:rPr>
        <w:t xml:space="preserve">3. </w:t>
      </w:r>
      <w:r w:rsidR="007C16EA" w:rsidRPr="005C7060">
        <w:rPr>
          <w:color w:val="0000FF"/>
          <w:u w:val="single"/>
        </w:rPr>
        <w:fldChar w:fldCharType="begin"/>
      </w:r>
      <w:r w:rsidR="007C16EA" w:rsidRPr="005C7060">
        <w:rPr>
          <w:color w:val="0000FF"/>
          <w:u w:val="single"/>
        </w:rPr>
        <w:instrText xml:space="preserve"> REF _Ref89843510 \h  \* MERGEFORMAT </w:instrText>
      </w:r>
      <w:r w:rsidR="007C16EA" w:rsidRPr="005C7060">
        <w:rPr>
          <w:color w:val="0000FF"/>
          <w:u w:val="single"/>
        </w:rPr>
      </w:r>
      <w:r w:rsidR="007C16EA" w:rsidRPr="005C7060">
        <w:rPr>
          <w:color w:val="0000FF"/>
          <w:u w:val="single"/>
        </w:rPr>
        <w:fldChar w:fldCharType="separate"/>
      </w:r>
      <w:r w:rsidR="00472151" w:rsidRPr="00472151">
        <w:rPr>
          <w:color w:val="0000FF"/>
          <w:u w:val="single"/>
        </w:rPr>
        <w:t>The Cost of Delivering Our Services</w:t>
      </w:r>
      <w:r w:rsidR="007C16EA" w:rsidRPr="005C7060">
        <w:rPr>
          <w:color w:val="0000FF"/>
          <w:u w:val="single"/>
        </w:rPr>
        <w:fldChar w:fldCharType="end"/>
      </w:r>
    </w:p>
    <w:p w14:paraId="73A82770" w14:textId="35143A9C" w:rsidR="00124DE7" w:rsidRPr="005C434E" w:rsidRDefault="00124DE7" w:rsidP="005C7060">
      <w:pPr>
        <w:pStyle w:val="ListContinue"/>
        <w:spacing w:before="60" w:after="60"/>
      </w:pPr>
      <w:r w:rsidRPr="005C434E">
        <w:t>Operating costs of the Corporation.</w:t>
      </w:r>
    </w:p>
    <w:p w14:paraId="313153D8" w14:textId="0A54454B"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_Ref89843542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3.1 Operational expenses</w:t>
      </w:r>
      <w:r w:rsidRPr="005C434E">
        <w:rPr>
          <w:rStyle w:val="Hyperlink"/>
          <w:color w:val="auto"/>
          <w:u w:val="none"/>
        </w:rPr>
        <w:fldChar w:fldCharType="end"/>
      </w:r>
    </w:p>
    <w:p w14:paraId="5DF21E5D" w14:textId="7CD9E156"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_Ref89843554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3.2 Employee benefits expenses and employee benefits provision</w:t>
      </w:r>
      <w:r w:rsidRPr="005C434E">
        <w:rPr>
          <w:rStyle w:val="Hyperlink"/>
          <w:color w:val="auto"/>
          <w:u w:val="none"/>
        </w:rPr>
        <w:fldChar w:fldCharType="end"/>
      </w:r>
    </w:p>
    <w:p w14:paraId="539377AF" w14:textId="4A38CC53"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_Ref89843564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3.3 Repairs and maintenance expenses</w:t>
      </w:r>
      <w:r w:rsidRPr="005C434E">
        <w:rPr>
          <w:rStyle w:val="Hyperlink"/>
          <w:color w:val="auto"/>
          <w:u w:val="none"/>
        </w:rPr>
        <w:fldChar w:fldCharType="end"/>
      </w:r>
    </w:p>
    <w:p w14:paraId="200B56B2" w14:textId="5B18C531" w:rsidR="00124DE7"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_Ref89843579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3.4 Administrative expenses</w:t>
      </w:r>
      <w:r w:rsidRPr="005C434E">
        <w:rPr>
          <w:rStyle w:val="Hyperlink"/>
          <w:color w:val="auto"/>
          <w:u w:val="none"/>
        </w:rPr>
        <w:fldChar w:fldCharType="end"/>
      </w:r>
    </w:p>
    <w:p w14:paraId="15AAF9B7" w14:textId="32F6486B"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_Ref89843593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3.5 Government rates and taxes</w:t>
      </w:r>
      <w:r w:rsidRPr="005C434E">
        <w:rPr>
          <w:rStyle w:val="Hyperlink"/>
          <w:color w:val="auto"/>
          <w:u w:val="none"/>
        </w:rPr>
        <w:fldChar w:fldCharType="end"/>
      </w:r>
    </w:p>
    <w:p w14:paraId="505F10FF" w14:textId="256CC3F1"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_Ref89843601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3.6 Asset transfers to council</w:t>
      </w:r>
      <w:r w:rsidRPr="005C434E">
        <w:rPr>
          <w:rStyle w:val="Hyperlink"/>
          <w:color w:val="auto"/>
          <w:u w:val="none"/>
        </w:rPr>
        <w:fldChar w:fldCharType="end"/>
      </w:r>
    </w:p>
    <w:p w14:paraId="1209276C" w14:textId="7D40967B"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_Ref89843612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3.7 Other expenses</w:t>
      </w:r>
      <w:r w:rsidRPr="005C434E">
        <w:rPr>
          <w:rStyle w:val="Hyperlink"/>
          <w:color w:val="auto"/>
          <w:u w:val="none"/>
        </w:rPr>
        <w:fldChar w:fldCharType="end"/>
      </w:r>
    </w:p>
    <w:p w14:paraId="3B481148" w14:textId="6B1FEBE7"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_Ref89843622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3.8 Income and deferred tax</w:t>
      </w:r>
      <w:r w:rsidRPr="005C434E">
        <w:rPr>
          <w:rStyle w:val="Hyperlink"/>
          <w:color w:val="auto"/>
          <w:u w:val="none"/>
        </w:rPr>
        <w:fldChar w:fldCharType="end"/>
      </w:r>
    </w:p>
    <w:p w14:paraId="07041F62" w14:textId="1921472E"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_Ref89843633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3.9 Payables</w:t>
      </w:r>
      <w:r w:rsidRPr="005C434E">
        <w:rPr>
          <w:rStyle w:val="Hyperlink"/>
          <w:color w:val="auto"/>
          <w:u w:val="none"/>
        </w:rPr>
        <w:fldChar w:fldCharType="end"/>
      </w:r>
    </w:p>
    <w:p w14:paraId="67EA985D" w14:textId="3E982C68" w:rsidR="007C16EA" w:rsidRPr="005C434E" w:rsidRDefault="007C16EA"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_Ref89843641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3.10 Contract liabilities</w:t>
      </w:r>
      <w:r w:rsidRPr="005C434E">
        <w:rPr>
          <w:rStyle w:val="Hyperlink"/>
          <w:color w:val="auto"/>
          <w:u w:val="none"/>
        </w:rPr>
        <w:fldChar w:fldCharType="end"/>
      </w:r>
    </w:p>
    <w:p w14:paraId="2F7AF924" w14:textId="211CCAC2" w:rsidR="003F59C6" w:rsidRPr="005C434E" w:rsidRDefault="003F59C6"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_Ref89843652 \h </w:instrText>
      </w:r>
      <w:r w:rsidR="005C434E" w:rsidRPr="005C434E">
        <w:rPr>
          <w:rStyle w:val="Hyperlink"/>
          <w:color w:val="auto"/>
          <w:u w:val="none"/>
        </w:rPr>
        <w:instrText xml:space="preserve"> \* MERGEFORMAT </w:instrText>
      </w:r>
      <w:r w:rsidRPr="005C434E">
        <w:rPr>
          <w:rStyle w:val="Hyperlink"/>
          <w:color w:val="auto"/>
          <w:u w:val="none"/>
        </w:rPr>
      </w:r>
      <w:r w:rsidRPr="005C434E">
        <w:rPr>
          <w:rStyle w:val="Hyperlink"/>
          <w:color w:val="auto"/>
          <w:u w:val="none"/>
        </w:rPr>
        <w:fldChar w:fldCharType="separate"/>
      </w:r>
      <w:r w:rsidR="00472151" w:rsidRPr="00472151">
        <w:rPr>
          <w:rStyle w:val="Hyperlink"/>
          <w:color w:val="auto"/>
          <w:u w:val="none"/>
        </w:rPr>
        <w:t>3.11 Other current assets</w:t>
      </w:r>
      <w:r w:rsidRPr="005C434E">
        <w:rPr>
          <w:rStyle w:val="Hyperlink"/>
          <w:color w:val="auto"/>
          <w:u w:val="none"/>
        </w:rPr>
        <w:fldChar w:fldCharType="end"/>
      </w:r>
    </w:p>
    <w:p w14:paraId="1EA92802" w14:textId="65B3A106" w:rsidR="0047742E" w:rsidRPr="005C434E" w:rsidRDefault="0047742E" w:rsidP="00157AB3">
      <w:pPr>
        <w:spacing w:before="60" w:after="60"/>
        <w:ind w:left="340"/>
        <w:rPr>
          <w:rStyle w:val="Hyperlink"/>
          <w:color w:val="auto"/>
          <w:u w:val="none"/>
        </w:rPr>
      </w:pPr>
      <w:r w:rsidRPr="005C434E">
        <w:rPr>
          <w:rStyle w:val="Hyperlink"/>
          <w:color w:val="auto"/>
          <w:u w:val="none"/>
        </w:rPr>
        <w:fldChar w:fldCharType="begin"/>
      </w:r>
      <w:r w:rsidRPr="005C434E">
        <w:rPr>
          <w:rStyle w:val="Hyperlink"/>
          <w:color w:val="auto"/>
          <w:u w:val="none"/>
        </w:rPr>
        <w:instrText xml:space="preserve"> REF _Ref89844001 \h </w:instrText>
      </w:r>
      <w:r w:rsidRPr="005C434E">
        <w:rPr>
          <w:rStyle w:val="Hyperlink"/>
          <w:color w:val="auto"/>
          <w:u w:val="none"/>
        </w:rPr>
      </w:r>
      <w:r w:rsidRPr="005C434E">
        <w:rPr>
          <w:rStyle w:val="Hyperlink"/>
          <w:color w:val="auto"/>
          <w:u w:val="none"/>
        </w:rPr>
        <w:fldChar w:fldCharType="separate"/>
      </w:r>
      <w:r w:rsidR="00472151">
        <w:t>3.12 Provisions</w:t>
      </w:r>
      <w:r w:rsidRPr="005C434E">
        <w:rPr>
          <w:rStyle w:val="Hyperlink"/>
          <w:color w:val="auto"/>
          <w:u w:val="none"/>
        </w:rPr>
        <w:fldChar w:fldCharType="end"/>
      </w:r>
    </w:p>
    <w:p w14:paraId="62578668" w14:textId="2A7275F9" w:rsidR="0047742E" w:rsidRPr="00157AB3" w:rsidRDefault="000F799D" w:rsidP="005C7060">
      <w:pPr>
        <w:spacing w:before="60" w:after="60"/>
        <w:rPr>
          <w:u w:val="single"/>
        </w:rPr>
      </w:pPr>
      <w:r w:rsidRPr="00157AB3">
        <w:rPr>
          <w:color w:val="0000FF"/>
          <w:u w:val="single"/>
        </w:rPr>
        <w:t xml:space="preserve">4. </w:t>
      </w:r>
      <w:r w:rsidR="0047742E" w:rsidRPr="00157AB3">
        <w:rPr>
          <w:color w:val="0000FF"/>
          <w:u w:val="single"/>
        </w:rPr>
        <w:fldChar w:fldCharType="begin"/>
      </w:r>
      <w:r w:rsidR="0047742E" w:rsidRPr="00157AB3">
        <w:rPr>
          <w:color w:val="0000FF"/>
          <w:u w:val="single"/>
        </w:rPr>
        <w:instrText xml:space="preserve"> REF _Ref89844026 \h  \* MERGEFORMAT </w:instrText>
      </w:r>
      <w:r w:rsidR="0047742E" w:rsidRPr="00157AB3">
        <w:rPr>
          <w:color w:val="0000FF"/>
          <w:u w:val="single"/>
        </w:rPr>
      </w:r>
      <w:r w:rsidR="0047742E" w:rsidRPr="00157AB3">
        <w:rPr>
          <w:color w:val="0000FF"/>
          <w:u w:val="single"/>
        </w:rPr>
        <w:fldChar w:fldCharType="separate"/>
      </w:r>
      <w:r w:rsidR="00472151" w:rsidRPr="00472151">
        <w:rPr>
          <w:color w:val="0000FF"/>
          <w:u w:val="single"/>
        </w:rPr>
        <w:t>Assets Available to Support Output Delivery</w:t>
      </w:r>
      <w:r w:rsidR="0047742E" w:rsidRPr="00157AB3">
        <w:rPr>
          <w:color w:val="0000FF"/>
          <w:u w:val="single"/>
        </w:rPr>
        <w:fldChar w:fldCharType="end"/>
      </w:r>
    </w:p>
    <w:p w14:paraId="785F8FB2" w14:textId="5E83DE21" w:rsidR="00124DE7"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_Ref89844038 \h </w:instrText>
      </w:r>
      <w:r w:rsidRPr="002715CB">
        <w:rPr>
          <w:color w:val="0000FF"/>
          <w:u w:val="single"/>
        </w:rPr>
      </w:r>
      <w:r w:rsidRPr="002715CB">
        <w:rPr>
          <w:color w:val="0000FF"/>
          <w:u w:val="single"/>
        </w:rPr>
        <w:fldChar w:fldCharType="separate"/>
      </w:r>
      <w:r w:rsidR="00472151">
        <w:t>4.1 Land, buildings, infrastructure, plant and equipment and service concession arrangements</w:t>
      </w:r>
      <w:r w:rsidRPr="002715CB">
        <w:rPr>
          <w:color w:val="0000FF"/>
          <w:u w:val="single"/>
        </w:rPr>
        <w:fldChar w:fldCharType="end"/>
      </w:r>
    </w:p>
    <w:p w14:paraId="40A4449A" w14:textId="2BAEA42C"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_Ref89844062 \h </w:instrText>
      </w:r>
      <w:r w:rsidRPr="002715CB">
        <w:rPr>
          <w:color w:val="0000FF"/>
          <w:u w:val="single"/>
        </w:rPr>
      </w:r>
      <w:r w:rsidRPr="002715CB">
        <w:rPr>
          <w:color w:val="0000FF"/>
          <w:u w:val="single"/>
        </w:rPr>
        <w:fldChar w:fldCharType="separate"/>
      </w:r>
      <w:r w:rsidR="00472151">
        <w:t>4.2 Intangible assets</w:t>
      </w:r>
      <w:r w:rsidRPr="002715CB">
        <w:rPr>
          <w:color w:val="0000FF"/>
          <w:u w:val="single"/>
        </w:rPr>
        <w:fldChar w:fldCharType="end"/>
      </w:r>
    </w:p>
    <w:p w14:paraId="6807B815" w14:textId="4308A2E1"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_Ref89844073 \h </w:instrText>
      </w:r>
      <w:r w:rsidRPr="002715CB">
        <w:rPr>
          <w:color w:val="0000FF"/>
          <w:u w:val="single"/>
        </w:rPr>
      </w:r>
      <w:r w:rsidRPr="002715CB">
        <w:rPr>
          <w:color w:val="0000FF"/>
          <w:u w:val="single"/>
        </w:rPr>
        <w:fldChar w:fldCharType="separate"/>
      </w:r>
      <w:r w:rsidR="00472151" w:rsidRPr="00F82928">
        <w:t>4.3 Non-current assets held for sale</w:t>
      </w:r>
      <w:r w:rsidRPr="002715CB">
        <w:rPr>
          <w:color w:val="0000FF"/>
          <w:u w:val="single"/>
        </w:rPr>
        <w:fldChar w:fldCharType="end"/>
      </w:r>
    </w:p>
    <w:p w14:paraId="76F164C3" w14:textId="30B0BF2B"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_Ref89844082 \h </w:instrText>
      </w:r>
      <w:r w:rsidRPr="002715CB">
        <w:rPr>
          <w:color w:val="0000FF"/>
          <w:u w:val="single"/>
        </w:rPr>
      </w:r>
      <w:r w:rsidRPr="002715CB">
        <w:rPr>
          <w:color w:val="0000FF"/>
          <w:u w:val="single"/>
        </w:rPr>
        <w:fldChar w:fldCharType="separate"/>
      </w:r>
      <w:r w:rsidR="00472151">
        <w:t>4.4 Right of use assets and leases</w:t>
      </w:r>
      <w:r w:rsidRPr="002715CB">
        <w:rPr>
          <w:color w:val="0000FF"/>
          <w:u w:val="single"/>
        </w:rPr>
        <w:fldChar w:fldCharType="end"/>
      </w:r>
    </w:p>
    <w:p w14:paraId="7332121D" w14:textId="4A3A0214" w:rsidR="0047742E" w:rsidRPr="00157AB3" w:rsidRDefault="000F799D" w:rsidP="002715CB">
      <w:pPr>
        <w:keepNext/>
        <w:spacing w:before="60" w:after="60"/>
        <w:rPr>
          <w:u w:val="single"/>
        </w:rPr>
      </w:pPr>
      <w:r w:rsidRPr="00157AB3">
        <w:rPr>
          <w:color w:val="0000FF"/>
          <w:u w:val="single"/>
        </w:rPr>
        <w:lastRenderedPageBreak/>
        <w:t xml:space="preserve">5. </w:t>
      </w:r>
      <w:r w:rsidR="0047742E" w:rsidRPr="00157AB3">
        <w:rPr>
          <w:color w:val="0000FF"/>
          <w:u w:val="single"/>
        </w:rPr>
        <w:fldChar w:fldCharType="begin"/>
      </w:r>
      <w:r w:rsidR="0047742E" w:rsidRPr="00157AB3">
        <w:rPr>
          <w:color w:val="0000FF"/>
          <w:u w:val="single"/>
        </w:rPr>
        <w:instrText xml:space="preserve"> REF _Ref89844093 \h  \* MERGEFORMAT </w:instrText>
      </w:r>
      <w:r w:rsidR="0047742E" w:rsidRPr="00157AB3">
        <w:rPr>
          <w:color w:val="0000FF"/>
          <w:u w:val="single"/>
        </w:rPr>
      </w:r>
      <w:r w:rsidR="0047742E" w:rsidRPr="00157AB3">
        <w:rPr>
          <w:color w:val="0000FF"/>
          <w:u w:val="single"/>
        </w:rPr>
        <w:fldChar w:fldCharType="separate"/>
      </w:r>
      <w:r w:rsidR="00472151" w:rsidRPr="00472151">
        <w:rPr>
          <w:color w:val="0000FF"/>
          <w:u w:val="single"/>
        </w:rPr>
        <w:t>Financing Our Operations</w:t>
      </w:r>
      <w:r w:rsidR="0047742E" w:rsidRPr="00157AB3">
        <w:rPr>
          <w:color w:val="0000FF"/>
          <w:u w:val="single"/>
        </w:rPr>
        <w:fldChar w:fldCharType="end"/>
      </w:r>
    </w:p>
    <w:p w14:paraId="0189E146" w14:textId="2DE3D677" w:rsidR="00124DE7" w:rsidRPr="00ED4315" w:rsidRDefault="00124DE7" w:rsidP="005C7060">
      <w:pPr>
        <w:pStyle w:val="ListContinue"/>
        <w:spacing w:before="60" w:after="60"/>
      </w:pPr>
      <w:r w:rsidRPr="00ED4315">
        <w:t>Borrowings, cash flow information and leases.</w:t>
      </w:r>
    </w:p>
    <w:p w14:paraId="420C6219" w14:textId="2B91D2C7"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_Ref89844120 \h </w:instrText>
      </w:r>
      <w:r w:rsidRPr="002715CB">
        <w:rPr>
          <w:color w:val="0000FF"/>
          <w:u w:val="single"/>
        </w:rPr>
      </w:r>
      <w:r w:rsidRPr="002715CB">
        <w:rPr>
          <w:color w:val="0000FF"/>
          <w:u w:val="single"/>
        </w:rPr>
        <w:fldChar w:fldCharType="separate"/>
      </w:r>
      <w:r w:rsidR="00472151" w:rsidRPr="00300324">
        <w:t>5.1 Interest bearing liabilities</w:t>
      </w:r>
      <w:r w:rsidRPr="002715CB">
        <w:rPr>
          <w:color w:val="0000FF"/>
          <w:u w:val="single"/>
        </w:rPr>
        <w:fldChar w:fldCharType="end"/>
      </w:r>
    </w:p>
    <w:p w14:paraId="6D4E87D3" w14:textId="1397A0C1"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_Ref89844130 \h </w:instrText>
      </w:r>
      <w:r w:rsidRPr="002715CB">
        <w:rPr>
          <w:color w:val="0000FF"/>
          <w:u w:val="single"/>
        </w:rPr>
      </w:r>
      <w:r w:rsidRPr="002715CB">
        <w:rPr>
          <w:color w:val="0000FF"/>
          <w:u w:val="single"/>
        </w:rPr>
        <w:fldChar w:fldCharType="separate"/>
      </w:r>
      <w:r w:rsidR="00472151">
        <w:t>5.2 Cash flow information and balances</w:t>
      </w:r>
      <w:r w:rsidRPr="002715CB">
        <w:rPr>
          <w:color w:val="0000FF"/>
          <w:u w:val="single"/>
        </w:rPr>
        <w:fldChar w:fldCharType="end"/>
      </w:r>
    </w:p>
    <w:p w14:paraId="3DD39179" w14:textId="166979BD"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_Ref89844138 \h </w:instrText>
      </w:r>
      <w:r w:rsidRPr="002715CB">
        <w:rPr>
          <w:color w:val="0000FF"/>
          <w:u w:val="single"/>
        </w:rPr>
      </w:r>
      <w:r w:rsidRPr="002715CB">
        <w:rPr>
          <w:color w:val="0000FF"/>
          <w:u w:val="single"/>
        </w:rPr>
        <w:fldChar w:fldCharType="separate"/>
      </w:r>
      <w:r w:rsidR="00472151">
        <w:t>5.3 Commitments</w:t>
      </w:r>
      <w:r w:rsidRPr="002715CB">
        <w:rPr>
          <w:color w:val="0000FF"/>
          <w:u w:val="single"/>
        </w:rPr>
        <w:fldChar w:fldCharType="end"/>
      </w:r>
    </w:p>
    <w:p w14:paraId="7B09D324" w14:textId="2A41F66B"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_Ref89844148 \h </w:instrText>
      </w:r>
      <w:r w:rsidRPr="002715CB">
        <w:rPr>
          <w:color w:val="0000FF"/>
          <w:u w:val="single"/>
        </w:rPr>
      </w:r>
      <w:r w:rsidRPr="002715CB">
        <w:rPr>
          <w:color w:val="0000FF"/>
          <w:u w:val="single"/>
        </w:rPr>
        <w:fldChar w:fldCharType="separate"/>
      </w:r>
      <w:r w:rsidR="00472151">
        <w:t>5.4 Victorian Desalination Plant service concession arrangement</w:t>
      </w:r>
      <w:r w:rsidRPr="002715CB">
        <w:rPr>
          <w:color w:val="0000FF"/>
          <w:u w:val="single"/>
        </w:rPr>
        <w:fldChar w:fldCharType="end"/>
      </w:r>
    </w:p>
    <w:p w14:paraId="035467C9" w14:textId="07A75E20" w:rsidR="0047742E" w:rsidRPr="00157AB3" w:rsidRDefault="000F799D" w:rsidP="005C7060">
      <w:pPr>
        <w:spacing w:before="60" w:after="60"/>
        <w:rPr>
          <w:u w:val="single"/>
        </w:rPr>
      </w:pPr>
      <w:r w:rsidRPr="00157AB3">
        <w:rPr>
          <w:color w:val="0000FF"/>
          <w:u w:val="single"/>
        </w:rPr>
        <w:t xml:space="preserve">6. </w:t>
      </w:r>
      <w:r w:rsidR="0047742E" w:rsidRPr="00157AB3">
        <w:rPr>
          <w:color w:val="0000FF"/>
          <w:u w:val="single"/>
        </w:rPr>
        <w:fldChar w:fldCharType="begin"/>
      </w:r>
      <w:r w:rsidR="0047742E" w:rsidRPr="00157AB3">
        <w:rPr>
          <w:color w:val="0000FF"/>
          <w:u w:val="single"/>
        </w:rPr>
        <w:instrText xml:space="preserve"> REF _Ref89844180 \h  \* MERGEFORMAT </w:instrText>
      </w:r>
      <w:r w:rsidR="0047742E" w:rsidRPr="00157AB3">
        <w:rPr>
          <w:color w:val="0000FF"/>
          <w:u w:val="single"/>
        </w:rPr>
      </w:r>
      <w:r w:rsidR="0047742E" w:rsidRPr="00157AB3">
        <w:rPr>
          <w:color w:val="0000FF"/>
          <w:u w:val="single"/>
        </w:rPr>
        <w:fldChar w:fldCharType="separate"/>
      </w:r>
      <w:r w:rsidR="00472151" w:rsidRPr="00472151">
        <w:rPr>
          <w:color w:val="0000FF"/>
          <w:u w:val="single"/>
        </w:rPr>
        <w:t>Risk management</w:t>
      </w:r>
      <w:r w:rsidR="0047742E" w:rsidRPr="00157AB3">
        <w:rPr>
          <w:color w:val="0000FF"/>
          <w:u w:val="single"/>
        </w:rPr>
        <w:fldChar w:fldCharType="end"/>
      </w:r>
    </w:p>
    <w:p w14:paraId="0F04C75E" w14:textId="5DFD00FF" w:rsidR="00E9063A" w:rsidRPr="00ED4315" w:rsidRDefault="00E9063A" w:rsidP="005C7060">
      <w:pPr>
        <w:pStyle w:val="ListContinue"/>
        <w:spacing w:before="60" w:after="60"/>
      </w:pPr>
      <w:r w:rsidRPr="00ED4315">
        <w:t>Financial risk management, contingent assets and liabilities as well as fair value determination</w:t>
      </w:r>
      <w:r w:rsidR="0047742E">
        <w:t xml:space="preserve"> </w:t>
      </w:r>
      <w:r w:rsidRPr="00ED4315">
        <w:t>of financial assets and liabilities.</w:t>
      </w:r>
    </w:p>
    <w:p w14:paraId="2660421B" w14:textId="1E2BE8CC"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_Ref89844197 \h </w:instrText>
      </w:r>
      <w:r w:rsidRPr="002715CB">
        <w:rPr>
          <w:color w:val="0000FF"/>
          <w:u w:val="single"/>
        </w:rPr>
      </w:r>
      <w:r w:rsidRPr="002715CB">
        <w:rPr>
          <w:color w:val="0000FF"/>
          <w:u w:val="single"/>
        </w:rPr>
        <w:fldChar w:fldCharType="separate"/>
      </w:r>
      <w:r w:rsidR="00472151">
        <w:t>6.1 Financial instruments</w:t>
      </w:r>
      <w:r w:rsidRPr="002715CB">
        <w:rPr>
          <w:color w:val="0000FF"/>
          <w:u w:val="single"/>
        </w:rPr>
        <w:fldChar w:fldCharType="end"/>
      </w:r>
    </w:p>
    <w:p w14:paraId="6B13AA67" w14:textId="7FF1A100"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_Ref89844204 \h </w:instrText>
      </w:r>
      <w:r w:rsidRPr="002715CB">
        <w:rPr>
          <w:color w:val="0000FF"/>
          <w:u w:val="single"/>
        </w:rPr>
      </w:r>
      <w:r w:rsidRPr="002715CB">
        <w:rPr>
          <w:color w:val="0000FF"/>
          <w:u w:val="single"/>
        </w:rPr>
        <w:fldChar w:fldCharType="separate"/>
      </w:r>
      <w:r w:rsidR="00472151">
        <w:t>6.2 Fair value determination of financial assets and liabilities</w:t>
      </w:r>
      <w:r w:rsidRPr="002715CB">
        <w:rPr>
          <w:color w:val="0000FF"/>
          <w:u w:val="single"/>
        </w:rPr>
        <w:fldChar w:fldCharType="end"/>
      </w:r>
    </w:p>
    <w:p w14:paraId="039B231A" w14:textId="668D2FB5"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_Ref89844214 \h </w:instrText>
      </w:r>
      <w:r w:rsidRPr="002715CB">
        <w:rPr>
          <w:color w:val="0000FF"/>
          <w:u w:val="single"/>
        </w:rPr>
      </w:r>
      <w:r w:rsidRPr="002715CB">
        <w:rPr>
          <w:color w:val="0000FF"/>
          <w:u w:val="single"/>
        </w:rPr>
        <w:fldChar w:fldCharType="separate"/>
      </w:r>
      <w:r w:rsidR="00472151">
        <w:t>6.3 Contingent assets and liabilities</w:t>
      </w:r>
      <w:r w:rsidRPr="002715CB">
        <w:rPr>
          <w:color w:val="0000FF"/>
          <w:u w:val="single"/>
        </w:rPr>
        <w:fldChar w:fldCharType="end"/>
      </w:r>
    </w:p>
    <w:p w14:paraId="0300C4F2" w14:textId="2DC8D9C7" w:rsidR="0047742E" w:rsidRPr="00157AB3" w:rsidRDefault="000F799D" w:rsidP="005C7060">
      <w:pPr>
        <w:spacing w:before="60" w:after="60"/>
        <w:rPr>
          <w:u w:val="single"/>
        </w:rPr>
      </w:pPr>
      <w:r w:rsidRPr="00157AB3">
        <w:rPr>
          <w:color w:val="0000FF"/>
          <w:u w:val="single"/>
        </w:rPr>
        <w:t xml:space="preserve">7. </w:t>
      </w:r>
      <w:r w:rsidR="0047742E" w:rsidRPr="00157AB3">
        <w:rPr>
          <w:color w:val="0000FF"/>
          <w:u w:val="single"/>
        </w:rPr>
        <w:fldChar w:fldCharType="begin"/>
      </w:r>
      <w:r w:rsidR="0047742E" w:rsidRPr="00157AB3">
        <w:rPr>
          <w:color w:val="0000FF"/>
          <w:u w:val="single"/>
        </w:rPr>
        <w:instrText xml:space="preserve"> REF _Ref89844237 \h  \* MERGEFORMAT </w:instrText>
      </w:r>
      <w:r w:rsidR="0047742E" w:rsidRPr="00157AB3">
        <w:rPr>
          <w:color w:val="0000FF"/>
          <w:u w:val="single"/>
        </w:rPr>
      </w:r>
      <w:r w:rsidR="0047742E" w:rsidRPr="00157AB3">
        <w:rPr>
          <w:color w:val="0000FF"/>
          <w:u w:val="single"/>
        </w:rPr>
        <w:fldChar w:fldCharType="separate"/>
      </w:r>
      <w:r w:rsidR="00472151" w:rsidRPr="00472151">
        <w:rPr>
          <w:color w:val="0000FF"/>
          <w:u w:val="single"/>
        </w:rPr>
        <w:t>Other Disclosures</w:t>
      </w:r>
      <w:r w:rsidR="0047742E" w:rsidRPr="00157AB3">
        <w:rPr>
          <w:color w:val="0000FF"/>
          <w:u w:val="single"/>
        </w:rPr>
        <w:fldChar w:fldCharType="end"/>
      </w:r>
    </w:p>
    <w:p w14:paraId="003A8EE3" w14:textId="14ACF355"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_Ref89844249 \h </w:instrText>
      </w:r>
      <w:r w:rsidRPr="002715CB">
        <w:rPr>
          <w:color w:val="0000FF"/>
          <w:u w:val="single"/>
        </w:rPr>
      </w:r>
      <w:r w:rsidRPr="002715CB">
        <w:rPr>
          <w:color w:val="0000FF"/>
          <w:u w:val="single"/>
        </w:rPr>
        <w:fldChar w:fldCharType="separate"/>
      </w:r>
      <w:r w:rsidR="00472151">
        <w:t>7.1 Superannuation – defined benefit plan</w:t>
      </w:r>
      <w:r w:rsidRPr="002715CB">
        <w:rPr>
          <w:color w:val="0000FF"/>
          <w:u w:val="single"/>
        </w:rPr>
        <w:fldChar w:fldCharType="end"/>
      </w:r>
    </w:p>
    <w:p w14:paraId="1095D649" w14:textId="17882219"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_Ref89844257 \h </w:instrText>
      </w:r>
      <w:r w:rsidRPr="002715CB">
        <w:rPr>
          <w:color w:val="0000FF"/>
          <w:u w:val="single"/>
        </w:rPr>
      </w:r>
      <w:r w:rsidRPr="002715CB">
        <w:rPr>
          <w:color w:val="0000FF"/>
          <w:u w:val="single"/>
        </w:rPr>
        <w:fldChar w:fldCharType="separate"/>
      </w:r>
      <w:r w:rsidR="00472151">
        <w:t>7.2 Responsible persons</w:t>
      </w:r>
      <w:r w:rsidRPr="002715CB">
        <w:rPr>
          <w:color w:val="0000FF"/>
          <w:u w:val="single"/>
        </w:rPr>
        <w:fldChar w:fldCharType="end"/>
      </w:r>
    </w:p>
    <w:p w14:paraId="7DB9D2E0" w14:textId="3ECE74D8"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_Ref89844263 \h </w:instrText>
      </w:r>
      <w:r w:rsidRPr="002715CB">
        <w:rPr>
          <w:color w:val="0000FF"/>
          <w:u w:val="single"/>
        </w:rPr>
      </w:r>
      <w:r w:rsidRPr="002715CB">
        <w:rPr>
          <w:color w:val="0000FF"/>
          <w:u w:val="single"/>
        </w:rPr>
        <w:fldChar w:fldCharType="separate"/>
      </w:r>
      <w:r w:rsidR="00472151">
        <w:t>7.3 Remuneration of executives</w:t>
      </w:r>
      <w:r w:rsidRPr="002715CB">
        <w:rPr>
          <w:color w:val="0000FF"/>
          <w:u w:val="single"/>
        </w:rPr>
        <w:fldChar w:fldCharType="end"/>
      </w:r>
    </w:p>
    <w:p w14:paraId="3489177E" w14:textId="7E038E23"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_Ref89844270 \h </w:instrText>
      </w:r>
      <w:r w:rsidRPr="002715CB">
        <w:rPr>
          <w:color w:val="0000FF"/>
          <w:u w:val="single"/>
        </w:rPr>
      </w:r>
      <w:r w:rsidRPr="002715CB">
        <w:rPr>
          <w:color w:val="0000FF"/>
          <w:u w:val="single"/>
        </w:rPr>
        <w:fldChar w:fldCharType="separate"/>
      </w:r>
      <w:r w:rsidR="00472151">
        <w:t>7.4 Related parties</w:t>
      </w:r>
      <w:r w:rsidRPr="002715CB">
        <w:rPr>
          <w:color w:val="0000FF"/>
          <w:u w:val="single"/>
        </w:rPr>
        <w:fldChar w:fldCharType="end"/>
      </w:r>
    </w:p>
    <w:p w14:paraId="4BB86F28" w14:textId="278B8CAC"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_Ref89844278 \h </w:instrText>
      </w:r>
      <w:r w:rsidRPr="002715CB">
        <w:rPr>
          <w:color w:val="0000FF"/>
          <w:u w:val="single"/>
        </w:rPr>
      </w:r>
      <w:r w:rsidRPr="002715CB">
        <w:rPr>
          <w:color w:val="0000FF"/>
          <w:u w:val="single"/>
        </w:rPr>
        <w:fldChar w:fldCharType="separate"/>
      </w:r>
      <w:r w:rsidR="00472151" w:rsidRPr="005C05CB">
        <w:t>7.5 Remuneration of auditors</w:t>
      </w:r>
      <w:r w:rsidRPr="002715CB">
        <w:rPr>
          <w:color w:val="0000FF"/>
          <w:u w:val="single"/>
        </w:rPr>
        <w:fldChar w:fldCharType="end"/>
      </w:r>
    </w:p>
    <w:p w14:paraId="71B781D3" w14:textId="3211C473"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_Ref89844286 \h </w:instrText>
      </w:r>
      <w:r w:rsidRPr="002715CB">
        <w:rPr>
          <w:color w:val="0000FF"/>
          <w:u w:val="single"/>
        </w:rPr>
      </w:r>
      <w:r w:rsidRPr="002715CB">
        <w:rPr>
          <w:color w:val="0000FF"/>
          <w:u w:val="single"/>
        </w:rPr>
        <w:fldChar w:fldCharType="separate"/>
      </w:r>
      <w:r w:rsidR="00472151">
        <w:t>7.6 Ex-gratia expenses</w:t>
      </w:r>
      <w:r w:rsidRPr="002715CB">
        <w:rPr>
          <w:color w:val="0000FF"/>
          <w:u w:val="single"/>
        </w:rPr>
        <w:fldChar w:fldCharType="end"/>
      </w:r>
    </w:p>
    <w:p w14:paraId="3AF62B2A" w14:textId="4768BF43" w:rsidR="0047742E" w:rsidRPr="002715CB" w:rsidRDefault="0047742E"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_Ref89844294 \h </w:instrText>
      </w:r>
      <w:r w:rsidRPr="002715CB">
        <w:rPr>
          <w:color w:val="0000FF"/>
          <w:u w:val="single"/>
        </w:rPr>
      </w:r>
      <w:r w:rsidRPr="002715CB">
        <w:rPr>
          <w:color w:val="0000FF"/>
          <w:u w:val="single"/>
        </w:rPr>
        <w:fldChar w:fldCharType="separate"/>
      </w:r>
      <w:r w:rsidR="00472151">
        <w:t>7.7 Subsequent events</w:t>
      </w:r>
      <w:r w:rsidRPr="002715CB">
        <w:rPr>
          <w:color w:val="0000FF"/>
          <w:u w:val="single"/>
        </w:rPr>
        <w:fldChar w:fldCharType="end"/>
      </w:r>
    </w:p>
    <w:p w14:paraId="2E2F4E2E" w14:textId="3760AE48" w:rsidR="000E1A79" w:rsidRPr="002715CB" w:rsidRDefault="000E1A79" w:rsidP="00157AB3">
      <w:pPr>
        <w:spacing w:before="60" w:after="60"/>
        <w:ind w:left="340"/>
        <w:rPr>
          <w:u w:val="single"/>
        </w:rPr>
      </w:pPr>
      <w:r w:rsidRPr="002715CB">
        <w:rPr>
          <w:color w:val="0000FF"/>
          <w:u w:val="single"/>
        </w:rPr>
        <w:fldChar w:fldCharType="begin"/>
      </w:r>
      <w:r w:rsidRPr="002715CB">
        <w:rPr>
          <w:color w:val="0000FF"/>
          <w:u w:val="single"/>
        </w:rPr>
        <w:instrText xml:space="preserve"> REF _Ref89844304 \h </w:instrText>
      </w:r>
      <w:r w:rsidRPr="002715CB">
        <w:rPr>
          <w:color w:val="0000FF"/>
          <w:u w:val="single"/>
        </w:rPr>
      </w:r>
      <w:r w:rsidRPr="002715CB">
        <w:rPr>
          <w:color w:val="0000FF"/>
          <w:u w:val="single"/>
        </w:rPr>
        <w:fldChar w:fldCharType="separate"/>
      </w:r>
      <w:r w:rsidR="00472151">
        <w:t>7.8 Prospective accounting and reporting changes</w:t>
      </w:r>
      <w:r w:rsidRPr="002715CB">
        <w:rPr>
          <w:color w:val="0000FF"/>
          <w:u w:val="single"/>
        </w:rPr>
        <w:fldChar w:fldCharType="end"/>
      </w:r>
    </w:p>
    <w:p w14:paraId="08A1BFF3" w14:textId="74304FEC" w:rsidR="00E9063A" w:rsidRDefault="00E9063A" w:rsidP="00E9063A">
      <w:pPr>
        <w:pStyle w:val="Heading2"/>
      </w:pPr>
      <w:bookmarkStart w:id="749" w:name="_Toc89723100"/>
      <w:bookmarkStart w:id="750" w:name="_Toc89723236"/>
      <w:bookmarkStart w:id="751" w:name="_Toc89723296"/>
      <w:bookmarkStart w:id="752" w:name="_Ref89806221"/>
      <w:bookmarkStart w:id="753" w:name="_Ref89806228"/>
      <w:bookmarkStart w:id="754" w:name="_Toc89860562"/>
      <w:bookmarkStart w:id="755" w:name="_Toc89860706"/>
      <w:bookmarkStart w:id="756" w:name="_Toc90326045"/>
      <w:bookmarkStart w:id="757" w:name="_Toc93659451"/>
      <w:r>
        <w:t>Melbourne Water Corporation Statement by Directors and Chief Financial Officer</w:t>
      </w:r>
      <w:bookmarkEnd w:id="749"/>
      <w:bookmarkEnd w:id="750"/>
      <w:bookmarkEnd w:id="751"/>
      <w:bookmarkEnd w:id="752"/>
      <w:bookmarkEnd w:id="753"/>
      <w:bookmarkEnd w:id="754"/>
      <w:bookmarkEnd w:id="755"/>
      <w:bookmarkEnd w:id="756"/>
      <w:bookmarkEnd w:id="757"/>
    </w:p>
    <w:p w14:paraId="44D55EEE" w14:textId="09112F9D" w:rsidR="00E9063A" w:rsidRDefault="00E9063A" w:rsidP="00E9063A">
      <w:pPr>
        <w:pStyle w:val="BodyText"/>
      </w:pPr>
      <w:r>
        <w:t xml:space="preserve">We certify the attached financial statements for Melbourne Water Corporation ('the Corporation') have been prepared in accordance with applicable </w:t>
      </w:r>
      <w:r w:rsidRPr="00E9063A">
        <w:rPr>
          <w:rStyle w:val="ItalicText"/>
        </w:rPr>
        <w:t>Financial Reporting Directions</w:t>
      </w:r>
      <w:r>
        <w:t xml:space="preserve"> and </w:t>
      </w:r>
      <w:r w:rsidRPr="00E9063A">
        <w:rPr>
          <w:rStyle w:val="ItalicText"/>
        </w:rPr>
        <w:t>Direction 5.2 of the Standing Directions</w:t>
      </w:r>
      <w:r>
        <w:t xml:space="preserve"> of the Assistant Treasurer, both enforced by the </w:t>
      </w:r>
      <w:r w:rsidRPr="00E9063A">
        <w:rPr>
          <w:rStyle w:val="ItalicText"/>
        </w:rPr>
        <w:t>Financial Management Act 1994</w:t>
      </w:r>
      <w:r>
        <w:t>, Australian Accounting Standards and Interpretations and other mandatory professional reporting requirements.</w:t>
      </w:r>
    </w:p>
    <w:p w14:paraId="6E2B34CE" w14:textId="2B64B577" w:rsidR="00E9063A" w:rsidRDefault="00E9063A" w:rsidP="00E9063A">
      <w:pPr>
        <w:pStyle w:val="BodyText"/>
      </w:pPr>
      <w:r>
        <w:t>We further state that, in our opinion, the information set out in the Statement of Profit or Loss and Other Comprehensive Income, Statement of Financial Position, Statement of Changes in Equity, Statement of Cash Flows and accompanying notes, presents fairly the financial transactions during the year ended 30 June 2021 and the financial position of the Corporation as at 30 June 2021.</w:t>
      </w:r>
    </w:p>
    <w:p w14:paraId="2EAD2547" w14:textId="2B12F716" w:rsidR="00E9063A" w:rsidRDefault="00E9063A" w:rsidP="00E9063A">
      <w:pPr>
        <w:pStyle w:val="BodyText"/>
      </w:pPr>
      <w:r>
        <w:t>At the time of signing, we are not aware of any circumstance which would render any particulars included in the financial statements to be misleading or inaccurate.</w:t>
      </w:r>
    </w:p>
    <w:p w14:paraId="437BDEF9" w14:textId="77777777" w:rsidR="00E9063A" w:rsidRDefault="00E9063A" w:rsidP="00E9063A">
      <w:pPr>
        <w:pStyle w:val="BodyText"/>
      </w:pPr>
      <w:r>
        <w:t>The financial statements were authorised for issue by the Directors on 27 August 2021.</w:t>
      </w:r>
    </w:p>
    <w:p w14:paraId="2F958E53" w14:textId="0225C98E" w:rsidR="0067316B" w:rsidRDefault="00E9063A" w:rsidP="00E9063A">
      <w:pPr>
        <w:pStyle w:val="BodyText"/>
      </w:pPr>
      <w:r>
        <w:t>On behalf of the Board:</w:t>
      </w:r>
    </w:p>
    <w:p w14:paraId="314A06AE" w14:textId="05358C40" w:rsidR="00E9063A" w:rsidRDefault="00E9063A" w:rsidP="005C434E">
      <w:pPr>
        <w:pStyle w:val="NoSpacing"/>
        <w:spacing w:before="100"/>
      </w:pPr>
      <w:r>
        <w:t>John Thwaites, Chair</w:t>
      </w:r>
    </w:p>
    <w:p w14:paraId="72521E55" w14:textId="5F57BDEE" w:rsidR="00E9063A" w:rsidRDefault="00E9063A" w:rsidP="005C434E">
      <w:pPr>
        <w:pStyle w:val="NoSpacing"/>
        <w:spacing w:before="100"/>
      </w:pPr>
      <w:r>
        <w:t>27 August 2021</w:t>
      </w:r>
    </w:p>
    <w:p w14:paraId="38ADC583" w14:textId="5BB2CD30" w:rsidR="00E9063A" w:rsidRDefault="00E9063A" w:rsidP="005C434E">
      <w:pPr>
        <w:pStyle w:val="NoSpacing"/>
        <w:spacing w:before="100"/>
      </w:pPr>
      <w:r>
        <w:t>Michael Wandmaker, Managing Director</w:t>
      </w:r>
    </w:p>
    <w:p w14:paraId="75767EF4" w14:textId="2E62C3A0" w:rsidR="00E9063A" w:rsidRDefault="00E9063A" w:rsidP="005C434E">
      <w:pPr>
        <w:pStyle w:val="NoSpacing"/>
        <w:spacing w:before="100"/>
      </w:pPr>
      <w:r>
        <w:t xml:space="preserve">27 </w:t>
      </w:r>
      <w:r w:rsidRPr="00226E71">
        <w:t>August</w:t>
      </w:r>
      <w:r>
        <w:t xml:space="preserve"> 2021</w:t>
      </w:r>
    </w:p>
    <w:p w14:paraId="7D7F01C9" w14:textId="3A8B42F4" w:rsidR="00E9063A" w:rsidRDefault="00E9063A" w:rsidP="005C434E">
      <w:pPr>
        <w:pStyle w:val="NoSpacing"/>
        <w:spacing w:before="100"/>
      </w:pPr>
      <w:r>
        <w:t>Anthony O’Shannessy</w:t>
      </w:r>
      <w:r w:rsidR="00226E71">
        <w:t>, Chair</w:t>
      </w:r>
    </w:p>
    <w:p w14:paraId="0C747C00" w14:textId="5FE3EE2F" w:rsidR="00E9063A" w:rsidRDefault="00226E71" w:rsidP="00E9063A">
      <w:pPr>
        <w:pStyle w:val="NoSpacing"/>
      </w:pPr>
      <w:r>
        <w:t>27 August 2021</w:t>
      </w:r>
    </w:p>
    <w:p w14:paraId="61149EDA" w14:textId="35A77A39" w:rsidR="00226E71" w:rsidRDefault="00226E71" w:rsidP="0011520C">
      <w:pPr>
        <w:pStyle w:val="Heading2"/>
      </w:pPr>
      <w:bookmarkStart w:id="758" w:name="_Toc89723101"/>
      <w:bookmarkStart w:id="759" w:name="_Toc89723237"/>
      <w:bookmarkStart w:id="760" w:name="_Toc89723297"/>
      <w:bookmarkStart w:id="761" w:name="_Ref89805824"/>
      <w:bookmarkStart w:id="762" w:name="_Ref89811968"/>
      <w:bookmarkStart w:id="763" w:name="_Ref89811973"/>
      <w:bookmarkStart w:id="764" w:name="_Ref89811979"/>
      <w:bookmarkStart w:id="765" w:name="_Toc89860563"/>
      <w:bookmarkStart w:id="766" w:name="_Toc89860707"/>
      <w:bookmarkStart w:id="767" w:name="_Toc90326046"/>
      <w:bookmarkStart w:id="768" w:name="_Toc93659452"/>
      <w:r>
        <w:lastRenderedPageBreak/>
        <w:t>Statement of Profit or Loss and Other Comprehensive Income</w:t>
      </w:r>
      <w:bookmarkEnd w:id="758"/>
      <w:bookmarkEnd w:id="759"/>
      <w:bookmarkEnd w:id="760"/>
      <w:bookmarkEnd w:id="761"/>
      <w:bookmarkEnd w:id="762"/>
      <w:bookmarkEnd w:id="763"/>
      <w:bookmarkEnd w:id="764"/>
      <w:bookmarkEnd w:id="765"/>
      <w:bookmarkEnd w:id="766"/>
      <w:bookmarkEnd w:id="767"/>
      <w:bookmarkEnd w:id="768"/>
    </w:p>
    <w:p w14:paraId="6AAA65A5" w14:textId="434296FD" w:rsidR="0067316B" w:rsidRPr="002562FC" w:rsidRDefault="00226E71" w:rsidP="0011520C">
      <w:pPr>
        <w:pStyle w:val="BodyText"/>
        <w:keepNext/>
        <w:rPr>
          <w:rStyle w:val="Bold"/>
        </w:rPr>
      </w:pPr>
      <w:r w:rsidRPr="002562FC">
        <w:rPr>
          <w:rStyle w:val="Bold"/>
        </w:rPr>
        <w:t>For the year ended 30 June 2021</w:t>
      </w:r>
    </w:p>
    <w:tbl>
      <w:tblPr>
        <w:tblStyle w:val="Style1"/>
        <w:tblW w:w="5000" w:type="pct"/>
        <w:tblLayout w:type="fixed"/>
        <w:tblLook w:val="0620" w:firstRow="1" w:lastRow="0" w:firstColumn="0" w:lastColumn="0" w:noHBand="1" w:noVBand="1"/>
      </w:tblPr>
      <w:tblGrid>
        <w:gridCol w:w="5813"/>
        <w:gridCol w:w="990"/>
        <w:gridCol w:w="1420"/>
        <w:gridCol w:w="1408"/>
      </w:tblGrid>
      <w:tr w:rsidR="00226E71" w:rsidRPr="006E27D3" w14:paraId="1AC118AA" w14:textId="77777777" w:rsidTr="0011520C">
        <w:trPr>
          <w:cnfStyle w:val="100000000000" w:firstRow="1" w:lastRow="0" w:firstColumn="0" w:lastColumn="0" w:oddVBand="0" w:evenVBand="0" w:oddHBand="0" w:evenHBand="0" w:firstRowFirstColumn="0" w:firstRowLastColumn="0" w:lastRowFirstColumn="0" w:lastRowLastColumn="0"/>
          <w:trHeight w:val="20"/>
        </w:trPr>
        <w:tc>
          <w:tcPr>
            <w:tcW w:w="3018" w:type="pct"/>
            <w:tcBorders>
              <w:top w:val="single" w:sz="4" w:space="0" w:color="auto"/>
            </w:tcBorders>
            <w:vAlign w:val="bottom"/>
          </w:tcPr>
          <w:p w14:paraId="6152B2DE" w14:textId="722BEA92" w:rsidR="00226E71" w:rsidRPr="006E27D3" w:rsidRDefault="00226E71" w:rsidP="009C58F5">
            <w:pPr>
              <w:spacing w:before="40" w:after="40"/>
            </w:pPr>
            <w:bookmarkStart w:id="769" w:name="ColumnTitle_31"/>
            <w:r w:rsidRPr="006E27D3">
              <w:t>Item</w:t>
            </w:r>
          </w:p>
        </w:tc>
        <w:tc>
          <w:tcPr>
            <w:tcW w:w="514" w:type="pct"/>
            <w:tcBorders>
              <w:top w:val="single" w:sz="4" w:space="0" w:color="auto"/>
            </w:tcBorders>
            <w:vAlign w:val="bottom"/>
          </w:tcPr>
          <w:p w14:paraId="3CA4E410" w14:textId="3FE2A819" w:rsidR="00226E71" w:rsidRPr="006E27D3" w:rsidRDefault="00226E71" w:rsidP="009C58F5">
            <w:pPr>
              <w:spacing w:before="40" w:after="40"/>
            </w:pPr>
            <w:r w:rsidRPr="006E27D3">
              <w:t>Notes</w:t>
            </w:r>
          </w:p>
        </w:tc>
        <w:tc>
          <w:tcPr>
            <w:tcW w:w="737" w:type="pct"/>
            <w:tcBorders>
              <w:top w:val="single" w:sz="4" w:space="0" w:color="auto"/>
            </w:tcBorders>
            <w:vAlign w:val="bottom"/>
          </w:tcPr>
          <w:p w14:paraId="7B00310A" w14:textId="77777777" w:rsidR="00226E71" w:rsidRPr="006E27D3" w:rsidRDefault="00226E71" w:rsidP="009C58F5">
            <w:pPr>
              <w:spacing w:before="40" w:after="40"/>
            </w:pPr>
            <w:r w:rsidRPr="006E27D3">
              <w:t>2021</w:t>
            </w:r>
          </w:p>
          <w:p w14:paraId="1CCE057E" w14:textId="17BC8CF9" w:rsidR="00226E71" w:rsidRPr="006E27D3" w:rsidRDefault="00226E71" w:rsidP="009C58F5">
            <w:pPr>
              <w:spacing w:before="40" w:after="40"/>
            </w:pPr>
            <w:r w:rsidRPr="006E27D3">
              <w:t>($ thousands)</w:t>
            </w:r>
          </w:p>
        </w:tc>
        <w:tc>
          <w:tcPr>
            <w:tcW w:w="731" w:type="pct"/>
            <w:tcBorders>
              <w:top w:val="single" w:sz="4" w:space="0" w:color="auto"/>
            </w:tcBorders>
            <w:vAlign w:val="bottom"/>
          </w:tcPr>
          <w:p w14:paraId="5ECC687A" w14:textId="77777777" w:rsidR="00226E71" w:rsidRPr="006E27D3" w:rsidRDefault="00226E71" w:rsidP="009C58F5">
            <w:pPr>
              <w:spacing w:before="40" w:after="40"/>
            </w:pPr>
            <w:r w:rsidRPr="006E27D3">
              <w:t>2020</w:t>
            </w:r>
          </w:p>
          <w:p w14:paraId="26B577C9" w14:textId="56F5AAFF" w:rsidR="00226E71" w:rsidRPr="006E27D3" w:rsidRDefault="00226E71" w:rsidP="009C58F5">
            <w:pPr>
              <w:spacing w:before="40" w:after="40"/>
            </w:pPr>
            <w:r w:rsidRPr="006E27D3">
              <w:t>($ thousands)</w:t>
            </w:r>
          </w:p>
        </w:tc>
      </w:tr>
      <w:bookmarkEnd w:id="769"/>
      <w:tr w:rsidR="00226E71" w:rsidRPr="005A7F6A" w14:paraId="5FFE7436" w14:textId="77777777" w:rsidTr="006E27D3">
        <w:trPr>
          <w:trHeight w:val="20"/>
        </w:trPr>
        <w:tc>
          <w:tcPr>
            <w:tcW w:w="3018" w:type="pct"/>
            <w:vAlign w:val="top"/>
          </w:tcPr>
          <w:p w14:paraId="3D2A673C" w14:textId="686EE968" w:rsidR="00226E71" w:rsidRPr="00FB4B64" w:rsidRDefault="004C3E86" w:rsidP="009C58F5">
            <w:pPr>
              <w:pStyle w:val="TableBodyText"/>
              <w:spacing w:before="40" w:after="40"/>
              <w:rPr>
                <w:rStyle w:val="Bold"/>
              </w:rPr>
            </w:pPr>
            <w:r w:rsidRPr="00FB4B64">
              <w:rPr>
                <w:rStyle w:val="Bold"/>
              </w:rPr>
              <w:t>Revenue</w:t>
            </w:r>
          </w:p>
        </w:tc>
        <w:tc>
          <w:tcPr>
            <w:tcW w:w="514" w:type="pct"/>
            <w:vAlign w:val="top"/>
          </w:tcPr>
          <w:p w14:paraId="1EC73DFE" w14:textId="30080FCB" w:rsidR="00226E71" w:rsidRPr="005A7F6A" w:rsidRDefault="00004893" w:rsidP="009C58F5">
            <w:pPr>
              <w:pStyle w:val="TableBodyText"/>
              <w:spacing w:before="40" w:after="40"/>
            </w:pPr>
            <w:r>
              <w:t>N/A</w:t>
            </w:r>
          </w:p>
        </w:tc>
        <w:tc>
          <w:tcPr>
            <w:tcW w:w="737" w:type="pct"/>
            <w:vAlign w:val="top"/>
          </w:tcPr>
          <w:p w14:paraId="5CA200E7" w14:textId="34AFA040" w:rsidR="00226E71" w:rsidRPr="005A7F6A" w:rsidRDefault="00004893" w:rsidP="009C58F5">
            <w:pPr>
              <w:pStyle w:val="TableBodyText"/>
              <w:spacing w:before="40" w:after="40"/>
            </w:pPr>
            <w:r>
              <w:t>N/A</w:t>
            </w:r>
          </w:p>
        </w:tc>
        <w:tc>
          <w:tcPr>
            <w:tcW w:w="731" w:type="pct"/>
            <w:vAlign w:val="top"/>
          </w:tcPr>
          <w:p w14:paraId="4E0990A2" w14:textId="2D22EBF0" w:rsidR="00226E71" w:rsidRPr="005A7F6A" w:rsidRDefault="00004893" w:rsidP="009C58F5">
            <w:pPr>
              <w:pStyle w:val="TableBodyText"/>
              <w:spacing w:before="40" w:after="40"/>
            </w:pPr>
            <w:r>
              <w:t>N/A</w:t>
            </w:r>
          </w:p>
        </w:tc>
      </w:tr>
      <w:tr w:rsidR="00FB4B64" w:rsidRPr="005A7F6A" w14:paraId="0DFB6CC8" w14:textId="77777777" w:rsidTr="006E27D3">
        <w:trPr>
          <w:trHeight w:val="20"/>
        </w:trPr>
        <w:tc>
          <w:tcPr>
            <w:tcW w:w="3018" w:type="pct"/>
            <w:vAlign w:val="top"/>
          </w:tcPr>
          <w:p w14:paraId="391BE1A4" w14:textId="3D310825" w:rsidR="00FB4B64" w:rsidRPr="005A7F6A" w:rsidRDefault="00FB4B64" w:rsidP="009C58F5">
            <w:pPr>
              <w:pStyle w:val="TableBodyText"/>
              <w:spacing w:before="40" w:after="40"/>
            </w:pPr>
            <w:r w:rsidRPr="005A7F6A">
              <w:t>Revenue from contracts with customers</w:t>
            </w:r>
          </w:p>
        </w:tc>
        <w:tc>
          <w:tcPr>
            <w:tcW w:w="514" w:type="pct"/>
            <w:vAlign w:val="top"/>
          </w:tcPr>
          <w:p w14:paraId="7DAC1A9B" w14:textId="06E528A5" w:rsidR="00FB4B64" w:rsidRPr="005A7F6A" w:rsidRDefault="00506A67" w:rsidP="009C58F5">
            <w:pPr>
              <w:pStyle w:val="TableBodyText"/>
              <w:spacing w:before="40" w:after="40"/>
            </w:pPr>
            <w:r>
              <w:fldChar w:fldCharType="begin"/>
            </w:r>
            <w:r>
              <w:instrText xml:space="preserve"> REF Note21 \h </w:instrText>
            </w:r>
            <w:r>
              <w:fldChar w:fldCharType="separate"/>
            </w:r>
            <w:r w:rsidR="00472151" w:rsidRPr="00D84113">
              <w:t xml:space="preserve">2.1 </w:t>
            </w:r>
            <w:r>
              <w:fldChar w:fldCharType="end"/>
            </w:r>
          </w:p>
        </w:tc>
        <w:tc>
          <w:tcPr>
            <w:tcW w:w="737" w:type="pct"/>
            <w:vAlign w:val="top"/>
          </w:tcPr>
          <w:p w14:paraId="4E8597D5" w14:textId="4DBE7892" w:rsidR="00FB4B64" w:rsidRPr="005A7F6A" w:rsidRDefault="00FB4B64" w:rsidP="009C58F5">
            <w:pPr>
              <w:pStyle w:val="TableBodyText"/>
              <w:spacing w:before="40" w:after="40"/>
            </w:pPr>
            <w:r>
              <w:t>1,939,504</w:t>
            </w:r>
          </w:p>
        </w:tc>
        <w:tc>
          <w:tcPr>
            <w:tcW w:w="731" w:type="pct"/>
            <w:vAlign w:val="top"/>
          </w:tcPr>
          <w:p w14:paraId="761E9307" w14:textId="521EDA3C" w:rsidR="00FB4B64" w:rsidRPr="005A7F6A" w:rsidRDefault="00FB4B64" w:rsidP="009C58F5">
            <w:pPr>
              <w:pStyle w:val="TableBodyText"/>
              <w:spacing w:before="40" w:after="40"/>
            </w:pPr>
            <w:r>
              <w:t>1,954,962</w:t>
            </w:r>
          </w:p>
        </w:tc>
      </w:tr>
      <w:tr w:rsidR="00FB4B64" w:rsidRPr="005A7F6A" w14:paraId="24310AC7" w14:textId="77777777" w:rsidTr="006E27D3">
        <w:trPr>
          <w:trHeight w:val="20"/>
        </w:trPr>
        <w:tc>
          <w:tcPr>
            <w:tcW w:w="3018" w:type="pct"/>
            <w:vAlign w:val="top"/>
          </w:tcPr>
          <w:p w14:paraId="4C38F09A" w14:textId="54ACBDE5" w:rsidR="00FB4B64" w:rsidRPr="005A7F6A" w:rsidRDefault="00FB4B64" w:rsidP="009C58F5">
            <w:pPr>
              <w:pStyle w:val="TableBodyText"/>
              <w:spacing w:before="40" w:after="40"/>
            </w:pPr>
            <w:r>
              <w:t>Other income</w:t>
            </w:r>
          </w:p>
        </w:tc>
        <w:tc>
          <w:tcPr>
            <w:tcW w:w="514" w:type="pct"/>
            <w:vAlign w:val="top"/>
          </w:tcPr>
          <w:p w14:paraId="3F732487" w14:textId="295B3F2C" w:rsidR="00FB4B64" w:rsidRPr="005A7F6A" w:rsidRDefault="00506A67" w:rsidP="009C58F5">
            <w:pPr>
              <w:pStyle w:val="TableBodyText"/>
              <w:spacing w:before="40" w:after="40"/>
            </w:pPr>
            <w:r>
              <w:fldChar w:fldCharType="begin"/>
            </w:r>
            <w:r>
              <w:instrText xml:space="preserve"> REF Note22 \h </w:instrText>
            </w:r>
            <w:r>
              <w:fldChar w:fldCharType="separate"/>
            </w:r>
            <w:r w:rsidR="00472151">
              <w:t xml:space="preserve">2.2 </w:t>
            </w:r>
            <w:r>
              <w:fldChar w:fldCharType="end"/>
            </w:r>
          </w:p>
        </w:tc>
        <w:tc>
          <w:tcPr>
            <w:tcW w:w="737" w:type="pct"/>
            <w:vAlign w:val="top"/>
          </w:tcPr>
          <w:p w14:paraId="3F4D2E0D" w14:textId="52EEE779" w:rsidR="00FB4B64" w:rsidRPr="005A7F6A" w:rsidRDefault="00FB4B64" w:rsidP="009C58F5">
            <w:pPr>
              <w:pStyle w:val="TableBodyText"/>
              <w:spacing w:before="40" w:after="40"/>
            </w:pPr>
            <w:r>
              <w:t>10,021</w:t>
            </w:r>
          </w:p>
        </w:tc>
        <w:tc>
          <w:tcPr>
            <w:tcW w:w="731" w:type="pct"/>
            <w:vAlign w:val="top"/>
          </w:tcPr>
          <w:p w14:paraId="0EEC8EDA" w14:textId="0FE095EC" w:rsidR="00FB4B64" w:rsidRPr="005A7F6A" w:rsidRDefault="00FB4B64" w:rsidP="009C58F5">
            <w:pPr>
              <w:pStyle w:val="TableBodyText"/>
              <w:spacing w:before="40" w:after="40"/>
            </w:pPr>
            <w:r>
              <w:t>4,516</w:t>
            </w:r>
          </w:p>
        </w:tc>
      </w:tr>
      <w:tr w:rsidR="00FB4B64" w:rsidRPr="005A7F6A" w14:paraId="4B752416" w14:textId="77777777" w:rsidTr="006E27D3">
        <w:trPr>
          <w:trHeight w:val="20"/>
        </w:trPr>
        <w:tc>
          <w:tcPr>
            <w:tcW w:w="3018" w:type="pct"/>
            <w:vAlign w:val="top"/>
          </w:tcPr>
          <w:p w14:paraId="7933236E" w14:textId="18C0EF47" w:rsidR="00FB4B64" w:rsidRPr="005A7F6A" w:rsidRDefault="00FB4B64" w:rsidP="009C58F5">
            <w:pPr>
              <w:pStyle w:val="TableBodyText"/>
              <w:spacing w:before="40" w:after="40"/>
            </w:pPr>
            <w:r w:rsidRPr="005A7F6A">
              <w:t>Net gain on revaluation of non-financial assets</w:t>
            </w:r>
          </w:p>
        </w:tc>
        <w:tc>
          <w:tcPr>
            <w:tcW w:w="514" w:type="pct"/>
            <w:vAlign w:val="top"/>
          </w:tcPr>
          <w:p w14:paraId="39E33AE2" w14:textId="62B3F067" w:rsidR="00FB4B64" w:rsidRPr="005A7F6A" w:rsidRDefault="003742AD" w:rsidP="009C58F5">
            <w:pPr>
              <w:pStyle w:val="TableBodyText"/>
              <w:spacing w:before="40" w:after="40"/>
            </w:pPr>
            <w:r>
              <w:fldChar w:fldCharType="begin"/>
            </w:r>
            <w:r>
              <w:instrText xml:space="preserve"> REF Note4122 \h </w:instrText>
            </w:r>
            <w:r>
              <w:fldChar w:fldCharType="separate"/>
            </w:r>
            <w:r w:rsidR="00472151" w:rsidRPr="00C73893">
              <w:t>4.1.2.</w:t>
            </w:r>
            <w:r w:rsidR="00472151">
              <w:t xml:space="preserve">2 </w:t>
            </w:r>
            <w:r>
              <w:fldChar w:fldCharType="end"/>
            </w:r>
          </w:p>
        </w:tc>
        <w:tc>
          <w:tcPr>
            <w:tcW w:w="737" w:type="pct"/>
            <w:vAlign w:val="top"/>
          </w:tcPr>
          <w:p w14:paraId="5D56B6C2" w14:textId="48000490" w:rsidR="00FB4B64" w:rsidRPr="005A7F6A" w:rsidRDefault="00FB4B64" w:rsidP="009C58F5">
            <w:pPr>
              <w:pStyle w:val="TableBodyText"/>
              <w:spacing w:before="40" w:after="40"/>
            </w:pPr>
            <w:r>
              <w:t>39,219</w:t>
            </w:r>
          </w:p>
        </w:tc>
        <w:tc>
          <w:tcPr>
            <w:tcW w:w="731" w:type="pct"/>
            <w:vAlign w:val="top"/>
          </w:tcPr>
          <w:p w14:paraId="62AE1554" w14:textId="4C479CE2" w:rsidR="00FB4B64" w:rsidRPr="005A7F6A" w:rsidRDefault="00FB4B64" w:rsidP="009C58F5">
            <w:pPr>
              <w:pStyle w:val="TableBodyText"/>
              <w:spacing w:before="40" w:after="40"/>
            </w:pPr>
            <w:r>
              <w:t>N/A</w:t>
            </w:r>
          </w:p>
        </w:tc>
      </w:tr>
      <w:tr w:rsidR="00FB4B64" w:rsidRPr="005A7F6A" w14:paraId="46DE06EA" w14:textId="77777777" w:rsidTr="006E27D3">
        <w:trPr>
          <w:trHeight w:val="20"/>
        </w:trPr>
        <w:tc>
          <w:tcPr>
            <w:tcW w:w="3018" w:type="pct"/>
            <w:tcBorders>
              <w:bottom w:val="single" w:sz="4" w:space="0" w:color="auto"/>
            </w:tcBorders>
            <w:vAlign w:val="top"/>
          </w:tcPr>
          <w:p w14:paraId="1F773B7C" w14:textId="4BF022FF" w:rsidR="00FB4B64" w:rsidRPr="005A7F6A" w:rsidRDefault="00FB4B64" w:rsidP="009C58F5">
            <w:pPr>
              <w:pStyle w:val="TableBodyText"/>
              <w:spacing w:before="40" w:after="40"/>
            </w:pPr>
            <w:r w:rsidRPr="005A7F6A">
              <w:t>Refinancing gain on financial instruments</w:t>
            </w:r>
          </w:p>
        </w:tc>
        <w:tc>
          <w:tcPr>
            <w:tcW w:w="514" w:type="pct"/>
            <w:tcBorders>
              <w:bottom w:val="single" w:sz="4" w:space="0" w:color="auto"/>
            </w:tcBorders>
            <w:vAlign w:val="top"/>
          </w:tcPr>
          <w:p w14:paraId="3C31BF8A" w14:textId="12B0B2E8" w:rsidR="00FB4B64" w:rsidRPr="005A7F6A" w:rsidRDefault="003742AD" w:rsidP="009C58F5">
            <w:pPr>
              <w:pStyle w:val="TableBodyText"/>
              <w:spacing w:before="40" w:after="40"/>
            </w:pPr>
            <w:r>
              <w:fldChar w:fldCharType="begin"/>
            </w:r>
            <w:r>
              <w:instrText xml:space="preserve"> REF Note512 \h </w:instrText>
            </w:r>
            <w:r>
              <w:fldChar w:fldCharType="separate"/>
            </w:r>
            <w:r w:rsidR="00472151" w:rsidRPr="00300324">
              <w:t xml:space="preserve">5.1.2 </w:t>
            </w:r>
            <w:r>
              <w:fldChar w:fldCharType="end"/>
            </w:r>
          </w:p>
        </w:tc>
        <w:tc>
          <w:tcPr>
            <w:tcW w:w="737" w:type="pct"/>
            <w:tcBorders>
              <w:bottom w:val="single" w:sz="4" w:space="0" w:color="auto"/>
            </w:tcBorders>
            <w:vAlign w:val="top"/>
          </w:tcPr>
          <w:p w14:paraId="5B8DF383" w14:textId="1D0104F6" w:rsidR="00FB4B64" w:rsidRPr="005A7F6A" w:rsidRDefault="00FB4B64" w:rsidP="009C58F5">
            <w:pPr>
              <w:pStyle w:val="TableBodyText"/>
              <w:spacing w:before="40" w:after="40"/>
            </w:pPr>
            <w:r>
              <w:t>N/A</w:t>
            </w:r>
          </w:p>
        </w:tc>
        <w:tc>
          <w:tcPr>
            <w:tcW w:w="731" w:type="pct"/>
            <w:tcBorders>
              <w:bottom w:val="single" w:sz="4" w:space="0" w:color="auto"/>
            </w:tcBorders>
            <w:vAlign w:val="top"/>
          </w:tcPr>
          <w:p w14:paraId="6FC3D562" w14:textId="2F347021" w:rsidR="00FB4B64" w:rsidRPr="005A7F6A" w:rsidRDefault="00FB4B64" w:rsidP="009C58F5">
            <w:pPr>
              <w:pStyle w:val="TableBodyText"/>
              <w:spacing w:before="40" w:after="40"/>
            </w:pPr>
            <w:r>
              <w:t>38,142</w:t>
            </w:r>
          </w:p>
        </w:tc>
      </w:tr>
      <w:tr w:rsidR="00004893" w:rsidRPr="00004893" w14:paraId="1B340071" w14:textId="77777777" w:rsidTr="006E27D3">
        <w:trPr>
          <w:trHeight w:val="20"/>
        </w:trPr>
        <w:tc>
          <w:tcPr>
            <w:tcW w:w="3018" w:type="pct"/>
            <w:tcBorders>
              <w:top w:val="single" w:sz="4" w:space="0" w:color="auto"/>
              <w:bottom w:val="single" w:sz="4" w:space="0" w:color="auto"/>
            </w:tcBorders>
            <w:vAlign w:val="top"/>
          </w:tcPr>
          <w:p w14:paraId="7FF33E2E" w14:textId="77777777" w:rsidR="00226E71" w:rsidRPr="007456A5" w:rsidRDefault="00226E71" w:rsidP="009C58F5">
            <w:pPr>
              <w:pStyle w:val="TableBodyText"/>
              <w:spacing w:before="40" w:after="40"/>
              <w:rPr>
                <w:rStyle w:val="Bold"/>
              </w:rPr>
            </w:pPr>
            <w:r w:rsidRPr="007456A5">
              <w:rPr>
                <w:rStyle w:val="Bold"/>
              </w:rPr>
              <w:t>Total revenue</w:t>
            </w:r>
          </w:p>
        </w:tc>
        <w:tc>
          <w:tcPr>
            <w:tcW w:w="514" w:type="pct"/>
            <w:tcBorders>
              <w:top w:val="single" w:sz="4" w:space="0" w:color="auto"/>
              <w:bottom w:val="single" w:sz="4" w:space="0" w:color="auto"/>
            </w:tcBorders>
            <w:vAlign w:val="top"/>
          </w:tcPr>
          <w:p w14:paraId="31A55D0D" w14:textId="586B1C45" w:rsidR="00226E71" w:rsidRPr="00004893" w:rsidRDefault="00FB4B64" w:rsidP="009C58F5">
            <w:pPr>
              <w:pStyle w:val="TableBodyText"/>
              <w:spacing w:before="40" w:after="40"/>
            </w:pPr>
            <w:r w:rsidRPr="00004893">
              <w:t>N/A</w:t>
            </w:r>
          </w:p>
        </w:tc>
        <w:tc>
          <w:tcPr>
            <w:tcW w:w="737" w:type="pct"/>
            <w:tcBorders>
              <w:top w:val="single" w:sz="4" w:space="0" w:color="auto"/>
              <w:bottom w:val="single" w:sz="4" w:space="0" w:color="auto"/>
            </w:tcBorders>
            <w:vAlign w:val="top"/>
          </w:tcPr>
          <w:p w14:paraId="2FEF9CC2" w14:textId="77777777" w:rsidR="00226E71" w:rsidRPr="007456A5" w:rsidRDefault="00226E71" w:rsidP="009C58F5">
            <w:pPr>
              <w:pStyle w:val="TableBodyText"/>
              <w:spacing w:before="40" w:after="40"/>
              <w:rPr>
                <w:rStyle w:val="Bold"/>
              </w:rPr>
            </w:pPr>
            <w:r w:rsidRPr="007456A5">
              <w:rPr>
                <w:rStyle w:val="Bold"/>
              </w:rPr>
              <w:t>1,988,744</w:t>
            </w:r>
          </w:p>
        </w:tc>
        <w:tc>
          <w:tcPr>
            <w:tcW w:w="731" w:type="pct"/>
            <w:tcBorders>
              <w:top w:val="single" w:sz="4" w:space="0" w:color="auto"/>
              <w:bottom w:val="single" w:sz="4" w:space="0" w:color="auto"/>
            </w:tcBorders>
            <w:vAlign w:val="top"/>
          </w:tcPr>
          <w:p w14:paraId="165D7A92" w14:textId="77777777" w:rsidR="00226E71" w:rsidRPr="007456A5" w:rsidRDefault="00226E71" w:rsidP="009C58F5">
            <w:pPr>
              <w:pStyle w:val="TableBodyText"/>
              <w:spacing w:before="40" w:after="40"/>
              <w:rPr>
                <w:rStyle w:val="Bold"/>
              </w:rPr>
            </w:pPr>
            <w:r w:rsidRPr="007456A5">
              <w:rPr>
                <w:rStyle w:val="Bold"/>
              </w:rPr>
              <w:t>1,997,620</w:t>
            </w:r>
          </w:p>
        </w:tc>
      </w:tr>
      <w:tr w:rsidR="007456A5" w:rsidRPr="005A7F6A" w14:paraId="4BCF8094" w14:textId="77777777" w:rsidTr="006E27D3">
        <w:trPr>
          <w:trHeight w:val="20"/>
        </w:trPr>
        <w:tc>
          <w:tcPr>
            <w:tcW w:w="3018" w:type="pct"/>
            <w:tcBorders>
              <w:top w:val="single" w:sz="4" w:space="0" w:color="auto"/>
            </w:tcBorders>
            <w:vAlign w:val="top"/>
          </w:tcPr>
          <w:p w14:paraId="1E6B1CB0" w14:textId="77777777" w:rsidR="00226E71" w:rsidRPr="00FB4B64" w:rsidRDefault="00226E71" w:rsidP="009C58F5">
            <w:pPr>
              <w:pStyle w:val="TableBodyText"/>
              <w:spacing w:before="40" w:after="40"/>
              <w:rPr>
                <w:rStyle w:val="Bold"/>
              </w:rPr>
            </w:pPr>
            <w:r w:rsidRPr="00FB4B64">
              <w:rPr>
                <w:rStyle w:val="Bold"/>
              </w:rPr>
              <w:t>Expenses</w:t>
            </w:r>
          </w:p>
        </w:tc>
        <w:tc>
          <w:tcPr>
            <w:tcW w:w="514" w:type="pct"/>
            <w:tcBorders>
              <w:top w:val="single" w:sz="4" w:space="0" w:color="auto"/>
            </w:tcBorders>
            <w:vAlign w:val="top"/>
          </w:tcPr>
          <w:p w14:paraId="0E384257" w14:textId="3188E550" w:rsidR="00226E71" w:rsidRPr="005A7F6A" w:rsidRDefault="00004893" w:rsidP="009C58F5">
            <w:pPr>
              <w:pStyle w:val="TableBodyText"/>
              <w:spacing w:before="40" w:after="40"/>
            </w:pPr>
            <w:r>
              <w:t>N/A</w:t>
            </w:r>
          </w:p>
        </w:tc>
        <w:tc>
          <w:tcPr>
            <w:tcW w:w="737" w:type="pct"/>
            <w:tcBorders>
              <w:top w:val="single" w:sz="4" w:space="0" w:color="auto"/>
            </w:tcBorders>
            <w:vAlign w:val="top"/>
          </w:tcPr>
          <w:p w14:paraId="1F55B223" w14:textId="788CDEF2" w:rsidR="00226E71" w:rsidRPr="005A7F6A" w:rsidRDefault="00004893" w:rsidP="009C58F5">
            <w:pPr>
              <w:pStyle w:val="TableBodyText"/>
              <w:spacing w:before="40" w:after="40"/>
            </w:pPr>
            <w:r>
              <w:t>N/A</w:t>
            </w:r>
          </w:p>
        </w:tc>
        <w:tc>
          <w:tcPr>
            <w:tcW w:w="731" w:type="pct"/>
            <w:tcBorders>
              <w:top w:val="single" w:sz="4" w:space="0" w:color="auto"/>
            </w:tcBorders>
            <w:vAlign w:val="top"/>
          </w:tcPr>
          <w:p w14:paraId="359FBAD6" w14:textId="437DAEBE" w:rsidR="00226E71" w:rsidRPr="005A7F6A" w:rsidRDefault="00004893" w:rsidP="009C58F5">
            <w:pPr>
              <w:pStyle w:val="TableBodyText"/>
              <w:spacing w:before="40" w:after="40"/>
            </w:pPr>
            <w:r>
              <w:t>N/A</w:t>
            </w:r>
          </w:p>
        </w:tc>
      </w:tr>
      <w:tr w:rsidR="009A19B4" w:rsidRPr="005A7F6A" w14:paraId="40A88EF2" w14:textId="77777777" w:rsidTr="006E27D3">
        <w:trPr>
          <w:trHeight w:val="20"/>
        </w:trPr>
        <w:tc>
          <w:tcPr>
            <w:tcW w:w="3018" w:type="pct"/>
            <w:vAlign w:val="top"/>
          </w:tcPr>
          <w:p w14:paraId="06C3F86E" w14:textId="124D5D58" w:rsidR="009A19B4" w:rsidRPr="005A7F6A" w:rsidRDefault="009A19B4" w:rsidP="009C58F5">
            <w:pPr>
              <w:pStyle w:val="TableBodyText"/>
              <w:spacing w:before="40" w:after="40"/>
            </w:pPr>
            <w:r w:rsidRPr="005A7F6A">
              <w:t>Depreciation and amortisation expenses</w:t>
            </w:r>
          </w:p>
        </w:tc>
        <w:tc>
          <w:tcPr>
            <w:tcW w:w="514" w:type="pct"/>
            <w:vAlign w:val="top"/>
          </w:tcPr>
          <w:p w14:paraId="271E40D8" w14:textId="0E690711" w:rsidR="009A19B4" w:rsidRPr="005A7F6A" w:rsidRDefault="003742AD" w:rsidP="009C58F5">
            <w:pPr>
              <w:pStyle w:val="TableBodyText"/>
              <w:spacing w:before="40" w:after="40"/>
            </w:pPr>
            <w:r>
              <w:fldChar w:fldCharType="begin"/>
            </w:r>
            <w:r>
              <w:instrText xml:space="preserve"> REF Note413 \h </w:instrText>
            </w:r>
            <w:r>
              <w:fldChar w:fldCharType="separate"/>
            </w:r>
            <w:r w:rsidR="00472151">
              <w:t>4.1.3</w:t>
            </w:r>
            <w:r>
              <w:fldChar w:fldCharType="end"/>
            </w:r>
          </w:p>
        </w:tc>
        <w:tc>
          <w:tcPr>
            <w:tcW w:w="737" w:type="pct"/>
            <w:vAlign w:val="top"/>
          </w:tcPr>
          <w:p w14:paraId="4EAA70BD" w14:textId="0E647697" w:rsidR="009A19B4" w:rsidRPr="005A7F6A" w:rsidRDefault="009A19B4" w:rsidP="009C58F5">
            <w:pPr>
              <w:pStyle w:val="TableBodyText"/>
              <w:spacing w:before="40" w:after="40"/>
            </w:pPr>
            <w:r>
              <w:t>(450,146)</w:t>
            </w:r>
          </w:p>
        </w:tc>
        <w:tc>
          <w:tcPr>
            <w:tcW w:w="731" w:type="pct"/>
            <w:vAlign w:val="top"/>
          </w:tcPr>
          <w:p w14:paraId="7BB3ED6E" w14:textId="76B34CA3" w:rsidR="009A19B4" w:rsidRPr="005A7F6A" w:rsidRDefault="009A19B4" w:rsidP="009C58F5">
            <w:pPr>
              <w:pStyle w:val="TableBodyText"/>
              <w:spacing w:before="40" w:after="40"/>
            </w:pPr>
            <w:r>
              <w:t>(434,687)</w:t>
            </w:r>
          </w:p>
        </w:tc>
      </w:tr>
      <w:tr w:rsidR="009A19B4" w:rsidRPr="005A7F6A" w14:paraId="3CFBE041" w14:textId="77777777" w:rsidTr="006E27D3">
        <w:trPr>
          <w:trHeight w:val="20"/>
        </w:trPr>
        <w:tc>
          <w:tcPr>
            <w:tcW w:w="3018" w:type="pct"/>
            <w:vAlign w:val="top"/>
          </w:tcPr>
          <w:p w14:paraId="47BBBC0B" w14:textId="20FF561D" w:rsidR="009A19B4" w:rsidRPr="005A7F6A" w:rsidRDefault="009A19B4" w:rsidP="009C58F5">
            <w:pPr>
              <w:pStyle w:val="TableBodyText"/>
              <w:spacing w:before="40" w:after="40"/>
            </w:pPr>
            <w:r>
              <w:t>Operational expenses</w:t>
            </w:r>
          </w:p>
        </w:tc>
        <w:tc>
          <w:tcPr>
            <w:tcW w:w="514" w:type="pct"/>
            <w:vAlign w:val="top"/>
          </w:tcPr>
          <w:p w14:paraId="0829BD9A" w14:textId="0A95320B" w:rsidR="009A19B4" w:rsidRPr="005A7F6A" w:rsidRDefault="00506A67" w:rsidP="009C58F5">
            <w:pPr>
              <w:pStyle w:val="TableBodyText"/>
              <w:spacing w:before="40" w:after="40"/>
            </w:pPr>
            <w:r>
              <w:fldChar w:fldCharType="begin"/>
            </w:r>
            <w:r>
              <w:instrText xml:space="preserve"> REF Note31 \h </w:instrText>
            </w:r>
            <w:r>
              <w:fldChar w:fldCharType="separate"/>
            </w:r>
            <w:r w:rsidR="00472151" w:rsidRPr="00470F0A">
              <w:t>3</w:t>
            </w:r>
            <w:r w:rsidR="00472151">
              <w:t xml:space="preserve">.1 </w:t>
            </w:r>
            <w:r>
              <w:fldChar w:fldCharType="end"/>
            </w:r>
          </w:p>
        </w:tc>
        <w:tc>
          <w:tcPr>
            <w:tcW w:w="737" w:type="pct"/>
            <w:vAlign w:val="top"/>
          </w:tcPr>
          <w:p w14:paraId="445B7AFC" w14:textId="273124A7" w:rsidR="009A19B4" w:rsidRPr="005A7F6A" w:rsidRDefault="009A19B4" w:rsidP="009C58F5">
            <w:pPr>
              <w:pStyle w:val="TableBodyText"/>
              <w:spacing w:before="40" w:after="40"/>
            </w:pPr>
            <w:r>
              <w:t>(304,859)</w:t>
            </w:r>
          </w:p>
        </w:tc>
        <w:tc>
          <w:tcPr>
            <w:tcW w:w="731" w:type="pct"/>
            <w:vAlign w:val="top"/>
          </w:tcPr>
          <w:p w14:paraId="0489FEAD" w14:textId="6AD73F2F" w:rsidR="009A19B4" w:rsidRPr="005A7F6A" w:rsidRDefault="009A19B4" w:rsidP="009C58F5">
            <w:pPr>
              <w:pStyle w:val="TableBodyText"/>
              <w:spacing w:before="40" w:after="40"/>
            </w:pPr>
            <w:r>
              <w:t>(291,465)</w:t>
            </w:r>
          </w:p>
        </w:tc>
      </w:tr>
      <w:tr w:rsidR="009A19B4" w:rsidRPr="005A7F6A" w14:paraId="0D89FC60" w14:textId="77777777" w:rsidTr="006E27D3">
        <w:trPr>
          <w:trHeight w:val="20"/>
        </w:trPr>
        <w:tc>
          <w:tcPr>
            <w:tcW w:w="3018" w:type="pct"/>
            <w:vAlign w:val="top"/>
          </w:tcPr>
          <w:p w14:paraId="284DDEFF" w14:textId="39696F9F" w:rsidR="009A19B4" w:rsidRPr="005A7F6A" w:rsidRDefault="009A19B4" w:rsidP="009C58F5">
            <w:pPr>
              <w:pStyle w:val="TableBodyText"/>
              <w:spacing w:before="40" w:after="40"/>
            </w:pPr>
            <w:r>
              <w:t>Employee benefit expenses</w:t>
            </w:r>
          </w:p>
        </w:tc>
        <w:tc>
          <w:tcPr>
            <w:tcW w:w="514" w:type="pct"/>
            <w:vAlign w:val="top"/>
          </w:tcPr>
          <w:p w14:paraId="4E70B0B5" w14:textId="11AB4E8D" w:rsidR="009A19B4" w:rsidRPr="005A7F6A" w:rsidRDefault="00506A67" w:rsidP="009C58F5">
            <w:pPr>
              <w:pStyle w:val="TableBodyText"/>
              <w:spacing w:before="40" w:after="40"/>
            </w:pPr>
            <w:r>
              <w:fldChar w:fldCharType="begin"/>
            </w:r>
            <w:r>
              <w:instrText xml:space="preserve"> REF Note32 \h </w:instrText>
            </w:r>
            <w:r>
              <w:fldChar w:fldCharType="separate"/>
            </w:r>
            <w:r w:rsidR="00472151" w:rsidRPr="00470F0A">
              <w:t>3</w:t>
            </w:r>
            <w:r w:rsidR="00472151">
              <w:t xml:space="preserve">.2 </w:t>
            </w:r>
            <w:r>
              <w:fldChar w:fldCharType="end"/>
            </w:r>
          </w:p>
        </w:tc>
        <w:tc>
          <w:tcPr>
            <w:tcW w:w="737" w:type="pct"/>
            <w:vAlign w:val="top"/>
          </w:tcPr>
          <w:p w14:paraId="5437E1F3" w14:textId="6267B7BC" w:rsidR="009A19B4" w:rsidRPr="005A7F6A" w:rsidRDefault="009A19B4" w:rsidP="009C58F5">
            <w:pPr>
              <w:pStyle w:val="TableBodyText"/>
              <w:spacing w:before="40" w:after="40"/>
            </w:pPr>
            <w:r>
              <w:t>(146,119)</w:t>
            </w:r>
          </w:p>
        </w:tc>
        <w:tc>
          <w:tcPr>
            <w:tcW w:w="731" w:type="pct"/>
            <w:vAlign w:val="top"/>
          </w:tcPr>
          <w:p w14:paraId="7EE40B14" w14:textId="54F521B2" w:rsidR="009A19B4" w:rsidRPr="005A7F6A" w:rsidRDefault="009A19B4" w:rsidP="009C58F5">
            <w:pPr>
              <w:pStyle w:val="TableBodyText"/>
              <w:spacing w:before="40" w:after="40"/>
            </w:pPr>
            <w:r>
              <w:t>(140,409)</w:t>
            </w:r>
          </w:p>
        </w:tc>
      </w:tr>
      <w:tr w:rsidR="009A19B4" w:rsidRPr="005A7F6A" w14:paraId="2F71EC6A" w14:textId="77777777" w:rsidTr="006E27D3">
        <w:trPr>
          <w:trHeight w:val="20"/>
        </w:trPr>
        <w:tc>
          <w:tcPr>
            <w:tcW w:w="3018" w:type="pct"/>
            <w:vAlign w:val="top"/>
          </w:tcPr>
          <w:p w14:paraId="168ED41A" w14:textId="0D2A5FC6" w:rsidR="009A19B4" w:rsidRPr="005A7F6A" w:rsidRDefault="00004893" w:rsidP="009C58F5">
            <w:pPr>
              <w:pStyle w:val="TableBodyText"/>
              <w:spacing w:before="40" w:after="40"/>
            </w:pPr>
            <w:r>
              <w:t>Repairs and maintenance expenses</w:t>
            </w:r>
          </w:p>
        </w:tc>
        <w:tc>
          <w:tcPr>
            <w:tcW w:w="514" w:type="pct"/>
            <w:vAlign w:val="top"/>
          </w:tcPr>
          <w:p w14:paraId="006BB653" w14:textId="4EA7E33C" w:rsidR="009A19B4" w:rsidRPr="005A7F6A" w:rsidRDefault="00CC5254" w:rsidP="009C58F5">
            <w:pPr>
              <w:pStyle w:val="TableBodyText"/>
              <w:spacing w:before="40" w:after="40"/>
            </w:pPr>
            <w:r>
              <w:fldChar w:fldCharType="begin"/>
            </w:r>
            <w:r>
              <w:instrText xml:space="preserve"> REF Note33 \h </w:instrText>
            </w:r>
            <w:r>
              <w:fldChar w:fldCharType="separate"/>
            </w:r>
            <w:r w:rsidR="00472151">
              <w:t xml:space="preserve">3.3 </w:t>
            </w:r>
            <w:r>
              <w:fldChar w:fldCharType="end"/>
            </w:r>
          </w:p>
        </w:tc>
        <w:tc>
          <w:tcPr>
            <w:tcW w:w="737" w:type="pct"/>
            <w:vAlign w:val="top"/>
          </w:tcPr>
          <w:p w14:paraId="3F3E4F91" w14:textId="777B7599" w:rsidR="009A19B4" w:rsidRPr="005A7F6A" w:rsidRDefault="00004893" w:rsidP="009C58F5">
            <w:pPr>
              <w:pStyle w:val="TableBodyText"/>
              <w:spacing w:before="40" w:after="40"/>
            </w:pPr>
            <w:r>
              <w:t>(95,412)</w:t>
            </w:r>
          </w:p>
        </w:tc>
        <w:tc>
          <w:tcPr>
            <w:tcW w:w="731" w:type="pct"/>
            <w:vAlign w:val="top"/>
          </w:tcPr>
          <w:p w14:paraId="547F371B" w14:textId="04987C49" w:rsidR="009A19B4" w:rsidRPr="005A7F6A" w:rsidRDefault="00004893" w:rsidP="009C58F5">
            <w:pPr>
              <w:pStyle w:val="TableBodyText"/>
              <w:spacing w:before="40" w:after="40"/>
            </w:pPr>
            <w:r>
              <w:t>(83,200)</w:t>
            </w:r>
          </w:p>
        </w:tc>
      </w:tr>
      <w:tr w:rsidR="00226E71" w:rsidRPr="005A7F6A" w14:paraId="211098CE" w14:textId="77777777" w:rsidTr="006E27D3">
        <w:trPr>
          <w:trHeight w:val="20"/>
        </w:trPr>
        <w:tc>
          <w:tcPr>
            <w:tcW w:w="3018" w:type="pct"/>
            <w:vAlign w:val="top"/>
          </w:tcPr>
          <w:p w14:paraId="7E854EF8" w14:textId="09C45EE0" w:rsidR="00226E71" w:rsidRPr="005A7F6A" w:rsidRDefault="00004893" w:rsidP="009C58F5">
            <w:pPr>
              <w:pStyle w:val="TableBodyText"/>
              <w:spacing w:before="40" w:after="40"/>
            </w:pPr>
            <w:r>
              <w:t>Administrative expenses</w:t>
            </w:r>
          </w:p>
        </w:tc>
        <w:tc>
          <w:tcPr>
            <w:tcW w:w="514" w:type="pct"/>
            <w:vAlign w:val="top"/>
          </w:tcPr>
          <w:p w14:paraId="1466DA7D" w14:textId="00CB5E30" w:rsidR="00226E71" w:rsidRPr="005A7F6A" w:rsidRDefault="00004893" w:rsidP="009C58F5">
            <w:pPr>
              <w:pStyle w:val="TableBodyText"/>
              <w:spacing w:before="40" w:after="40"/>
            </w:pPr>
            <w:r>
              <w:t>3.4</w:t>
            </w:r>
          </w:p>
        </w:tc>
        <w:tc>
          <w:tcPr>
            <w:tcW w:w="737" w:type="pct"/>
            <w:vAlign w:val="top"/>
          </w:tcPr>
          <w:p w14:paraId="3D8C2901" w14:textId="4A8EA261" w:rsidR="00226E71" w:rsidRPr="005A7F6A" w:rsidRDefault="00004893" w:rsidP="009C58F5">
            <w:pPr>
              <w:pStyle w:val="TableBodyText"/>
              <w:spacing w:before="40" w:after="40"/>
            </w:pPr>
            <w:r>
              <w:t>(42,773)</w:t>
            </w:r>
          </w:p>
        </w:tc>
        <w:tc>
          <w:tcPr>
            <w:tcW w:w="731" w:type="pct"/>
            <w:vAlign w:val="top"/>
          </w:tcPr>
          <w:p w14:paraId="3E3C0ECD" w14:textId="66DB75F8" w:rsidR="00226E71" w:rsidRPr="005A7F6A" w:rsidRDefault="00004893" w:rsidP="009C58F5">
            <w:pPr>
              <w:pStyle w:val="TableBodyText"/>
              <w:spacing w:before="40" w:after="40"/>
            </w:pPr>
            <w:r>
              <w:t>(43,294)</w:t>
            </w:r>
          </w:p>
        </w:tc>
      </w:tr>
      <w:tr w:rsidR="00004893" w:rsidRPr="005A7F6A" w14:paraId="7550BC6D" w14:textId="77777777" w:rsidTr="006E27D3">
        <w:trPr>
          <w:trHeight w:val="20"/>
        </w:trPr>
        <w:tc>
          <w:tcPr>
            <w:tcW w:w="3018" w:type="pct"/>
            <w:vAlign w:val="top"/>
          </w:tcPr>
          <w:p w14:paraId="59BDDB05" w14:textId="23ECC7EC" w:rsidR="00004893" w:rsidRDefault="00004893" w:rsidP="009C58F5">
            <w:pPr>
              <w:pStyle w:val="TableBodyText"/>
              <w:spacing w:before="40" w:after="40"/>
            </w:pPr>
            <w:r>
              <w:t>Finance expenses</w:t>
            </w:r>
          </w:p>
        </w:tc>
        <w:tc>
          <w:tcPr>
            <w:tcW w:w="514" w:type="pct"/>
            <w:vAlign w:val="top"/>
          </w:tcPr>
          <w:p w14:paraId="6388425B" w14:textId="4FD4FAC1" w:rsidR="00004893" w:rsidRDefault="003742AD" w:rsidP="009C58F5">
            <w:pPr>
              <w:pStyle w:val="TableBodyText"/>
              <w:spacing w:before="40" w:after="40"/>
            </w:pPr>
            <w:r>
              <w:fldChar w:fldCharType="begin"/>
            </w:r>
            <w:r>
              <w:instrText xml:space="preserve"> REF Note511 \h </w:instrText>
            </w:r>
            <w:r>
              <w:fldChar w:fldCharType="separate"/>
            </w:r>
            <w:r w:rsidR="00472151">
              <w:t xml:space="preserve">5.1.1 </w:t>
            </w:r>
            <w:r>
              <w:fldChar w:fldCharType="end"/>
            </w:r>
          </w:p>
        </w:tc>
        <w:tc>
          <w:tcPr>
            <w:tcW w:w="737" w:type="pct"/>
            <w:vAlign w:val="top"/>
          </w:tcPr>
          <w:p w14:paraId="7D667A57" w14:textId="0710B42F" w:rsidR="00004893" w:rsidRDefault="00004893" w:rsidP="009C58F5">
            <w:pPr>
              <w:pStyle w:val="TableBodyText"/>
              <w:spacing w:before="40" w:after="40"/>
            </w:pPr>
            <w:r>
              <w:t>(573,914)</w:t>
            </w:r>
          </w:p>
        </w:tc>
        <w:tc>
          <w:tcPr>
            <w:tcW w:w="731" w:type="pct"/>
            <w:vAlign w:val="top"/>
          </w:tcPr>
          <w:p w14:paraId="5F706147" w14:textId="7FE0756B" w:rsidR="00004893" w:rsidRDefault="00004893" w:rsidP="009C58F5">
            <w:pPr>
              <w:pStyle w:val="TableBodyText"/>
              <w:spacing w:before="40" w:after="40"/>
            </w:pPr>
            <w:r>
              <w:t>(601,800)</w:t>
            </w:r>
          </w:p>
        </w:tc>
      </w:tr>
      <w:tr w:rsidR="00004893" w:rsidRPr="005A7F6A" w14:paraId="6F2B0266" w14:textId="77777777" w:rsidTr="006E27D3">
        <w:trPr>
          <w:trHeight w:val="20"/>
        </w:trPr>
        <w:tc>
          <w:tcPr>
            <w:tcW w:w="3018" w:type="pct"/>
            <w:vAlign w:val="top"/>
          </w:tcPr>
          <w:p w14:paraId="0E729B38" w14:textId="146F20F7" w:rsidR="00004893" w:rsidRDefault="00004893" w:rsidP="009C58F5">
            <w:pPr>
              <w:pStyle w:val="TableBodyText"/>
              <w:spacing w:before="40" w:after="40"/>
            </w:pPr>
            <w:r>
              <w:t>Government rates and taxes</w:t>
            </w:r>
          </w:p>
        </w:tc>
        <w:tc>
          <w:tcPr>
            <w:tcW w:w="514" w:type="pct"/>
            <w:vAlign w:val="top"/>
          </w:tcPr>
          <w:p w14:paraId="5DB97461" w14:textId="58472C8B" w:rsidR="00004893" w:rsidRDefault="00CC5254" w:rsidP="009C58F5">
            <w:pPr>
              <w:pStyle w:val="TableBodyText"/>
              <w:spacing w:before="40" w:after="40"/>
            </w:pPr>
            <w:r>
              <w:fldChar w:fldCharType="begin"/>
            </w:r>
            <w:r>
              <w:instrText xml:space="preserve"> REF Note35 \h </w:instrText>
            </w:r>
            <w:r>
              <w:fldChar w:fldCharType="separate"/>
            </w:r>
            <w:r w:rsidR="00472151">
              <w:t xml:space="preserve">3.5 </w:t>
            </w:r>
            <w:r>
              <w:fldChar w:fldCharType="end"/>
            </w:r>
          </w:p>
        </w:tc>
        <w:tc>
          <w:tcPr>
            <w:tcW w:w="737" w:type="pct"/>
            <w:vAlign w:val="top"/>
          </w:tcPr>
          <w:p w14:paraId="2EB2A08E" w14:textId="129B1988" w:rsidR="00004893" w:rsidRDefault="00004893" w:rsidP="009C58F5">
            <w:pPr>
              <w:pStyle w:val="TableBodyText"/>
              <w:spacing w:before="40" w:after="40"/>
            </w:pPr>
            <w:r>
              <w:t>(29,814)</w:t>
            </w:r>
          </w:p>
        </w:tc>
        <w:tc>
          <w:tcPr>
            <w:tcW w:w="731" w:type="pct"/>
            <w:vAlign w:val="top"/>
          </w:tcPr>
          <w:p w14:paraId="15C62FF8" w14:textId="69D01FDD" w:rsidR="00004893" w:rsidRDefault="00004893" w:rsidP="009C58F5">
            <w:pPr>
              <w:pStyle w:val="TableBodyText"/>
              <w:spacing w:before="40" w:after="40"/>
            </w:pPr>
            <w:r>
              <w:t>(33,772)</w:t>
            </w:r>
          </w:p>
        </w:tc>
      </w:tr>
      <w:tr w:rsidR="00004893" w:rsidRPr="005A7F6A" w14:paraId="110A951E" w14:textId="77777777" w:rsidTr="006E27D3">
        <w:trPr>
          <w:trHeight w:val="20"/>
        </w:trPr>
        <w:tc>
          <w:tcPr>
            <w:tcW w:w="3018" w:type="pct"/>
            <w:vAlign w:val="top"/>
          </w:tcPr>
          <w:p w14:paraId="351617E7" w14:textId="787801C7" w:rsidR="00004893" w:rsidRDefault="00004893" w:rsidP="009C58F5">
            <w:pPr>
              <w:pStyle w:val="TableBodyText"/>
              <w:spacing w:before="40" w:after="40"/>
            </w:pPr>
            <w:r>
              <w:t>Asset transfers to council</w:t>
            </w:r>
          </w:p>
        </w:tc>
        <w:tc>
          <w:tcPr>
            <w:tcW w:w="514" w:type="pct"/>
            <w:vAlign w:val="top"/>
          </w:tcPr>
          <w:p w14:paraId="2B9FCB44" w14:textId="0E320D25" w:rsidR="00004893" w:rsidRDefault="00CC5254" w:rsidP="009C58F5">
            <w:pPr>
              <w:pStyle w:val="TableBodyText"/>
              <w:spacing w:before="40" w:after="40"/>
            </w:pPr>
            <w:r>
              <w:fldChar w:fldCharType="begin"/>
            </w:r>
            <w:r>
              <w:instrText xml:space="preserve"> REF Note36 \h </w:instrText>
            </w:r>
            <w:r>
              <w:fldChar w:fldCharType="separate"/>
            </w:r>
            <w:r w:rsidR="00472151">
              <w:t xml:space="preserve">3.6 </w:t>
            </w:r>
            <w:r>
              <w:fldChar w:fldCharType="end"/>
            </w:r>
          </w:p>
        </w:tc>
        <w:tc>
          <w:tcPr>
            <w:tcW w:w="737" w:type="pct"/>
            <w:vAlign w:val="top"/>
          </w:tcPr>
          <w:p w14:paraId="2C45BB15" w14:textId="02CDFA36" w:rsidR="00004893" w:rsidRDefault="00004893" w:rsidP="009C58F5">
            <w:pPr>
              <w:pStyle w:val="TableBodyText"/>
              <w:spacing w:before="40" w:after="40"/>
            </w:pPr>
            <w:r>
              <w:t>(40,553)</w:t>
            </w:r>
          </w:p>
        </w:tc>
        <w:tc>
          <w:tcPr>
            <w:tcW w:w="731" w:type="pct"/>
            <w:vAlign w:val="top"/>
          </w:tcPr>
          <w:p w14:paraId="0A26E422" w14:textId="1F148CA7" w:rsidR="00004893" w:rsidRDefault="00004893" w:rsidP="009C58F5">
            <w:pPr>
              <w:pStyle w:val="TableBodyText"/>
              <w:spacing w:before="40" w:after="40"/>
            </w:pPr>
            <w:r>
              <w:t>(35,814)</w:t>
            </w:r>
          </w:p>
        </w:tc>
      </w:tr>
      <w:tr w:rsidR="00004893" w:rsidRPr="005A7F6A" w14:paraId="1515DB24" w14:textId="77777777" w:rsidTr="006E27D3">
        <w:trPr>
          <w:trHeight w:val="20"/>
        </w:trPr>
        <w:tc>
          <w:tcPr>
            <w:tcW w:w="3018" w:type="pct"/>
            <w:tcBorders>
              <w:bottom w:val="single" w:sz="4" w:space="0" w:color="auto"/>
            </w:tcBorders>
            <w:vAlign w:val="top"/>
          </w:tcPr>
          <w:p w14:paraId="768A3CA5" w14:textId="00830299" w:rsidR="00004893" w:rsidRDefault="00004893" w:rsidP="009C58F5">
            <w:pPr>
              <w:pStyle w:val="TableBodyText"/>
              <w:spacing w:before="40" w:after="40"/>
            </w:pPr>
            <w:r>
              <w:t>Other expenses</w:t>
            </w:r>
          </w:p>
        </w:tc>
        <w:tc>
          <w:tcPr>
            <w:tcW w:w="514" w:type="pct"/>
            <w:tcBorders>
              <w:bottom w:val="single" w:sz="4" w:space="0" w:color="auto"/>
            </w:tcBorders>
            <w:vAlign w:val="top"/>
          </w:tcPr>
          <w:p w14:paraId="30458DDD" w14:textId="5EE61301" w:rsidR="00004893" w:rsidRDefault="00C9560B" w:rsidP="009C58F5">
            <w:pPr>
              <w:pStyle w:val="TableBodyText"/>
              <w:spacing w:before="40" w:after="40"/>
            </w:pPr>
            <w:r>
              <w:fldChar w:fldCharType="begin"/>
            </w:r>
            <w:r>
              <w:instrText xml:space="preserve"> REF Note37 \h </w:instrText>
            </w:r>
            <w:r>
              <w:fldChar w:fldCharType="separate"/>
            </w:r>
            <w:r w:rsidR="00472151">
              <w:t xml:space="preserve">3.7 </w:t>
            </w:r>
            <w:r>
              <w:fldChar w:fldCharType="end"/>
            </w:r>
          </w:p>
        </w:tc>
        <w:tc>
          <w:tcPr>
            <w:tcW w:w="737" w:type="pct"/>
            <w:tcBorders>
              <w:bottom w:val="single" w:sz="4" w:space="0" w:color="auto"/>
            </w:tcBorders>
            <w:vAlign w:val="top"/>
          </w:tcPr>
          <w:p w14:paraId="77601DF1" w14:textId="2574B66A" w:rsidR="00004893" w:rsidRDefault="00004893" w:rsidP="009C58F5">
            <w:pPr>
              <w:pStyle w:val="TableBodyText"/>
              <w:spacing w:before="40" w:after="40"/>
            </w:pPr>
            <w:r>
              <w:t>(12,477)</w:t>
            </w:r>
          </w:p>
        </w:tc>
        <w:tc>
          <w:tcPr>
            <w:tcW w:w="731" w:type="pct"/>
            <w:tcBorders>
              <w:bottom w:val="single" w:sz="4" w:space="0" w:color="auto"/>
            </w:tcBorders>
            <w:vAlign w:val="top"/>
          </w:tcPr>
          <w:p w14:paraId="3D698B68" w14:textId="46673CC1" w:rsidR="00004893" w:rsidRDefault="00004893" w:rsidP="009C58F5">
            <w:pPr>
              <w:pStyle w:val="TableBodyText"/>
              <w:spacing w:before="40" w:after="40"/>
            </w:pPr>
            <w:r>
              <w:t>(8,270)</w:t>
            </w:r>
          </w:p>
        </w:tc>
      </w:tr>
      <w:tr w:rsidR="007456A5" w:rsidRPr="00004893" w14:paraId="61126D6F" w14:textId="77777777" w:rsidTr="006E27D3">
        <w:trPr>
          <w:trHeight w:val="20"/>
        </w:trPr>
        <w:tc>
          <w:tcPr>
            <w:tcW w:w="3018" w:type="pct"/>
            <w:tcBorders>
              <w:top w:val="single" w:sz="4" w:space="0" w:color="auto"/>
              <w:bottom w:val="single" w:sz="4" w:space="0" w:color="auto"/>
            </w:tcBorders>
            <w:vAlign w:val="top"/>
          </w:tcPr>
          <w:p w14:paraId="14C2D182" w14:textId="77777777" w:rsidR="00226E71" w:rsidRPr="007456A5" w:rsidRDefault="00226E71" w:rsidP="009C58F5">
            <w:pPr>
              <w:pStyle w:val="TableBodyText"/>
              <w:spacing w:before="40" w:after="40"/>
              <w:rPr>
                <w:rStyle w:val="Bold"/>
              </w:rPr>
            </w:pPr>
            <w:r w:rsidRPr="007456A5">
              <w:rPr>
                <w:rStyle w:val="Bold"/>
              </w:rPr>
              <w:t>Total expenses</w:t>
            </w:r>
          </w:p>
        </w:tc>
        <w:tc>
          <w:tcPr>
            <w:tcW w:w="514" w:type="pct"/>
            <w:tcBorders>
              <w:top w:val="single" w:sz="4" w:space="0" w:color="auto"/>
              <w:bottom w:val="single" w:sz="4" w:space="0" w:color="auto"/>
            </w:tcBorders>
            <w:vAlign w:val="top"/>
          </w:tcPr>
          <w:p w14:paraId="10EC2452" w14:textId="7A76F7FC" w:rsidR="00226E71" w:rsidRPr="00004893" w:rsidRDefault="00004893" w:rsidP="009C58F5">
            <w:pPr>
              <w:pStyle w:val="TableBodyText"/>
              <w:spacing w:before="40" w:after="40"/>
            </w:pPr>
            <w:r w:rsidRPr="00004893">
              <w:t>N/A</w:t>
            </w:r>
          </w:p>
        </w:tc>
        <w:tc>
          <w:tcPr>
            <w:tcW w:w="737" w:type="pct"/>
            <w:tcBorders>
              <w:top w:val="single" w:sz="4" w:space="0" w:color="auto"/>
              <w:bottom w:val="single" w:sz="4" w:space="0" w:color="auto"/>
            </w:tcBorders>
            <w:vAlign w:val="top"/>
          </w:tcPr>
          <w:p w14:paraId="4E3A2B30" w14:textId="77777777" w:rsidR="00226E71" w:rsidRPr="007456A5" w:rsidRDefault="00226E71" w:rsidP="009C58F5">
            <w:pPr>
              <w:pStyle w:val="TableBodyText"/>
              <w:spacing w:before="40" w:after="40"/>
              <w:rPr>
                <w:rStyle w:val="Bold"/>
              </w:rPr>
            </w:pPr>
            <w:r w:rsidRPr="007456A5">
              <w:rPr>
                <w:rStyle w:val="Bold"/>
              </w:rPr>
              <w:t>(1,696,067)</w:t>
            </w:r>
          </w:p>
        </w:tc>
        <w:tc>
          <w:tcPr>
            <w:tcW w:w="731" w:type="pct"/>
            <w:tcBorders>
              <w:top w:val="single" w:sz="4" w:space="0" w:color="auto"/>
              <w:bottom w:val="single" w:sz="4" w:space="0" w:color="auto"/>
            </w:tcBorders>
            <w:vAlign w:val="top"/>
          </w:tcPr>
          <w:p w14:paraId="2897C2A1" w14:textId="77777777" w:rsidR="00226E71" w:rsidRPr="007456A5" w:rsidRDefault="00226E71" w:rsidP="009C58F5">
            <w:pPr>
              <w:pStyle w:val="TableBodyText"/>
              <w:spacing w:before="40" w:after="40"/>
              <w:rPr>
                <w:rStyle w:val="Bold"/>
              </w:rPr>
            </w:pPr>
            <w:r w:rsidRPr="007456A5">
              <w:rPr>
                <w:rStyle w:val="Bold"/>
              </w:rPr>
              <w:t>(1,672,711)</w:t>
            </w:r>
          </w:p>
        </w:tc>
      </w:tr>
      <w:tr w:rsidR="00226E71" w:rsidRPr="00004893" w14:paraId="464E6F76" w14:textId="77777777" w:rsidTr="006E27D3">
        <w:trPr>
          <w:trHeight w:val="20"/>
        </w:trPr>
        <w:tc>
          <w:tcPr>
            <w:tcW w:w="3018" w:type="pct"/>
            <w:tcBorders>
              <w:top w:val="single" w:sz="4" w:space="0" w:color="auto"/>
            </w:tcBorders>
            <w:vAlign w:val="top"/>
          </w:tcPr>
          <w:p w14:paraId="7A91D8E2" w14:textId="43BB2277" w:rsidR="00226E71" w:rsidRPr="007456A5" w:rsidRDefault="00226E71" w:rsidP="009C58F5">
            <w:pPr>
              <w:pStyle w:val="TableBodyText"/>
              <w:spacing w:before="40" w:after="40"/>
              <w:rPr>
                <w:rStyle w:val="Bold"/>
              </w:rPr>
            </w:pPr>
            <w:r w:rsidRPr="007456A5">
              <w:rPr>
                <w:rStyle w:val="Bold"/>
              </w:rPr>
              <w:t>Net profit from operations before tax</w:t>
            </w:r>
          </w:p>
        </w:tc>
        <w:tc>
          <w:tcPr>
            <w:tcW w:w="514" w:type="pct"/>
            <w:tcBorders>
              <w:top w:val="single" w:sz="4" w:space="0" w:color="auto"/>
            </w:tcBorders>
            <w:vAlign w:val="top"/>
          </w:tcPr>
          <w:p w14:paraId="29374B61" w14:textId="244C8D75" w:rsidR="00226E71" w:rsidRPr="00004893" w:rsidRDefault="00004893" w:rsidP="009C58F5">
            <w:pPr>
              <w:pStyle w:val="TableBodyText"/>
              <w:spacing w:before="40" w:after="40"/>
            </w:pPr>
            <w:r w:rsidRPr="00004893">
              <w:t>N/A</w:t>
            </w:r>
          </w:p>
        </w:tc>
        <w:tc>
          <w:tcPr>
            <w:tcW w:w="737" w:type="pct"/>
            <w:tcBorders>
              <w:top w:val="single" w:sz="4" w:space="0" w:color="auto"/>
            </w:tcBorders>
            <w:vAlign w:val="top"/>
          </w:tcPr>
          <w:p w14:paraId="26BD3F1D" w14:textId="51993ECD" w:rsidR="00226E71" w:rsidRPr="007456A5" w:rsidRDefault="00226E71" w:rsidP="009C58F5">
            <w:pPr>
              <w:pStyle w:val="TableBodyText"/>
              <w:spacing w:before="40" w:after="40"/>
              <w:rPr>
                <w:rStyle w:val="Bold"/>
              </w:rPr>
            </w:pPr>
            <w:r w:rsidRPr="007456A5">
              <w:rPr>
                <w:rStyle w:val="Bold"/>
              </w:rPr>
              <w:t>292,677</w:t>
            </w:r>
          </w:p>
        </w:tc>
        <w:tc>
          <w:tcPr>
            <w:tcW w:w="731" w:type="pct"/>
            <w:tcBorders>
              <w:top w:val="single" w:sz="4" w:space="0" w:color="auto"/>
            </w:tcBorders>
            <w:vAlign w:val="top"/>
          </w:tcPr>
          <w:p w14:paraId="1F6A265D" w14:textId="227352F7" w:rsidR="00226E71" w:rsidRPr="007456A5" w:rsidRDefault="00226E71" w:rsidP="009C58F5">
            <w:pPr>
              <w:pStyle w:val="TableBodyText"/>
              <w:spacing w:before="40" w:after="40"/>
              <w:rPr>
                <w:rStyle w:val="Bold"/>
              </w:rPr>
            </w:pPr>
            <w:r w:rsidRPr="007456A5">
              <w:rPr>
                <w:rStyle w:val="Bold"/>
              </w:rPr>
              <w:t>324,909</w:t>
            </w:r>
          </w:p>
        </w:tc>
      </w:tr>
      <w:tr w:rsidR="00004893" w:rsidRPr="005A7F6A" w14:paraId="3DED0217" w14:textId="77777777" w:rsidTr="006E27D3">
        <w:trPr>
          <w:trHeight w:val="20"/>
        </w:trPr>
        <w:tc>
          <w:tcPr>
            <w:tcW w:w="3018" w:type="pct"/>
            <w:tcBorders>
              <w:bottom w:val="single" w:sz="4" w:space="0" w:color="auto"/>
            </w:tcBorders>
            <w:vAlign w:val="top"/>
          </w:tcPr>
          <w:p w14:paraId="41E642D4" w14:textId="4383C172" w:rsidR="00004893" w:rsidRPr="005A7F6A" w:rsidRDefault="00004893" w:rsidP="006E27D3">
            <w:pPr>
              <w:pStyle w:val="TableBodyText"/>
            </w:pPr>
            <w:r>
              <w:t>Tax expense</w:t>
            </w:r>
          </w:p>
        </w:tc>
        <w:tc>
          <w:tcPr>
            <w:tcW w:w="514" w:type="pct"/>
            <w:tcBorders>
              <w:bottom w:val="single" w:sz="4" w:space="0" w:color="auto"/>
            </w:tcBorders>
            <w:vAlign w:val="top"/>
          </w:tcPr>
          <w:p w14:paraId="399E93C3" w14:textId="786D4521" w:rsidR="00004893" w:rsidRPr="005A7F6A" w:rsidRDefault="00345013" w:rsidP="006E27D3">
            <w:pPr>
              <w:pStyle w:val="TableBodyText"/>
            </w:pPr>
            <w:r>
              <w:fldChar w:fldCharType="begin"/>
            </w:r>
            <w:r>
              <w:instrText xml:space="preserve"> REF Note381 \h </w:instrText>
            </w:r>
            <w:r>
              <w:fldChar w:fldCharType="separate"/>
            </w:r>
            <w:r w:rsidR="00472151">
              <w:t xml:space="preserve">3.8.1 </w:t>
            </w:r>
            <w:r>
              <w:fldChar w:fldCharType="end"/>
            </w:r>
          </w:p>
        </w:tc>
        <w:tc>
          <w:tcPr>
            <w:tcW w:w="737" w:type="pct"/>
            <w:tcBorders>
              <w:bottom w:val="single" w:sz="4" w:space="0" w:color="auto"/>
            </w:tcBorders>
            <w:vAlign w:val="top"/>
          </w:tcPr>
          <w:p w14:paraId="13976407" w14:textId="204F9F54" w:rsidR="00004893" w:rsidRPr="005A7F6A" w:rsidRDefault="00004893" w:rsidP="006E27D3">
            <w:pPr>
              <w:pStyle w:val="TableBodyText"/>
            </w:pPr>
            <w:r>
              <w:t>(100,671)</w:t>
            </w:r>
          </w:p>
        </w:tc>
        <w:tc>
          <w:tcPr>
            <w:tcW w:w="731" w:type="pct"/>
            <w:tcBorders>
              <w:bottom w:val="single" w:sz="4" w:space="0" w:color="auto"/>
            </w:tcBorders>
            <w:vAlign w:val="top"/>
          </w:tcPr>
          <w:p w14:paraId="31E51F42" w14:textId="19B32B0D" w:rsidR="00004893" w:rsidRPr="005A7F6A" w:rsidRDefault="00004893" w:rsidP="006E27D3">
            <w:pPr>
              <w:pStyle w:val="TableBodyText"/>
            </w:pPr>
            <w:r>
              <w:t>(121,596)</w:t>
            </w:r>
          </w:p>
        </w:tc>
      </w:tr>
      <w:tr w:rsidR="007456A5" w:rsidRPr="007456A5" w14:paraId="441BBE47" w14:textId="77777777" w:rsidTr="006E27D3">
        <w:trPr>
          <w:trHeight w:val="20"/>
        </w:trPr>
        <w:tc>
          <w:tcPr>
            <w:tcW w:w="3018" w:type="pct"/>
            <w:tcBorders>
              <w:top w:val="single" w:sz="4" w:space="0" w:color="auto"/>
              <w:bottom w:val="single" w:sz="4" w:space="0" w:color="auto"/>
            </w:tcBorders>
            <w:vAlign w:val="top"/>
          </w:tcPr>
          <w:p w14:paraId="4A16EC1D" w14:textId="77777777" w:rsidR="00226E71" w:rsidRPr="007456A5" w:rsidRDefault="00226E71" w:rsidP="006E27D3">
            <w:pPr>
              <w:pStyle w:val="TableBodyText"/>
              <w:rPr>
                <w:rStyle w:val="Bold"/>
              </w:rPr>
            </w:pPr>
            <w:r w:rsidRPr="007456A5">
              <w:rPr>
                <w:rStyle w:val="Bold"/>
              </w:rPr>
              <w:t>Net profit for the period after tax</w:t>
            </w:r>
          </w:p>
        </w:tc>
        <w:tc>
          <w:tcPr>
            <w:tcW w:w="514" w:type="pct"/>
            <w:tcBorders>
              <w:top w:val="single" w:sz="4" w:space="0" w:color="auto"/>
              <w:bottom w:val="single" w:sz="4" w:space="0" w:color="auto"/>
            </w:tcBorders>
            <w:vAlign w:val="top"/>
          </w:tcPr>
          <w:p w14:paraId="6C6D041A" w14:textId="167C0E04" w:rsidR="00226E71" w:rsidRPr="007456A5" w:rsidRDefault="00004893" w:rsidP="006E27D3">
            <w:pPr>
              <w:pStyle w:val="TableBodyText"/>
            </w:pPr>
            <w:r w:rsidRPr="007456A5">
              <w:t>N/A</w:t>
            </w:r>
          </w:p>
        </w:tc>
        <w:tc>
          <w:tcPr>
            <w:tcW w:w="737" w:type="pct"/>
            <w:tcBorders>
              <w:top w:val="single" w:sz="4" w:space="0" w:color="auto"/>
              <w:bottom w:val="single" w:sz="4" w:space="0" w:color="auto"/>
            </w:tcBorders>
            <w:vAlign w:val="top"/>
          </w:tcPr>
          <w:p w14:paraId="2D43450B" w14:textId="77777777" w:rsidR="00226E71" w:rsidRPr="007456A5" w:rsidRDefault="00226E71" w:rsidP="006E27D3">
            <w:pPr>
              <w:pStyle w:val="TableBodyText"/>
              <w:rPr>
                <w:rStyle w:val="Bold"/>
              </w:rPr>
            </w:pPr>
            <w:r w:rsidRPr="007456A5">
              <w:rPr>
                <w:rStyle w:val="Bold"/>
              </w:rPr>
              <w:t>192,006</w:t>
            </w:r>
          </w:p>
        </w:tc>
        <w:tc>
          <w:tcPr>
            <w:tcW w:w="731" w:type="pct"/>
            <w:tcBorders>
              <w:top w:val="single" w:sz="4" w:space="0" w:color="auto"/>
              <w:bottom w:val="single" w:sz="4" w:space="0" w:color="auto"/>
            </w:tcBorders>
            <w:vAlign w:val="top"/>
          </w:tcPr>
          <w:p w14:paraId="08BC8A8B" w14:textId="77777777" w:rsidR="00226E71" w:rsidRPr="007456A5" w:rsidRDefault="00226E71" w:rsidP="006E27D3">
            <w:pPr>
              <w:pStyle w:val="TableBodyText"/>
              <w:rPr>
                <w:rStyle w:val="Bold"/>
              </w:rPr>
            </w:pPr>
            <w:r w:rsidRPr="007456A5">
              <w:rPr>
                <w:rStyle w:val="Bold"/>
              </w:rPr>
              <w:t>203,313</w:t>
            </w:r>
          </w:p>
        </w:tc>
      </w:tr>
      <w:tr w:rsidR="00226E71" w:rsidRPr="005A7F6A" w14:paraId="51F55B7E" w14:textId="77777777" w:rsidTr="006E27D3">
        <w:trPr>
          <w:trHeight w:val="20"/>
        </w:trPr>
        <w:tc>
          <w:tcPr>
            <w:tcW w:w="3018" w:type="pct"/>
            <w:tcBorders>
              <w:top w:val="single" w:sz="4" w:space="0" w:color="auto"/>
            </w:tcBorders>
            <w:vAlign w:val="top"/>
          </w:tcPr>
          <w:p w14:paraId="265AEEC0" w14:textId="77777777" w:rsidR="00226E71" w:rsidRPr="007456A5" w:rsidRDefault="00226E71" w:rsidP="009C58F5">
            <w:pPr>
              <w:pStyle w:val="TableBodyText"/>
              <w:spacing w:before="40" w:after="40"/>
              <w:rPr>
                <w:rStyle w:val="Bold"/>
              </w:rPr>
            </w:pPr>
            <w:r w:rsidRPr="007456A5">
              <w:rPr>
                <w:rStyle w:val="Bold"/>
              </w:rPr>
              <w:t>Other comprehensive income after tax</w:t>
            </w:r>
          </w:p>
        </w:tc>
        <w:tc>
          <w:tcPr>
            <w:tcW w:w="514" w:type="pct"/>
            <w:tcBorders>
              <w:top w:val="single" w:sz="4" w:space="0" w:color="auto"/>
            </w:tcBorders>
            <w:vAlign w:val="top"/>
          </w:tcPr>
          <w:p w14:paraId="0985FC6B" w14:textId="02376F0F" w:rsidR="00226E71" w:rsidRPr="005A7F6A" w:rsidRDefault="00004893" w:rsidP="009C58F5">
            <w:pPr>
              <w:pStyle w:val="TableBodyText"/>
              <w:spacing w:before="40" w:after="40"/>
            </w:pPr>
            <w:r>
              <w:t>N/A</w:t>
            </w:r>
          </w:p>
        </w:tc>
        <w:tc>
          <w:tcPr>
            <w:tcW w:w="737" w:type="pct"/>
            <w:tcBorders>
              <w:top w:val="single" w:sz="4" w:space="0" w:color="auto"/>
            </w:tcBorders>
            <w:vAlign w:val="top"/>
          </w:tcPr>
          <w:p w14:paraId="74313EFA" w14:textId="75F7AF01" w:rsidR="00226E71" w:rsidRPr="005A7F6A" w:rsidRDefault="00004893" w:rsidP="009C58F5">
            <w:pPr>
              <w:pStyle w:val="TableBodyText"/>
              <w:spacing w:before="40" w:after="40"/>
            </w:pPr>
            <w:r>
              <w:t>N/A</w:t>
            </w:r>
          </w:p>
        </w:tc>
        <w:tc>
          <w:tcPr>
            <w:tcW w:w="731" w:type="pct"/>
            <w:tcBorders>
              <w:top w:val="single" w:sz="4" w:space="0" w:color="auto"/>
            </w:tcBorders>
            <w:vAlign w:val="top"/>
          </w:tcPr>
          <w:p w14:paraId="204A002C" w14:textId="329BB9E1" w:rsidR="00226E71" w:rsidRPr="005A7F6A" w:rsidRDefault="00004893" w:rsidP="009C58F5">
            <w:pPr>
              <w:pStyle w:val="TableBodyText"/>
              <w:spacing w:before="40" w:after="40"/>
            </w:pPr>
            <w:r>
              <w:t>N/A</w:t>
            </w:r>
          </w:p>
        </w:tc>
      </w:tr>
      <w:tr w:rsidR="00226E71" w:rsidRPr="005A7F6A" w14:paraId="268D673A" w14:textId="77777777" w:rsidTr="006E27D3">
        <w:trPr>
          <w:trHeight w:val="20"/>
        </w:trPr>
        <w:tc>
          <w:tcPr>
            <w:tcW w:w="3018" w:type="pct"/>
            <w:vAlign w:val="top"/>
          </w:tcPr>
          <w:p w14:paraId="4CC3E3DD" w14:textId="77777777" w:rsidR="00226E71" w:rsidRPr="007456A5" w:rsidRDefault="00226E71" w:rsidP="009C58F5">
            <w:pPr>
              <w:pStyle w:val="TableBodyText"/>
              <w:spacing w:before="40" w:after="40"/>
              <w:rPr>
                <w:rStyle w:val="Bold"/>
              </w:rPr>
            </w:pPr>
            <w:r w:rsidRPr="007456A5">
              <w:rPr>
                <w:rStyle w:val="Bold"/>
              </w:rPr>
              <w:t>Items that will not be reclassified to profit or loss</w:t>
            </w:r>
          </w:p>
        </w:tc>
        <w:tc>
          <w:tcPr>
            <w:tcW w:w="514" w:type="pct"/>
            <w:vAlign w:val="top"/>
          </w:tcPr>
          <w:p w14:paraId="12096F21" w14:textId="5044E4F4" w:rsidR="00226E71" w:rsidRPr="005A7F6A" w:rsidRDefault="00004893" w:rsidP="009C58F5">
            <w:pPr>
              <w:pStyle w:val="TableBodyText"/>
              <w:spacing w:before="40" w:after="40"/>
            </w:pPr>
            <w:r>
              <w:t>N/A</w:t>
            </w:r>
          </w:p>
        </w:tc>
        <w:tc>
          <w:tcPr>
            <w:tcW w:w="737" w:type="pct"/>
            <w:vAlign w:val="top"/>
          </w:tcPr>
          <w:p w14:paraId="0EF8F04D" w14:textId="2BDD1EDC" w:rsidR="00226E71" w:rsidRPr="005A7F6A" w:rsidRDefault="00004893" w:rsidP="009C58F5">
            <w:pPr>
              <w:pStyle w:val="TableBodyText"/>
              <w:spacing w:before="40" w:after="40"/>
            </w:pPr>
            <w:r>
              <w:t>N/A</w:t>
            </w:r>
          </w:p>
        </w:tc>
        <w:tc>
          <w:tcPr>
            <w:tcW w:w="731" w:type="pct"/>
            <w:vAlign w:val="top"/>
          </w:tcPr>
          <w:p w14:paraId="7F276CFF" w14:textId="101D1C63" w:rsidR="00226E71" w:rsidRPr="005A7F6A" w:rsidRDefault="00004893" w:rsidP="009C58F5">
            <w:pPr>
              <w:pStyle w:val="TableBodyText"/>
              <w:spacing w:before="40" w:after="40"/>
            </w:pPr>
            <w:r>
              <w:t>N/A</w:t>
            </w:r>
          </w:p>
        </w:tc>
      </w:tr>
      <w:tr w:rsidR="00226E71" w:rsidRPr="005A7F6A" w14:paraId="3DDCA78D" w14:textId="77777777" w:rsidTr="006E27D3">
        <w:trPr>
          <w:trHeight w:val="20"/>
        </w:trPr>
        <w:tc>
          <w:tcPr>
            <w:tcW w:w="3018" w:type="pct"/>
            <w:vAlign w:val="top"/>
          </w:tcPr>
          <w:p w14:paraId="19BDE7D3" w14:textId="66DBD62B" w:rsidR="00096743" w:rsidRPr="005A7F6A" w:rsidRDefault="00226E71" w:rsidP="009C58F5">
            <w:pPr>
              <w:pStyle w:val="TableBodyText"/>
              <w:spacing w:before="40" w:after="40"/>
            </w:pPr>
            <w:r w:rsidRPr="005A7F6A">
              <w:t>Actuarial gain/(loss) on defined benefit superannuation plan asset</w:t>
            </w:r>
            <w:r w:rsidR="00096743">
              <w:t xml:space="preserve"> </w:t>
            </w:r>
            <w:hyperlink w:anchor="NoteaProfitLossStatement" w:history="1">
              <w:r w:rsidR="00096743" w:rsidRPr="00096743">
                <w:rPr>
                  <w:rStyle w:val="Hyperlink"/>
                </w:rPr>
                <w:t>refer note (a)</w:t>
              </w:r>
            </w:hyperlink>
          </w:p>
        </w:tc>
        <w:tc>
          <w:tcPr>
            <w:tcW w:w="514" w:type="pct"/>
            <w:vAlign w:val="top"/>
          </w:tcPr>
          <w:p w14:paraId="257355A2" w14:textId="5C66FA21" w:rsidR="00226E71" w:rsidRPr="005A7F6A" w:rsidRDefault="00450381" w:rsidP="009C58F5">
            <w:pPr>
              <w:pStyle w:val="TableBodyText"/>
              <w:spacing w:before="40" w:after="40"/>
            </w:pPr>
            <w:r>
              <w:fldChar w:fldCharType="begin"/>
            </w:r>
            <w:r>
              <w:instrText xml:space="preserve"> REF Note71 \h </w:instrText>
            </w:r>
            <w:r>
              <w:fldChar w:fldCharType="separate"/>
            </w:r>
            <w:r w:rsidR="00472151">
              <w:t xml:space="preserve">7.1 </w:t>
            </w:r>
            <w:r>
              <w:fldChar w:fldCharType="end"/>
            </w:r>
          </w:p>
        </w:tc>
        <w:tc>
          <w:tcPr>
            <w:tcW w:w="737" w:type="pct"/>
            <w:vAlign w:val="top"/>
          </w:tcPr>
          <w:p w14:paraId="54A8E25F" w14:textId="77777777" w:rsidR="00226E71" w:rsidRPr="005A7F6A" w:rsidRDefault="00226E71" w:rsidP="009C58F5">
            <w:pPr>
              <w:pStyle w:val="TableBodyText"/>
              <w:spacing w:before="40" w:after="40"/>
            </w:pPr>
            <w:r w:rsidRPr="005A7F6A">
              <w:t>7,195</w:t>
            </w:r>
          </w:p>
        </w:tc>
        <w:tc>
          <w:tcPr>
            <w:tcW w:w="731" w:type="pct"/>
            <w:vAlign w:val="top"/>
          </w:tcPr>
          <w:p w14:paraId="6E012B07" w14:textId="77777777" w:rsidR="00226E71" w:rsidRPr="005A7F6A" w:rsidRDefault="00226E71" w:rsidP="009C58F5">
            <w:pPr>
              <w:pStyle w:val="TableBodyText"/>
              <w:spacing w:before="40" w:after="40"/>
            </w:pPr>
            <w:r w:rsidRPr="005A7F6A">
              <w:t>(781)</w:t>
            </w:r>
          </w:p>
        </w:tc>
      </w:tr>
      <w:tr w:rsidR="00004893" w:rsidRPr="005A7F6A" w14:paraId="0CBCFC47" w14:textId="77777777" w:rsidTr="006E27D3">
        <w:trPr>
          <w:trHeight w:val="20"/>
        </w:trPr>
        <w:tc>
          <w:tcPr>
            <w:tcW w:w="3018" w:type="pct"/>
            <w:vAlign w:val="top"/>
          </w:tcPr>
          <w:p w14:paraId="3F1307DA" w14:textId="0649F172" w:rsidR="00096743" w:rsidRPr="005A7F6A" w:rsidRDefault="00004893" w:rsidP="009C58F5">
            <w:pPr>
              <w:pStyle w:val="TableBodyText"/>
              <w:spacing w:before="40" w:after="40"/>
            </w:pPr>
            <w:r w:rsidRPr="005A7F6A">
              <w:t>Net gain on revaluation of non-financial assets</w:t>
            </w:r>
            <w:r w:rsidR="00096743">
              <w:t xml:space="preserve"> </w:t>
            </w:r>
            <w:hyperlink w:anchor="NotebProfitLossStatement" w:history="1">
              <w:r w:rsidR="00096743" w:rsidRPr="00096743">
                <w:rPr>
                  <w:rStyle w:val="Hyperlink"/>
                </w:rPr>
                <w:t>refer note (b)</w:t>
              </w:r>
            </w:hyperlink>
          </w:p>
        </w:tc>
        <w:tc>
          <w:tcPr>
            <w:tcW w:w="514" w:type="pct"/>
            <w:vAlign w:val="top"/>
          </w:tcPr>
          <w:p w14:paraId="58210D43" w14:textId="03220304" w:rsidR="00004893" w:rsidRPr="005A7F6A" w:rsidRDefault="00345013" w:rsidP="009C58F5">
            <w:pPr>
              <w:pStyle w:val="TableBodyText"/>
              <w:spacing w:before="40" w:after="40"/>
            </w:pPr>
            <w:r>
              <w:fldChar w:fldCharType="begin"/>
            </w:r>
            <w:r>
              <w:instrText xml:space="preserve"> REF Note381 \h </w:instrText>
            </w:r>
            <w:r>
              <w:fldChar w:fldCharType="separate"/>
            </w:r>
            <w:r w:rsidR="00472151">
              <w:t xml:space="preserve">3.8.1 </w:t>
            </w:r>
            <w:r>
              <w:fldChar w:fldCharType="end"/>
            </w:r>
            <w:r w:rsidR="00004893">
              <w:t xml:space="preserve">&amp; </w:t>
            </w:r>
            <w:r w:rsidR="003742AD">
              <w:fldChar w:fldCharType="begin"/>
            </w:r>
            <w:r w:rsidR="003742AD">
              <w:instrText xml:space="preserve"> REF Note4121 \h </w:instrText>
            </w:r>
            <w:r w:rsidR="003742AD">
              <w:fldChar w:fldCharType="separate"/>
            </w:r>
            <w:r w:rsidR="00472151">
              <w:t xml:space="preserve">4.1.2.1 </w:t>
            </w:r>
            <w:r w:rsidR="003742AD">
              <w:fldChar w:fldCharType="end"/>
            </w:r>
          </w:p>
        </w:tc>
        <w:tc>
          <w:tcPr>
            <w:tcW w:w="737" w:type="pct"/>
            <w:vAlign w:val="top"/>
          </w:tcPr>
          <w:p w14:paraId="07069FBB" w14:textId="55F252C4" w:rsidR="00004893" w:rsidRPr="005A7F6A" w:rsidRDefault="00004893" w:rsidP="009C58F5">
            <w:pPr>
              <w:pStyle w:val="TableBodyText"/>
              <w:spacing w:before="40" w:after="40"/>
            </w:pPr>
            <w:r>
              <w:t>644,732</w:t>
            </w:r>
          </w:p>
        </w:tc>
        <w:tc>
          <w:tcPr>
            <w:tcW w:w="731" w:type="pct"/>
            <w:vAlign w:val="top"/>
          </w:tcPr>
          <w:p w14:paraId="242A7AFD" w14:textId="7E5CBDFC" w:rsidR="00004893" w:rsidRPr="005A7F6A" w:rsidRDefault="00004893" w:rsidP="009C58F5">
            <w:pPr>
              <w:pStyle w:val="TableBodyText"/>
              <w:spacing w:before="40" w:after="40"/>
            </w:pPr>
            <w:r>
              <w:t>N/A</w:t>
            </w:r>
          </w:p>
        </w:tc>
      </w:tr>
      <w:tr w:rsidR="00004893" w:rsidRPr="005A7F6A" w14:paraId="0AB061CA" w14:textId="77777777" w:rsidTr="006E27D3">
        <w:trPr>
          <w:trHeight w:val="20"/>
        </w:trPr>
        <w:tc>
          <w:tcPr>
            <w:tcW w:w="3018" w:type="pct"/>
            <w:vAlign w:val="top"/>
          </w:tcPr>
          <w:p w14:paraId="65113B90" w14:textId="03CCBB75" w:rsidR="00096743" w:rsidRPr="005A7F6A" w:rsidRDefault="00004893" w:rsidP="009C58F5">
            <w:pPr>
              <w:pStyle w:val="TableBodyText"/>
              <w:spacing w:before="40" w:after="40"/>
            </w:pPr>
            <w:r w:rsidRPr="005A7F6A">
              <w:t>Decrease in asset revaluation reserve due to disposal of land, buildings and infrastructure</w:t>
            </w:r>
            <w:r w:rsidR="00096743">
              <w:t xml:space="preserve"> </w:t>
            </w:r>
            <w:hyperlink w:anchor="NotecProfitLossStatement" w:history="1">
              <w:r w:rsidR="00096743" w:rsidRPr="00096743">
                <w:rPr>
                  <w:rStyle w:val="Hyperlink"/>
                </w:rPr>
                <w:t>refer note (c)</w:t>
              </w:r>
            </w:hyperlink>
          </w:p>
        </w:tc>
        <w:tc>
          <w:tcPr>
            <w:tcW w:w="514" w:type="pct"/>
            <w:vAlign w:val="top"/>
          </w:tcPr>
          <w:p w14:paraId="6126F37A" w14:textId="16480F5D" w:rsidR="00004893" w:rsidRPr="005A7F6A" w:rsidRDefault="00004893" w:rsidP="009C58F5">
            <w:pPr>
              <w:pStyle w:val="TableBodyText"/>
              <w:spacing w:before="40" w:after="40"/>
            </w:pPr>
            <w:r>
              <w:t>N/A</w:t>
            </w:r>
          </w:p>
        </w:tc>
        <w:tc>
          <w:tcPr>
            <w:tcW w:w="737" w:type="pct"/>
            <w:vAlign w:val="top"/>
          </w:tcPr>
          <w:p w14:paraId="2E578C4D" w14:textId="3C6F84A9" w:rsidR="00004893" w:rsidRPr="005A7F6A" w:rsidRDefault="00004893" w:rsidP="009C58F5">
            <w:pPr>
              <w:pStyle w:val="TableBodyText"/>
              <w:spacing w:before="40" w:after="40"/>
            </w:pPr>
            <w:r>
              <w:t>(4,461)</w:t>
            </w:r>
          </w:p>
        </w:tc>
        <w:tc>
          <w:tcPr>
            <w:tcW w:w="731" w:type="pct"/>
            <w:vAlign w:val="top"/>
          </w:tcPr>
          <w:p w14:paraId="6FAE3EE9" w14:textId="21D24F18" w:rsidR="00004893" w:rsidRPr="005A7F6A" w:rsidRDefault="00004893" w:rsidP="009C58F5">
            <w:pPr>
              <w:pStyle w:val="TableBodyText"/>
              <w:spacing w:before="40" w:after="40"/>
            </w:pPr>
            <w:r>
              <w:t>(12,244)</w:t>
            </w:r>
          </w:p>
        </w:tc>
      </w:tr>
      <w:tr w:rsidR="00004893" w:rsidRPr="005A7F6A" w14:paraId="7F7F86AB" w14:textId="77777777" w:rsidTr="006E27D3">
        <w:trPr>
          <w:trHeight w:val="20"/>
        </w:trPr>
        <w:tc>
          <w:tcPr>
            <w:tcW w:w="3018" w:type="pct"/>
            <w:tcBorders>
              <w:bottom w:val="single" w:sz="4" w:space="0" w:color="auto"/>
            </w:tcBorders>
            <w:vAlign w:val="top"/>
          </w:tcPr>
          <w:p w14:paraId="5708F071" w14:textId="74D2CBC3" w:rsidR="00004893" w:rsidRPr="005A7F6A" w:rsidRDefault="00004893" w:rsidP="009C58F5">
            <w:pPr>
              <w:pStyle w:val="TableBodyText"/>
              <w:spacing w:before="40" w:after="40"/>
            </w:pPr>
            <w:r w:rsidRPr="005A7F6A">
              <w:t>Asset revaluation reserve transferred to retained profits on disposal of land, buildings and infrastructure</w:t>
            </w:r>
          </w:p>
        </w:tc>
        <w:tc>
          <w:tcPr>
            <w:tcW w:w="514" w:type="pct"/>
            <w:tcBorders>
              <w:bottom w:val="single" w:sz="4" w:space="0" w:color="auto"/>
            </w:tcBorders>
            <w:vAlign w:val="top"/>
          </w:tcPr>
          <w:p w14:paraId="0CFD0435" w14:textId="34C99097" w:rsidR="00004893" w:rsidRPr="005A7F6A" w:rsidRDefault="00004893" w:rsidP="009C58F5">
            <w:pPr>
              <w:pStyle w:val="TableBodyText"/>
              <w:spacing w:before="40" w:after="40"/>
            </w:pPr>
            <w:r>
              <w:t>N/A</w:t>
            </w:r>
          </w:p>
        </w:tc>
        <w:tc>
          <w:tcPr>
            <w:tcW w:w="737" w:type="pct"/>
            <w:tcBorders>
              <w:bottom w:val="single" w:sz="4" w:space="0" w:color="auto"/>
            </w:tcBorders>
            <w:vAlign w:val="top"/>
          </w:tcPr>
          <w:p w14:paraId="619720F8" w14:textId="393115C5" w:rsidR="00004893" w:rsidRPr="005A7F6A" w:rsidRDefault="00004893" w:rsidP="009C58F5">
            <w:pPr>
              <w:pStyle w:val="TableBodyText"/>
              <w:spacing w:before="40" w:after="40"/>
            </w:pPr>
            <w:r>
              <w:t>4,500</w:t>
            </w:r>
          </w:p>
        </w:tc>
        <w:tc>
          <w:tcPr>
            <w:tcW w:w="731" w:type="pct"/>
            <w:tcBorders>
              <w:bottom w:val="single" w:sz="4" w:space="0" w:color="auto"/>
            </w:tcBorders>
            <w:vAlign w:val="top"/>
          </w:tcPr>
          <w:p w14:paraId="7DD8C160" w14:textId="19047850" w:rsidR="00004893" w:rsidRPr="005A7F6A" w:rsidRDefault="00004893" w:rsidP="009C58F5">
            <w:pPr>
              <w:pStyle w:val="TableBodyText"/>
              <w:spacing w:before="40" w:after="40"/>
            </w:pPr>
            <w:r>
              <w:t>13,218</w:t>
            </w:r>
          </w:p>
        </w:tc>
      </w:tr>
      <w:tr w:rsidR="007456A5" w:rsidRPr="007456A5" w14:paraId="6046B76C" w14:textId="77777777" w:rsidTr="006E27D3">
        <w:trPr>
          <w:trHeight w:val="20"/>
        </w:trPr>
        <w:tc>
          <w:tcPr>
            <w:tcW w:w="3018" w:type="pct"/>
            <w:tcBorders>
              <w:top w:val="single" w:sz="4" w:space="0" w:color="auto"/>
              <w:bottom w:val="single" w:sz="4" w:space="0" w:color="auto"/>
            </w:tcBorders>
            <w:vAlign w:val="top"/>
          </w:tcPr>
          <w:p w14:paraId="46345D4F" w14:textId="77777777" w:rsidR="00226E71" w:rsidRPr="007456A5" w:rsidRDefault="00226E71" w:rsidP="009C58F5">
            <w:pPr>
              <w:pStyle w:val="TableBodyText"/>
              <w:spacing w:before="40" w:after="40"/>
              <w:rPr>
                <w:rStyle w:val="Bold"/>
              </w:rPr>
            </w:pPr>
            <w:r w:rsidRPr="007456A5">
              <w:rPr>
                <w:rStyle w:val="Bold"/>
              </w:rPr>
              <w:t>Other comprehensive income/(loss) for the period after tax</w:t>
            </w:r>
          </w:p>
        </w:tc>
        <w:tc>
          <w:tcPr>
            <w:tcW w:w="514" w:type="pct"/>
            <w:tcBorders>
              <w:top w:val="single" w:sz="4" w:space="0" w:color="auto"/>
              <w:bottom w:val="single" w:sz="4" w:space="0" w:color="auto"/>
            </w:tcBorders>
            <w:vAlign w:val="top"/>
          </w:tcPr>
          <w:p w14:paraId="61EC7232" w14:textId="6DA24D5D" w:rsidR="00226E71" w:rsidRPr="007456A5" w:rsidRDefault="00004893" w:rsidP="009C58F5">
            <w:pPr>
              <w:pStyle w:val="TableBodyText"/>
              <w:spacing w:before="40" w:after="40"/>
            </w:pPr>
            <w:r w:rsidRPr="007456A5">
              <w:t>N/A</w:t>
            </w:r>
          </w:p>
        </w:tc>
        <w:tc>
          <w:tcPr>
            <w:tcW w:w="737" w:type="pct"/>
            <w:tcBorders>
              <w:top w:val="single" w:sz="4" w:space="0" w:color="auto"/>
              <w:bottom w:val="single" w:sz="4" w:space="0" w:color="auto"/>
            </w:tcBorders>
            <w:vAlign w:val="top"/>
          </w:tcPr>
          <w:p w14:paraId="46E5C17A" w14:textId="77777777" w:rsidR="00226E71" w:rsidRPr="007456A5" w:rsidRDefault="00226E71" w:rsidP="009C58F5">
            <w:pPr>
              <w:pStyle w:val="TableBodyText"/>
              <w:spacing w:before="40" w:after="40"/>
              <w:rPr>
                <w:rStyle w:val="Bold"/>
              </w:rPr>
            </w:pPr>
            <w:r w:rsidRPr="007456A5">
              <w:rPr>
                <w:rStyle w:val="Bold"/>
              </w:rPr>
              <w:t>651,966</w:t>
            </w:r>
          </w:p>
        </w:tc>
        <w:tc>
          <w:tcPr>
            <w:tcW w:w="731" w:type="pct"/>
            <w:tcBorders>
              <w:top w:val="single" w:sz="4" w:space="0" w:color="auto"/>
              <w:bottom w:val="single" w:sz="4" w:space="0" w:color="auto"/>
            </w:tcBorders>
            <w:vAlign w:val="top"/>
          </w:tcPr>
          <w:p w14:paraId="773C52F0" w14:textId="77777777" w:rsidR="00226E71" w:rsidRPr="007456A5" w:rsidRDefault="00226E71" w:rsidP="009C58F5">
            <w:pPr>
              <w:pStyle w:val="TableBodyText"/>
              <w:spacing w:before="40" w:after="40"/>
              <w:rPr>
                <w:rStyle w:val="Bold"/>
              </w:rPr>
            </w:pPr>
            <w:r w:rsidRPr="007456A5">
              <w:rPr>
                <w:rStyle w:val="Bold"/>
              </w:rPr>
              <w:t>193</w:t>
            </w:r>
          </w:p>
        </w:tc>
      </w:tr>
      <w:tr w:rsidR="00004893" w:rsidRPr="007456A5" w14:paraId="625E1C2F" w14:textId="77777777" w:rsidTr="006E27D3">
        <w:trPr>
          <w:trHeight w:val="20"/>
        </w:trPr>
        <w:tc>
          <w:tcPr>
            <w:tcW w:w="3018" w:type="pct"/>
            <w:tcBorders>
              <w:top w:val="single" w:sz="4" w:space="0" w:color="auto"/>
              <w:bottom w:val="single" w:sz="4" w:space="0" w:color="auto"/>
            </w:tcBorders>
            <w:vAlign w:val="top"/>
          </w:tcPr>
          <w:p w14:paraId="75FCFD42" w14:textId="6AF60CDC" w:rsidR="00004893" w:rsidRPr="007456A5" w:rsidRDefault="00004893" w:rsidP="009C58F5">
            <w:pPr>
              <w:pStyle w:val="TableBodyText"/>
              <w:spacing w:before="40" w:after="40"/>
              <w:rPr>
                <w:rStyle w:val="Bold"/>
              </w:rPr>
            </w:pPr>
            <w:r w:rsidRPr="007456A5">
              <w:rPr>
                <w:rStyle w:val="Bold"/>
              </w:rPr>
              <w:t>Total comprehensive income for the period after tax</w:t>
            </w:r>
          </w:p>
        </w:tc>
        <w:tc>
          <w:tcPr>
            <w:tcW w:w="514" w:type="pct"/>
            <w:tcBorders>
              <w:top w:val="single" w:sz="4" w:space="0" w:color="auto"/>
              <w:bottom w:val="single" w:sz="4" w:space="0" w:color="auto"/>
            </w:tcBorders>
            <w:vAlign w:val="top"/>
          </w:tcPr>
          <w:p w14:paraId="058CB74E" w14:textId="717E1762" w:rsidR="00004893" w:rsidRPr="007456A5" w:rsidRDefault="00004893" w:rsidP="009C58F5">
            <w:pPr>
              <w:pStyle w:val="TableBodyText"/>
              <w:spacing w:before="40" w:after="40"/>
            </w:pPr>
            <w:r w:rsidRPr="007456A5">
              <w:t>N/A</w:t>
            </w:r>
          </w:p>
        </w:tc>
        <w:tc>
          <w:tcPr>
            <w:tcW w:w="737" w:type="pct"/>
            <w:tcBorders>
              <w:top w:val="single" w:sz="4" w:space="0" w:color="auto"/>
              <w:bottom w:val="single" w:sz="4" w:space="0" w:color="auto"/>
            </w:tcBorders>
            <w:vAlign w:val="top"/>
          </w:tcPr>
          <w:p w14:paraId="0260D53A" w14:textId="7DDB10C5" w:rsidR="00004893" w:rsidRPr="007456A5" w:rsidRDefault="00004893" w:rsidP="009C58F5">
            <w:pPr>
              <w:pStyle w:val="TableBodyText"/>
              <w:spacing w:before="40" w:after="40"/>
              <w:rPr>
                <w:rStyle w:val="Bold"/>
              </w:rPr>
            </w:pPr>
            <w:r w:rsidRPr="007456A5">
              <w:rPr>
                <w:rStyle w:val="Bold"/>
              </w:rPr>
              <w:t>843,972</w:t>
            </w:r>
          </w:p>
        </w:tc>
        <w:tc>
          <w:tcPr>
            <w:tcW w:w="731" w:type="pct"/>
            <w:tcBorders>
              <w:top w:val="single" w:sz="4" w:space="0" w:color="auto"/>
              <w:bottom w:val="single" w:sz="4" w:space="0" w:color="auto"/>
            </w:tcBorders>
            <w:vAlign w:val="top"/>
          </w:tcPr>
          <w:p w14:paraId="57E0B3C9" w14:textId="3795F5E2" w:rsidR="00004893" w:rsidRPr="007456A5" w:rsidRDefault="00004893" w:rsidP="009C58F5">
            <w:pPr>
              <w:pStyle w:val="TableBodyText"/>
              <w:spacing w:before="40" w:after="40"/>
              <w:rPr>
                <w:rStyle w:val="Bold"/>
              </w:rPr>
            </w:pPr>
            <w:r w:rsidRPr="007456A5">
              <w:rPr>
                <w:rStyle w:val="Bold"/>
              </w:rPr>
              <w:t>203,506</w:t>
            </w:r>
          </w:p>
        </w:tc>
      </w:tr>
    </w:tbl>
    <w:p w14:paraId="4060504E" w14:textId="3F9B041E" w:rsidR="007456A5" w:rsidRDefault="007456A5" w:rsidP="007456A5">
      <w:pPr>
        <w:pStyle w:val="BodyText"/>
      </w:pPr>
      <w:r>
        <w:lastRenderedPageBreak/>
        <w:t>The above Statement of Profit or Loss and Other Comprehensive Income should be read in conjunction with the accompanying notes on pages</w:t>
      </w:r>
      <w:r w:rsidR="00096743">
        <w:t xml:space="preserve"> </w:t>
      </w:r>
      <w:r w:rsidR="00650CC7">
        <w:fldChar w:fldCharType="begin"/>
      </w:r>
      <w:r w:rsidR="00650CC7">
        <w:instrText xml:space="preserve"> PAGEREF AboutThisReport \h </w:instrText>
      </w:r>
      <w:r w:rsidR="00650CC7">
        <w:fldChar w:fldCharType="separate"/>
      </w:r>
      <w:r w:rsidR="00472151">
        <w:rPr>
          <w:noProof/>
        </w:rPr>
        <w:t>93</w:t>
      </w:r>
      <w:r w:rsidR="00650CC7">
        <w:fldChar w:fldCharType="end"/>
      </w:r>
      <w:r>
        <w:t xml:space="preserve"> through to </w:t>
      </w:r>
      <w:r w:rsidR="00650CC7">
        <w:fldChar w:fldCharType="begin"/>
      </w:r>
      <w:r w:rsidR="00650CC7">
        <w:instrText xml:space="preserve"> PAGEREF AboutThisReportend \h </w:instrText>
      </w:r>
      <w:r w:rsidR="00650CC7">
        <w:fldChar w:fldCharType="separate"/>
      </w:r>
      <w:r w:rsidR="00472151">
        <w:rPr>
          <w:noProof/>
        </w:rPr>
        <w:t>93</w:t>
      </w:r>
      <w:r w:rsidR="00650CC7">
        <w:fldChar w:fldCharType="end"/>
      </w:r>
      <w:r>
        <w:t>.</w:t>
      </w:r>
    </w:p>
    <w:p w14:paraId="49F58F9C" w14:textId="77777777" w:rsidR="007456A5" w:rsidRDefault="007456A5" w:rsidP="007456A5">
      <w:pPr>
        <w:pStyle w:val="BodyText"/>
      </w:pPr>
      <w:r>
        <w:t>Note:</w:t>
      </w:r>
    </w:p>
    <w:p w14:paraId="6C933441" w14:textId="77777777" w:rsidR="007456A5" w:rsidRDefault="007456A5" w:rsidP="007456A5">
      <w:pPr>
        <w:pStyle w:val="BodyText"/>
      </w:pPr>
      <w:bookmarkStart w:id="770" w:name="NoteaProfitLossStatement"/>
      <w:r>
        <w:t xml:space="preserve">(a) </w:t>
      </w:r>
      <w:bookmarkEnd w:id="770"/>
      <w:r>
        <w:t>Pre-tax actuarial gain on defined benefit superannuation plan asset $10.3 million (2019-20: loss of $1.1 million).</w:t>
      </w:r>
    </w:p>
    <w:p w14:paraId="6648809F" w14:textId="77777777" w:rsidR="007456A5" w:rsidRDefault="007456A5" w:rsidP="007456A5">
      <w:pPr>
        <w:pStyle w:val="BodyText"/>
      </w:pPr>
      <w:bookmarkStart w:id="771" w:name="NotebProfitLossStatement"/>
      <w:r>
        <w:t xml:space="preserve">(b) </w:t>
      </w:r>
      <w:bookmarkEnd w:id="771"/>
      <w:r>
        <w:t>Pre-tax net gain on revaluation of non-financial assets $734.8 million (2019-20: zero).</w:t>
      </w:r>
    </w:p>
    <w:p w14:paraId="677E6AFD" w14:textId="067B39E5" w:rsidR="00226E71" w:rsidRDefault="007456A5" w:rsidP="007456A5">
      <w:pPr>
        <w:pStyle w:val="BodyText"/>
      </w:pPr>
      <w:bookmarkStart w:id="772" w:name="NotecProfitLossStatement"/>
      <w:r>
        <w:t xml:space="preserve">(c) </w:t>
      </w:r>
      <w:bookmarkEnd w:id="772"/>
      <w:r>
        <w:t>Pre-tax decrease in asset revaluation reserve due to disposal of land, buildings and infrastructure $4.5 million (2019-20: decrease of $13.2 million).</w:t>
      </w:r>
    </w:p>
    <w:p w14:paraId="28238A2A" w14:textId="77777777" w:rsidR="00060F0B" w:rsidRDefault="001E5ED4" w:rsidP="001E5ED4">
      <w:pPr>
        <w:pStyle w:val="Heading2"/>
      </w:pPr>
      <w:bookmarkStart w:id="773" w:name="_Toc89723102"/>
      <w:bookmarkStart w:id="774" w:name="_Toc89723238"/>
      <w:bookmarkStart w:id="775" w:name="_Toc89723298"/>
      <w:bookmarkStart w:id="776" w:name="_Ref89806031"/>
      <w:bookmarkStart w:id="777" w:name="_Toc89860564"/>
      <w:bookmarkStart w:id="778" w:name="_Toc89860708"/>
      <w:bookmarkStart w:id="779" w:name="_Toc90326047"/>
      <w:bookmarkStart w:id="780" w:name="_Toc93659453"/>
      <w:r>
        <w:t>Statement of Financial Position</w:t>
      </w:r>
      <w:bookmarkEnd w:id="773"/>
      <w:bookmarkEnd w:id="774"/>
      <w:bookmarkEnd w:id="775"/>
      <w:bookmarkEnd w:id="776"/>
      <w:bookmarkEnd w:id="777"/>
      <w:bookmarkEnd w:id="778"/>
      <w:bookmarkEnd w:id="779"/>
      <w:bookmarkEnd w:id="780"/>
    </w:p>
    <w:p w14:paraId="378A6950" w14:textId="7678485E" w:rsidR="00226E71" w:rsidRPr="00060F0B" w:rsidRDefault="001E5ED4" w:rsidP="00060F0B">
      <w:pPr>
        <w:pStyle w:val="BodyText"/>
        <w:rPr>
          <w:rStyle w:val="Bold"/>
        </w:rPr>
      </w:pPr>
      <w:r w:rsidRPr="00060F0B">
        <w:rPr>
          <w:rStyle w:val="Bold"/>
        </w:rPr>
        <w:t>As at 30 June 2021</w:t>
      </w:r>
    </w:p>
    <w:tbl>
      <w:tblPr>
        <w:tblStyle w:val="Style1"/>
        <w:tblW w:w="5000" w:type="pct"/>
        <w:tblLayout w:type="fixed"/>
        <w:tblLook w:val="0620" w:firstRow="1" w:lastRow="0" w:firstColumn="0" w:lastColumn="0" w:noHBand="1" w:noVBand="1"/>
      </w:tblPr>
      <w:tblGrid>
        <w:gridCol w:w="5813"/>
        <w:gridCol w:w="990"/>
        <w:gridCol w:w="1420"/>
        <w:gridCol w:w="1408"/>
      </w:tblGrid>
      <w:tr w:rsidR="00060F0B" w:rsidRPr="006E27D3" w14:paraId="4BBEE4AA" w14:textId="77777777" w:rsidTr="0011520C">
        <w:trPr>
          <w:cnfStyle w:val="100000000000" w:firstRow="1" w:lastRow="0" w:firstColumn="0" w:lastColumn="0" w:oddVBand="0" w:evenVBand="0" w:oddHBand="0" w:evenHBand="0" w:firstRowFirstColumn="0" w:firstRowLastColumn="0" w:lastRowFirstColumn="0" w:lastRowLastColumn="0"/>
          <w:trHeight w:val="20"/>
        </w:trPr>
        <w:tc>
          <w:tcPr>
            <w:tcW w:w="3018" w:type="pct"/>
            <w:tcBorders>
              <w:top w:val="single" w:sz="4" w:space="0" w:color="auto"/>
            </w:tcBorders>
            <w:vAlign w:val="bottom"/>
          </w:tcPr>
          <w:p w14:paraId="6B1B9070" w14:textId="77777777" w:rsidR="00060F0B" w:rsidRPr="006E27D3" w:rsidRDefault="00060F0B" w:rsidP="006E27D3">
            <w:bookmarkStart w:id="781" w:name="ColumnTitle_32"/>
            <w:r w:rsidRPr="006E27D3">
              <w:t>Item</w:t>
            </w:r>
          </w:p>
        </w:tc>
        <w:tc>
          <w:tcPr>
            <w:tcW w:w="514" w:type="pct"/>
            <w:tcBorders>
              <w:top w:val="single" w:sz="4" w:space="0" w:color="auto"/>
            </w:tcBorders>
            <w:vAlign w:val="bottom"/>
          </w:tcPr>
          <w:p w14:paraId="1B8119A4" w14:textId="77777777" w:rsidR="00060F0B" w:rsidRPr="006E27D3" w:rsidRDefault="00060F0B" w:rsidP="006E27D3">
            <w:r w:rsidRPr="006E27D3">
              <w:t>Notes</w:t>
            </w:r>
          </w:p>
        </w:tc>
        <w:tc>
          <w:tcPr>
            <w:tcW w:w="737" w:type="pct"/>
            <w:tcBorders>
              <w:top w:val="single" w:sz="4" w:space="0" w:color="auto"/>
            </w:tcBorders>
            <w:vAlign w:val="bottom"/>
          </w:tcPr>
          <w:p w14:paraId="42C17348" w14:textId="77777777" w:rsidR="00060F0B" w:rsidRPr="006E27D3" w:rsidRDefault="00060F0B" w:rsidP="006E27D3">
            <w:r w:rsidRPr="006E27D3">
              <w:t>2021</w:t>
            </w:r>
          </w:p>
          <w:p w14:paraId="12706EAB" w14:textId="77777777" w:rsidR="00060F0B" w:rsidRPr="006E27D3" w:rsidRDefault="00060F0B" w:rsidP="006E27D3">
            <w:r w:rsidRPr="006E27D3">
              <w:t>($ thousands)</w:t>
            </w:r>
          </w:p>
        </w:tc>
        <w:tc>
          <w:tcPr>
            <w:tcW w:w="731" w:type="pct"/>
            <w:tcBorders>
              <w:top w:val="single" w:sz="4" w:space="0" w:color="auto"/>
            </w:tcBorders>
            <w:vAlign w:val="bottom"/>
          </w:tcPr>
          <w:p w14:paraId="7E5263F8" w14:textId="77777777" w:rsidR="00060F0B" w:rsidRPr="006E27D3" w:rsidRDefault="00060F0B" w:rsidP="006E27D3">
            <w:r w:rsidRPr="006E27D3">
              <w:t>2020</w:t>
            </w:r>
          </w:p>
          <w:p w14:paraId="39D216BB" w14:textId="77777777" w:rsidR="00060F0B" w:rsidRPr="006E27D3" w:rsidRDefault="00060F0B" w:rsidP="006E27D3">
            <w:r w:rsidRPr="006E27D3">
              <w:t>($ thousands)</w:t>
            </w:r>
          </w:p>
        </w:tc>
      </w:tr>
      <w:bookmarkEnd w:id="781"/>
      <w:tr w:rsidR="00060F0B" w:rsidRPr="005A7F6A" w14:paraId="1D872298" w14:textId="77777777" w:rsidTr="006E27D3">
        <w:trPr>
          <w:trHeight w:val="20"/>
        </w:trPr>
        <w:tc>
          <w:tcPr>
            <w:tcW w:w="3018" w:type="pct"/>
            <w:vAlign w:val="top"/>
          </w:tcPr>
          <w:p w14:paraId="75573AB3" w14:textId="3DD930E8" w:rsidR="00060F0B" w:rsidRPr="00FB4B64" w:rsidRDefault="00060F0B" w:rsidP="006E27D3">
            <w:pPr>
              <w:pStyle w:val="TableBodyText"/>
              <w:rPr>
                <w:rStyle w:val="Bold"/>
              </w:rPr>
            </w:pPr>
            <w:r>
              <w:rPr>
                <w:rStyle w:val="Bold"/>
              </w:rPr>
              <w:t>Assets</w:t>
            </w:r>
          </w:p>
        </w:tc>
        <w:tc>
          <w:tcPr>
            <w:tcW w:w="514" w:type="pct"/>
            <w:vAlign w:val="top"/>
          </w:tcPr>
          <w:p w14:paraId="2E73E947" w14:textId="77777777" w:rsidR="00060F0B" w:rsidRPr="005A7F6A" w:rsidRDefault="00060F0B" w:rsidP="006E27D3">
            <w:pPr>
              <w:pStyle w:val="TableBodyText"/>
            </w:pPr>
            <w:r>
              <w:t>N/A</w:t>
            </w:r>
          </w:p>
        </w:tc>
        <w:tc>
          <w:tcPr>
            <w:tcW w:w="737" w:type="pct"/>
            <w:vAlign w:val="top"/>
          </w:tcPr>
          <w:p w14:paraId="2FC91333" w14:textId="77777777" w:rsidR="00060F0B" w:rsidRPr="005A7F6A" w:rsidRDefault="00060F0B" w:rsidP="006E27D3">
            <w:pPr>
              <w:pStyle w:val="TableBodyText"/>
            </w:pPr>
            <w:r>
              <w:t>N/A</w:t>
            </w:r>
          </w:p>
        </w:tc>
        <w:tc>
          <w:tcPr>
            <w:tcW w:w="731" w:type="pct"/>
            <w:vAlign w:val="top"/>
          </w:tcPr>
          <w:p w14:paraId="4FF24D2A" w14:textId="77777777" w:rsidR="00060F0B" w:rsidRPr="005A7F6A" w:rsidRDefault="00060F0B" w:rsidP="006E27D3">
            <w:pPr>
              <w:pStyle w:val="TableBodyText"/>
            </w:pPr>
            <w:r>
              <w:t>N/A</w:t>
            </w:r>
          </w:p>
        </w:tc>
      </w:tr>
      <w:tr w:rsidR="00060F0B" w:rsidRPr="005A7F6A" w14:paraId="3382DC89" w14:textId="77777777" w:rsidTr="006E27D3">
        <w:trPr>
          <w:trHeight w:val="20"/>
        </w:trPr>
        <w:tc>
          <w:tcPr>
            <w:tcW w:w="3018" w:type="pct"/>
            <w:vAlign w:val="top"/>
          </w:tcPr>
          <w:p w14:paraId="6446EEFE" w14:textId="57C8F035" w:rsidR="00060F0B" w:rsidRPr="005A7F6A" w:rsidRDefault="00060F0B" w:rsidP="006E27D3">
            <w:pPr>
              <w:pStyle w:val="TableBodyText"/>
            </w:pPr>
            <w:r>
              <w:t>Current assets</w:t>
            </w:r>
          </w:p>
        </w:tc>
        <w:tc>
          <w:tcPr>
            <w:tcW w:w="514" w:type="pct"/>
            <w:vAlign w:val="top"/>
          </w:tcPr>
          <w:p w14:paraId="104B74F2" w14:textId="2799C1F2" w:rsidR="00060F0B" w:rsidRPr="005A7F6A" w:rsidRDefault="00060F0B" w:rsidP="006E27D3">
            <w:pPr>
              <w:pStyle w:val="TableBodyText"/>
            </w:pPr>
            <w:r>
              <w:t>N/A</w:t>
            </w:r>
          </w:p>
        </w:tc>
        <w:tc>
          <w:tcPr>
            <w:tcW w:w="737" w:type="pct"/>
            <w:vAlign w:val="top"/>
          </w:tcPr>
          <w:p w14:paraId="39D22641" w14:textId="52CD363C" w:rsidR="00060F0B" w:rsidRPr="005A7F6A" w:rsidRDefault="00060F0B" w:rsidP="006E27D3">
            <w:pPr>
              <w:pStyle w:val="TableBodyText"/>
            </w:pPr>
            <w:r>
              <w:t>N/A</w:t>
            </w:r>
          </w:p>
        </w:tc>
        <w:tc>
          <w:tcPr>
            <w:tcW w:w="731" w:type="pct"/>
            <w:vAlign w:val="top"/>
          </w:tcPr>
          <w:p w14:paraId="4E126A3F" w14:textId="5DAAC113" w:rsidR="00060F0B" w:rsidRPr="005A7F6A" w:rsidRDefault="00060F0B" w:rsidP="006E27D3">
            <w:pPr>
              <w:pStyle w:val="TableBodyText"/>
            </w:pPr>
            <w:r>
              <w:t>N/A</w:t>
            </w:r>
          </w:p>
        </w:tc>
      </w:tr>
      <w:tr w:rsidR="00060F0B" w:rsidRPr="005A7F6A" w14:paraId="28813A76" w14:textId="77777777" w:rsidTr="006E27D3">
        <w:trPr>
          <w:trHeight w:val="20"/>
        </w:trPr>
        <w:tc>
          <w:tcPr>
            <w:tcW w:w="3018" w:type="pct"/>
            <w:vAlign w:val="top"/>
          </w:tcPr>
          <w:p w14:paraId="3E5351F4" w14:textId="77F50626" w:rsidR="00060F0B" w:rsidRPr="005A7F6A" w:rsidRDefault="00060F0B" w:rsidP="006E27D3">
            <w:pPr>
              <w:pStyle w:val="TableBodyText"/>
            </w:pPr>
            <w:r>
              <w:t>Cash and cash equivalents</w:t>
            </w:r>
          </w:p>
        </w:tc>
        <w:tc>
          <w:tcPr>
            <w:tcW w:w="514" w:type="pct"/>
            <w:vAlign w:val="top"/>
          </w:tcPr>
          <w:p w14:paraId="1D7BE3D8" w14:textId="776AE977" w:rsidR="00060F0B" w:rsidRPr="005A7F6A" w:rsidRDefault="00060F0B" w:rsidP="006E27D3">
            <w:pPr>
              <w:pStyle w:val="TableBodyText"/>
            </w:pPr>
            <w:r>
              <w:t>N/A</w:t>
            </w:r>
          </w:p>
        </w:tc>
        <w:tc>
          <w:tcPr>
            <w:tcW w:w="737" w:type="pct"/>
            <w:vAlign w:val="top"/>
          </w:tcPr>
          <w:p w14:paraId="34E0A605" w14:textId="4F3B213B" w:rsidR="00060F0B" w:rsidRPr="005A7F6A" w:rsidRDefault="00060F0B" w:rsidP="006E27D3">
            <w:pPr>
              <w:pStyle w:val="TableBodyText"/>
            </w:pPr>
            <w:r>
              <w:t>3,703</w:t>
            </w:r>
          </w:p>
        </w:tc>
        <w:tc>
          <w:tcPr>
            <w:tcW w:w="731" w:type="pct"/>
            <w:vAlign w:val="top"/>
          </w:tcPr>
          <w:p w14:paraId="294DCB69" w14:textId="2F6E003C" w:rsidR="00060F0B" w:rsidRPr="005A7F6A" w:rsidRDefault="00060F0B" w:rsidP="006E27D3">
            <w:pPr>
              <w:pStyle w:val="TableBodyText"/>
            </w:pPr>
            <w:r>
              <w:t>14,324</w:t>
            </w:r>
          </w:p>
        </w:tc>
      </w:tr>
      <w:tr w:rsidR="00060F0B" w:rsidRPr="005A7F6A" w14:paraId="7B1AD994" w14:textId="77777777" w:rsidTr="006E27D3">
        <w:trPr>
          <w:trHeight w:val="20"/>
        </w:trPr>
        <w:tc>
          <w:tcPr>
            <w:tcW w:w="3018" w:type="pct"/>
            <w:vAlign w:val="top"/>
          </w:tcPr>
          <w:p w14:paraId="00AC8701" w14:textId="4CAFA1BB" w:rsidR="00060F0B" w:rsidRPr="005A7F6A" w:rsidRDefault="00060F0B" w:rsidP="006E27D3">
            <w:pPr>
              <w:pStyle w:val="TableBodyText"/>
            </w:pPr>
            <w:r>
              <w:t>Receivables</w:t>
            </w:r>
          </w:p>
        </w:tc>
        <w:tc>
          <w:tcPr>
            <w:tcW w:w="514" w:type="pct"/>
            <w:vAlign w:val="top"/>
          </w:tcPr>
          <w:p w14:paraId="75C3E56F" w14:textId="781EEF70" w:rsidR="00060F0B" w:rsidRPr="005A7F6A" w:rsidRDefault="00506A67" w:rsidP="006E27D3">
            <w:pPr>
              <w:pStyle w:val="TableBodyText"/>
            </w:pPr>
            <w:r>
              <w:fldChar w:fldCharType="begin"/>
            </w:r>
            <w:r>
              <w:instrText xml:space="preserve"> REF Note23 \h </w:instrText>
            </w:r>
            <w:r>
              <w:fldChar w:fldCharType="separate"/>
            </w:r>
            <w:r w:rsidR="00472151">
              <w:t xml:space="preserve">2.3 </w:t>
            </w:r>
            <w:r>
              <w:fldChar w:fldCharType="end"/>
            </w:r>
          </w:p>
        </w:tc>
        <w:tc>
          <w:tcPr>
            <w:tcW w:w="737" w:type="pct"/>
            <w:vAlign w:val="top"/>
          </w:tcPr>
          <w:p w14:paraId="7745DCBE" w14:textId="5CDF8F6D" w:rsidR="00060F0B" w:rsidRPr="005A7F6A" w:rsidRDefault="00060F0B" w:rsidP="006E27D3">
            <w:pPr>
              <w:pStyle w:val="TableBodyText"/>
            </w:pPr>
            <w:r>
              <w:t>104,659</w:t>
            </w:r>
          </w:p>
        </w:tc>
        <w:tc>
          <w:tcPr>
            <w:tcW w:w="731" w:type="pct"/>
            <w:vAlign w:val="top"/>
          </w:tcPr>
          <w:p w14:paraId="4E324F59" w14:textId="44982F43" w:rsidR="00060F0B" w:rsidRPr="005A7F6A" w:rsidRDefault="00060F0B" w:rsidP="006E27D3">
            <w:pPr>
              <w:pStyle w:val="TableBodyText"/>
            </w:pPr>
            <w:r>
              <w:t>101,749</w:t>
            </w:r>
          </w:p>
        </w:tc>
      </w:tr>
      <w:tr w:rsidR="00060F0B" w:rsidRPr="005A7F6A" w14:paraId="12DF7DD5" w14:textId="77777777" w:rsidTr="006E27D3">
        <w:trPr>
          <w:trHeight w:val="20"/>
        </w:trPr>
        <w:tc>
          <w:tcPr>
            <w:tcW w:w="3018" w:type="pct"/>
            <w:vAlign w:val="top"/>
          </w:tcPr>
          <w:p w14:paraId="27C52EEB" w14:textId="53BAEE2D" w:rsidR="00060F0B" w:rsidRDefault="00060F0B" w:rsidP="006E27D3">
            <w:pPr>
              <w:pStyle w:val="TableBodyText"/>
            </w:pPr>
            <w:r>
              <w:t>Other current assets</w:t>
            </w:r>
          </w:p>
        </w:tc>
        <w:tc>
          <w:tcPr>
            <w:tcW w:w="514" w:type="pct"/>
            <w:vAlign w:val="top"/>
          </w:tcPr>
          <w:p w14:paraId="52A5C689" w14:textId="2DF2765F" w:rsidR="00060F0B" w:rsidRDefault="00C9560B" w:rsidP="006E27D3">
            <w:pPr>
              <w:pStyle w:val="TableBodyText"/>
            </w:pPr>
            <w:r>
              <w:fldChar w:fldCharType="begin"/>
            </w:r>
            <w:r>
              <w:instrText xml:space="preserve"> REF Note311 \h </w:instrText>
            </w:r>
            <w:r>
              <w:fldChar w:fldCharType="separate"/>
            </w:r>
            <w:r w:rsidR="00472151">
              <w:t xml:space="preserve">3.11 </w:t>
            </w:r>
            <w:r>
              <w:fldChar w:fldCharType="end"/>
            </w:r>
          </w:p>
        </w:tc>
        <w:tc>
          <w:tcPr>
            <w:tcW w:w="737" w:type="pct"/>
            <w:vAlign w:val="top"/>
          </w:tcPr>
          <w:p w14:paraId="3CBE5574" w14:textId="05335083" w:rsidR="00060F0B" w:rsidRDefault="00060F0B" w:rsidP="006E27D3">
            <w:pPr>
              <w:pStyle w:val="TableBodyText"/>
            </w:pPr>
            <w:r>
              <w:t>17,274</w:t>
            </w:r>
          </w:p>
        </w:tc>
        <w:tc>
          <w:tcPr>
            <w:tcW w:w="731" w:type="pct"/>
            <w:vAlign w:val="top"/>
          </w:tcPr>
          <w:p w14:paraId="6CE11B41" w14:textId="7196BC4B" w:rsidR="00060F0B" w:rsidRDefault="00060F0B" w:rsidP="006E27D3">
            <w:pPr>
              <w:pStyle w:val="TableBodyText"/>
            </w:pPr>
            <w:r>
              <w:t>18,462</w:t>
            </w:r>
          </w:p>
        </w:tc>
      </w:tr>
      <w:tr w:rsidR="00060F0B" w:rsidRPr="005A7F6A" w14:paraId="7B73C11E" w14:textId="77777777" w:rsidTr="006E27D3">
        <w:trPr>
          <w:trHeight w:val="20"/>
        </w:trPr>
        <w:tc>
          <w:tcPr>
            <w:tcW w:w="3018" w:type="pct"/>
            <w:tcBorders>
              <w:bottom w:val="single" w:sz="4" w:space="0" w:color="auto"/>
            </w:tcBorders>
            <w:vAlign w:val="top"/>
          </w:tcPr>
          <w:p w14:paraId="5019F136" w14:textId="7EC031C0" w:rsidR="00060F0B" w:rsidRPr="005A7F6A" w:rsidRDefault="00060F0B" w:rsidP="006E27D3">
            <w:pPr>
              <w:pStyle w:val="TableBodyText"/>
            </w:pPr>
            <w:r>
              <w:t>Non-current assets held for sale</w:t>
            </w:r>
          </w:p>
        </w:tc>
        <w:tc>
          <w:tcPr>
            <w:tcW w:w="514" w:type="pct"/>
            <w:tcBorders>
              <w:bottom w:val="single" w:sz="4" w:space="0" w:color="auto"/>
            </w:tcBorders>
            <w:vAlign w:val="top"/>
          </w:tcPr>
          <w:p w14:paraId="0E477492" w14:textId="6DF3D8A3" w:rsidR="00060F0B" w:rsidRPr="005A7F6A" w:rsidRDefault="002B0B65" w:rsidP="006E27D3">
            <w:pPr>
              <w:pStyle w:val="TableBodyText"/>
            </w:pPr>
            <w:r>
              <w:fldChar w:fldCharType="begin"/>
            </w:r>
            <w:r>
              <w:instrText xml:space="preserve"> REF Note43 \h </w:instrText>
            </w:r>
            <w:r>
              <w:fldChar w:fldCharType="separate"/>
            </w:r>
            <w:r w:rsidR="00472151" w:rsidRPr="00F82928">
              <w:t xml:space="preserve">4.3 </w:t>
            </w:r>
            <w:r>
              <w:fldChar w:fldCharType="end"/>
            </w:r>
          </w:p>
        </w:tc>
        <w:tc>
          <w:tcPr>
            <w:tcW w:w="737" w:type="pct"/>
            <w:tcBorders>
              <w:bottom w:val="single" w:sz="4" w:space="0" w:color="auto"/>
            </w:tcBorders>
            <w:vAlign w:val="top"/>
          </w:tcPr>
          <w:p w14:paraId="664FB13F" w14:textId="736C8CC7" w:rsidR="00060F0B" w:rsidRPr="005A7F6A" w:rsidRDefault="00060F0B" w:rsidP="006E27D3">
            <w:pPr>
              <w:pStyle w:val="TableBodyText"/>
            </w:pPr>
            <w:r>
              <w:t>19,555</w:t>
            </w:r>
          </w:p>
        </w:tc>
        <w:tc>
          <w:tcPr>
            <w:tcW w:w="731" w:type="pct"/>
            <w:tcBorders>
              <w:bottom w:val="single" w:sz="4" w:space="0" w:color="auto"/>
            </w:tcBorders>
            <w:vAlign w:val="top"/>
          </w:tcPr>
          <w:p w14:paraId="1A4F9E2C" w14:textId="7B2D28EA" w:rsidR="00060F0B" w:rsidRPr="005A7F6A" w:rsidRDefault="00060F0B" w:rsidP="006E27D3">
            <w:pPr>
              <w:pStyle w:val="TableBodyText"/>
            </w:pPr>
            <w:r>
              <w:t>9,086</w:t>
            </w:r>
          </w:p>
        </w:tc>
      </w:tr>
      <w:tr w:rsidR="00060F0B" w:rsidRPr="00004893" w14:paraId="50C6D6E5" w14:textId="77777777" w:rsidTr="006E27D3">
        <w:trPr>
          <w:trHeight w:val="20"/>
        </w:trPr>
        <w:tc>
          <w:tcPr>
            <w:tcW w:w="3018" w:type="pct"/>
            <w:tcBorders>
              <w:top w:val="single" w:sz="4" w:space="0" w:color="auto"/>
              <w:bottom w:val="single" w:sz="4" w:space="0" w:color="auto"/>
            </w:tcBorders>
            <w:vAlign w:val="top"/>
          </w:tcPr>
          <w:p w14:paraId="22C49283" w14:textId="118C3292" w:rsidR="00060F0B" w:rsidRPr="007456A5" w:rsidRDefault="00060F0B" w:rsidP="006E27D3">
            <w:pPr>
              <w:pStyle w:val="TableBodyText"/>
              <w:rPr>
                <w:rStyle w:val="Bold"/>
              </w:rPr>
            </w:pPr>
            <w:r>
              <w:rPr>
                <w:rStyle w:val="Bold"/>
              </w:rPr>
              <w:t>Total current assets</w:t>
            </w:r>
          </w:p>
        </w:tc>
        <w:tc>
          <w:tcPr>
            <w:tcW w:w="514" w:type="pct"/>
            <w:tcBorders>
              <w:top w:val="single" w:sz="4" w:space="0" w:color="auto"/>
              <w:bottom w:val="single" w:sz="4" w:space="0" w:color="auto"/>
            </w:tcBorders>
            <w:vAlign w:val="top"/>
          </w:tcPr>
          <w:p w14:paraId="6A3573BE" w14:textId="21952610" w:rsidR="00060F0B" w:rsidRPr="00004893" w:rsidRDefault="00060F0B" w:rsidP="006E27D3">
            <w:pPr>
              <w:pStyle w:val="TableBodyText"/>
            </w:pPr>
            <w:r>
              <w:t>N/A</w:t>
            </w:r>
          </w:p>
        </w:tc>
        <w:tc>
          <w:tcPr>
            <w:tcW w:w="737" w:type="pct"/>
            <w:tcBorders>
              <w:top w:val="single" w:sz="4" w:space="0" w:color="auto"/>
              <w:bottom w:val="single" w:sz="4" w:space="0" w:color="auto"/>
            </w:tcBorders>
            <w:vAlign w:val="top"/>
          </w:tcPr>
          <w:p w14:paraId="1FA63D28" w14:textId="7AF3BAB9" w:rsidR="00060F0B" w:rsidRPr="007456A5" w:rsidRDefault="00060F0B" w:rsidP="006E27D3">
            <w:pPr>
              <w:pStyle w:val="TableBodyText"/>
              <w:rPr>
                <w:rStyle w:val="Bold"/>
              </w:rPr>
            </w:pPr>
            <w:r>
              <w:rPr>
                <w:rStyle w:val="Bold"/>
              </w:rPr>
              <w:t>145,191</w:t>
            </w:r>
          </w:p>
        </w:tc>
        <w:tc>
          <w:tcPr>
            <w:tcW w:w="731" w:type="pct"/>
            <w:tcBorders>
              <w:top w:val="single" w:sz="4" w:space="0" w:color="auto"/>
              <w:bottom w:val="single" w:sz="4" w:space="0" w:color="auto"/>
            </w:tcBorders>
            <w:vAlign w:val="top"/>
          </w:tcPr>
          <w:p w14:paraId="4784E80B" w14:textId="49002C76" w:rsidR="00060F0B" w:rsidRPr="007456A5" w:rsidRDefault="00060F0B" w:rsidP="006E27D3">
            <w:pPr>
              <w:pStyle w:val="TableBodyText"/>
              <w:rPr>
                <w:rStyle w:val="Bold"/>
              </w:rPr>
            </w:pPr>
            <w:r>
              <w:rPr>
                <w:rStyle w:val="Bold"/>
              </w:rPr>
              <w:t>143,621</w:t>
            </w:r>
          </w:p>
        </w:tc>
      </w:tr>
      <w:tr w:rsidR="00060F0B" w:rsidRPr="005A7F6A" w14:paraId="7E6F7A18" w14:textId="77777777" w:rsidTr="006E27D3">
        <w:trPr>
          <w:trHeight w:val="20"/>
        </w:trPr>
        <w:tc>
          <w:tcPr>
            <w:tcW w:w="3018" w:type="pct"/>
            <w:tcBorders>
              <w:top w:val="single" w:sz="4" w:space="0" w:color="auto"/>
            </w:tcBorders>
            <w:vAlign w:val="top"/>
          </w:tcPr>
          <w:p w14:paraId="772EF46B" w14:textId="7B4C4D2B" w:rsidR="00060F0B" w:rsidRPr="00FB4B64" w:rsidRDefault="00060F0B" w:rsidP="006E27D3">
            <w:pPr>
              <w:pStyle w:val="TableBodyText"/>
              <w:rPr>
                <w:rStyle w:val="Bold"/>
              </w:rPr>
            </w:pPr>
            <w:r>
              <w:rPr>
                <w:rStyle w:val="Bold"/>
              </w:rPr>
              <w:t>Non-current assets</w:t>
            </w:r>
          </w:p>
        </w:tc>
        <w:tc>
          <w:tcPr>
            <w:tcW w:w="514" w:type="pct"/>
            <w:tcBorders>
              <w:top w:val="single" w:sz="4" w:space="0" w:color="auto"/>
            </w:tcBorders>
            <w:vAlign w:val="top"/>
          </w:tcPr>
          <w:p w14:paraId="5F6395EB" w14:textId="77777777" w:rsidR="00060F0B" w:rsidRPr="005A7F6A" w:rsidRDefault="00060F0B" w:rsidP="006E27D3">
            <w:pPr>
              <w:pStyle w:val="TableBodyText"/>
            </w:pPr>
            <w:r>
              <w:t>N/A</w:t>
            </w:r>
          </w:p>
        </w:tc>
        <w:tc>
          <w:tcPr>
            <w:tcW w:w="737" w:type="pct"/>
            <w:tcBorders>
              <w:top w:val="single" w:sz="4" w:space="0" w:color="auto"/>
            </w:tcBorders>
            <w:vAlign w:val="top"/>
          </w:tcPr>
          <w:p w14:paraId="0A7B4BB0" w14:textId="77777777" w:rsidR="00060F0B" w:rsidRPr="005A7F6A" w:rsidRDefault="00060F0B" w:rsidP="006E27D3">
            <w:pPr>
              <w:pStyle w:val="TableBodyText"/>
            </w:pPr>
            <w:r>
              <w:t>N/A</w:t>
            </w:r>
          </w:p>
        </w:tc>
        <w:tc>
          <w:tcPr>
            <w:tcW w:w="731" w:type="pct"/>
            <w:tcBorders>
              <w:top w:val="single" w:sz="4" w:space="0" w:color="auto"/>
            </w:tcBorders>
            <w:vAlign w:val="top"/>
          </w:tcPr>
          <w:p w14:paraId="37136752" w14:textId="77777777" w:rsidR="00060F0B" w:rsidRPr="005A7F6A" w:rsidRDefault="00060F0B" w:rsidP="006E27D3">
            <w:pPr>
              <w:pStyle w:val="TableBodyText"/>
            </w:pPr>
            <w:r>
              <w:t>N/A</w:t>
            </w:r>
          </w:p>
        </w:tc>
      </w:tr>
      <w:tr w:rsidR="00060F0B" w:rsidRPr="005A7F6A" w14:paraId="2C615F6F" w14:textId="77777777" w:rsidTr="006E27D3">
        <w:trPr>
          <w:trHeight w:val="20"/>
        </w:trPr>
        <w:tc>
          <w:tcPr>
            <w:tcW w:w="3018" w:type="pct"/>
            <w:vAlign w:val="top"/>
          </w:tcPr>
          <w:p w14:paraId="15ABEB99" w14:textId="3CECED4C" w:rsidR="00060F0B" w:rsidRPr="005A7F6A" w:rsidRDefault="00060F0B" w:rsidP="006E27D3">
            <w:pPr>
              <w:pStyle w:val="TableBodyText"/>
            </w:pPr>
            <w:r>
              <w:t>Land, buildings, infrastructure, plant and equipment and service concession arrangements</w:t>
            </w:r>
          </w:p>
        </w:tc>
        <w:tc>
          <w:tcPr>
            <w:tcW w:w="514" w:type="pct"/>
            <w:vAlign w:val="top"/>
          </w:tcPr>
          <w:p w14:paraId="7F7A103D" w14:textId="6978F318" w:rsidR="00060F0B" w:rsidRPr="005A7F6A" w:rsidRDefault="00C9560B" w:rsidP="006E27D3">
            <w:pPr>
              <w:pStyle w:val="TableBodyText"/>
            </w:pPr>
            <w:r>
              <w:fldChar w:fldCharType="begin"/>
            </w:r>
            <w:r>
              <w:instrText xml:space="preserve"> REF Note41 \h </w:instrText>
            </w:r>
            <w:r>
              <w:fldChar w:fldCharType="separate"/>
            </w:r>
            <w:r w:rsidR="00472151">
              <w:t xml:space="preserve">4.1 </w:t>
            </w:r>
            <w:r>
              <w:fldChar w:fldCharType="end"/>
            </w:r>
          </w:p>
        </w:tc>
        <w:tc>
          <w:tcPr>
            <w:tcW w:w="737" w:type="pct"/>
            <w:vAlign w:val="top"/>
          </w:tcPr>
          <w:p w14:paraId="08CDF531" w14:textId="7A571A33" w:rsidR="00060F0B" w:rsidRPr="005A7F6A" w:rsidRDefault="00060F0B" w:rsidP="006E27D3">
            <w:pPr>
              <w:pStyle w:val="TableBodyText"/>
            </w:pPr>
            <w:r>
              <w:t>16,068,099</w:t>
            </w:r>
          </w:p>
        </w:tc>
        <w:tc>
          <w:tcPr>
            <w:tcW w:w="731" w:type="pct"/>
            <w:vAlign w:val="top"/>
          </w:tcPr>
          <w:p w14:paraId="6044042F" w14:textId="66CB7E96" w:rsidR="00060F0B" w:rsidRPr="005A7F6A" w:rsidRDefault="00060F0B" w:rsidP="006E27D3">
            <w:pPr>
              <w:pStyle w:val="TableBodyText"/>
            </w:pPr>
            <w:r>
              <w:t>15,127,888</w:t>
            </w:r>
          </w:p>
        </w:tc>
      </w:tr>
      <w:tr w:rsidR="00060F0B" w:rsidRPr="005A7F6A" w14:paraId="6496BA5E" w14:textId="77777777" w:rsidTr="006E27D3">
        <w:trPr>
          <w:trHeight w:val="20"/>
        </w:trPr>
        <w:tc>
          <w:tcPr>
            <w:tcW w:w="3018" w:type="pct"/>
            <w:vAlign w:val="top"/>
          </w:tcPr>
          <w:p w14:paraId="2E96EF6E" w14:textId="4FCD4138" w:rsidR="00060F0B" w:rsidRPr="005A7F6A" w:rsidRDefault="00060F0B" w:rsidP="006E27D3">
            <w:pPr>
              <w:pStyle w:val="TableBodyText"/>
            </w:pPr>
            <w:r>
              <w:t>Intangible assets</w:t>
            </w:r>
          </w:p>
        </w:tc>
        <w:tc>
          <w:tcPr>
            <w:tcW w:w="514" w:type="pct"/>
            <w:vAlign w:val="top"/>
          </w:tcPr>
          <w:p w14:paraId="6F6C1B16" w14:textId="6BB6C9B7" w:rsidR="00060F0B" w:rsidRPr="005A7F6A" w:rsidRDefault="002B0B65" w:rsidP="006E27D3">
            <w:pPr>
              <w:pStyle w:val="TableBodyText"/>
            </w:pPr>
            <w:r>
              <w:fldChar w:fldCharType="begin"/>
            </w:r>
            <w:r>
              <w:instrText xml:space="preserve"> REF Note42 \h </w:instrText>
            </w:r>
            <w:r>
              <w:fldChar w:fldCharType="separate"/>
            </w:r>
            <w:r w:rsidR="00472151">
              <w:t xml:space="preserve">4.2 </w:t>
            </w:r>
            <w:r>
              <w:fldChar w:fldCharType="end"/>
            </w:r>
          </w:p>
        </w:tc>
        <w:tc>
          <w:tcPr>
            <w:tcW w:w="737" w:type="pct"/>
            <w:vAlign w:val="top"/>
          </w:tcPr>
          <w:p w14:paraId="215809D0" w14:textId="226AEB21" w:rsidR="00060F0B" w:rsidRPr="005A7F6A" w:rsidRDefault="00060F0B" w:rsidP="006E27D3">
            <w:pPr>
              <w:pStyle w:val="TableBodyText"/>
            </w:pPr>
            <w:r>
              <w:t>49,069</w:t>
            </w:r>
          </w:p>
        </w:tc>
        <w:tc>
          <w:tcPr>
            <w:tcW w:w="731" w:type="pct"/>
            <w:vAlign w:val="top"/>
          </w:tcPr>
          <w:p w14:paraId="497D3CEA" w14:textId="1F127CDE" w:rsidR="00060F0B" w:rsidRPr="005A7F6A" w:rsidRDefault="00060F0B" w:rsidP="006E27D3">
            <w:pPr>
              <w:pStyle w:val="TableBodyText"/>
            </w:pPr>
            <w:r>
              <w:t>51,406</w:t>
            </w:r>
          </w:p>
        </w:tc>
      </w:tr>
      <w:tr w:rsidR="00060F0B" w:rsidRPr="005A7F6A" w14:paraId="5671C05F" w14:textId="77777777" w:rsidTr="006E27D3">
        <w:trPr>
          <w:trHeight w:val="20"/>
        </w:trPr>
        <w:tc>
          <w:tcPr>
            <w:tcW w:w="3018" w:type="pct"/>
            <w:vAlign w:val="top"/>
          </w:tcPr>
          <w:p w14:paraId="05788E6E" w14:textId="15762FA6" w:rsidR="00060F0B" w:rsidRPr="005A7F6A" w:rsidRDefault="00060F0B" w:rsidP="006E27D3">
            <w:pPr>
              <w:pStyle w:val="TableBodyText"/>
            </w:pPr>
            <w:r>
              <w:t>Right of use assets and leases</w:t>
            </w:r>
          </w:p>
        </w:tc>
        <w:tc>
          <w:tcPr>
            <w:tcW w:w="514" w:type="pct"/>
            <w:vAlign w:val="top"/>
          </w:tcPr>
          <w:p w14:paraId="7CFCC31C" w14:textId="1BCF31C1" w:rsidR="00060F0B" w:rsidRPr="005A7F6A" w:rsidRDefault="002B0B65" w:rsidP="006E27D3">
            <w:pPr>
              <w:pStyle w:val="TableBodyText"/>
            </w:pPr>
            <w:r>
              <w:fldChar w:fldCharType="begin"/>
            </w:r>
            <w:r>
              <w:instrText xml:space="preserve"> REF Note44 \h </w:instrText>
            </w:r>
            <w:r>
              <w:fldChar w:fldCharType="separate"/>
            </w:r>
            <w:r w:rsidR="00472151">
              <w:t xml:space="preserve">4.4 </w:t>
            </w:r>
            <w:r>
              <w:fldChar w:fldCharType="end"/>
            </w:r>
          </w:p>
        </w:tc>
        <w:tc>
          <w:tcPr>
            <w:tcW w:w="737" w:type="pct"/>
            <w:vAlign w:val="top"/>
          </w:tcPr>
          <w:p w14:paraId="07D60F5F" w14:textId="50A3DCFF" w:rsidR="00060F0B" w:rsidRPr="005A7F6A" w:rsidRDefault="00060F0B" w:rsidP="006E27D3">
            <w:pPr>
              <w:pStyle w:val="TableBodyText"/>
            </w:pPr>
            <w:r>
              <w:t>47,277</w:t>
            </w:r>
          </w:p>
        </w:tc>
        <w:tc>
          <w:tcPr>
            <w:tcW w:w="731" w:type="pct"/>
            <w:vAlign w:val="top"/>
          </w:tcPr>
          <w:p w14:paraId="3A186F47" w14:textId="561826F4" w:rsidR="00060F0B" w:rsidRPr="005A7F6A" w:rsidRDefault="00060F0B" w:rsidP="006E27D3">
            <w:pPr>
              <w:pStyle w:val="TableBodyText"/>
            </w:pPr>
            <w:r>
              <w:t>55,558</w:t>
            </w:r>
          </w:p>
        </w:tc>
      </w:tr>
      <w:tr w:rsidR="00060F0B" w:rsidRPr="005A7F6A" w14:paraId="0B5E5C49" w14:textId="77777777" w:rsidTr="006E27D3">
        <w:trPr>
          <w:trHeight w:val="20"/>
        </w:trPr>
        <w:tc>
          <w:tcPr>
            <w:tcW w:w="3018" w:type="pct"/>
            <w:vAlign w:val="top"/>
          </w:tcPr>
          <w:p w14:paraId="64EDE496" w14:textId="342CB0CF" w:rsidR="00060F0B" w:rsidRPr="005A7F6A" w:rsidRDefault="00060F0B" w:rsidP="006E27D3">
            <w:pPr>
              <w:pStyle w:val="TableBodyText"/>
            </w:pPr>
            <w:r>
              <w:t>Defined benefit superannuation plan asset</w:t>
            </w:r>
          </w:p>
        </w:tc>
        <w:tc>
          <w:tcPr>
            <w:tcW w:w="514" w:type="pct"/>
            <w:vAlign w:val="top"/>
          </w:tcPr>
          <w:p w14:paraId="156733CC" w14:textId="39F259AA" w:rsidR="00060F0B" w:rsidRPr="005A7F6A" w:rsidRDefault="00450381" w:rsidP="006E27D3">
            <w:pPr>
              <w:pStyle w:val="TableBodyText"/>
            </w:pPr>
            <w:r>
              <w:fldChar w:fldCharType="begin"/>
            </w:r>
            <w:r>
              <w:instrText xml:space="preserve"> REF Note71 \h </w:instrText>
            </w:r>
            <w:r>
              <w:fldChar w:fldCharType="separate"/>
            </w:r>
            <w:r w:rsidR="00472151">
              <w:t xml:space="preserve">7.1 </w:t>
            </w:r>
            <w:r>
              <w:fldChar w:fldCharType="end"/>
            </w:r>
          </w:p>
        </w:tc>
        <w:tc>
          <w:tcPr>
            <w:tcW w:w="737" w:type="pct"/>
            <w:vAlign w:val="top"/>
          </w:tcPr>
          <w:p w14:paraId="333AE2C4" w14:textId="544DE708" w:rsidR="00060F0B" w:rsidRPr="005A7F6A" w:rsidRDefault="00060F0B" w:rsidP="006E27D3">
            <w:pPr>
              <w:pStyle w:val="TableBodyText"/>
            </w:pPr>
            <w:r>
              <w:t>20,499</w:t>
            </w:r>
          </w:p>
        </w:tc>
        <w:tc>
          <w:tcPr>
            <w:tcW w:w="731" w:type="pct"/>
            <w:vAlign w:val="top"/>
          </w:tcPr>
          <w:p w14:paraId="751A41E1" w14:textId="2EF1B08A" w:rsidR="00060F0B" w:rsidRPr="005A7F6A" w:rsidRDefault="00060F0B" w:rsidP="006E27D3">
            <w:pPr>
              <w:pStyle w:val="TableBodyText"/>
            </w:pPr>
            <w:r>
              <w:t>11,907</w:t>
            </w:r>
          </w:p>
        </w:tc>
      </w:tr>
      <w:tr w:rsidR="00060F0B" w:rsidRPr="00004893" w14:paraId="3E3D3BFC" w14:textId="77777777" w:rsidTr="006E27D3">
        <w:trPr>
          <w:trHeight w:val="20"/>
        </w:trPr>
        <w:tc>
          <w:tcPr>
            <w:tcW w:w="3018" w:type="pct"/>
            <w:tcBorders>
              <w:top w:val="single" w:sz="4" w:space="0" w:color="auto"/>
              <w:bottom w:val="single" w:sz="4" w:space="0" w:color="auto"/>
            </w:tcBorders>
            <w:vAlign w:val="top"/>
          </w:tcPr>
          <w:p w14:paraId="4D53E4BF" w14:textId="536CE435" w:rsidR="00060F0B" w:rsidRPr="007456A5" w:rsidRDefault="00060F0B" w:rsidP="006E27D3">
            <w:pPr>
              <w:pStyle w:val="TableBodyText"/>
              <w:rPr>
                <w:rStyle w:val="Bold"/>
              </w:rPr>
            </w:pPr>
            <w:r w:rsidRPr="007456A5">
              <w:rPr>
                <w:rStyle w:val="Bold"/>
              </w:rPr>
              <w:t xml:space="preserve">Total </w:t>
            </w:r>
            <w:r>
              <w:rPr>
                <w:rStyle w:val="Bold"/>
              </w:rPr>
              <w:t>non-current assets</w:t>
            </w:r>
          </w:p>
        </w:tc>
        <w:tc>
          <w:tcPr>
            <w:tcW w:w="514" w:type="pct"/>
            <w:tcBorders>
              <w:top w:val="single" w:sz="4" w:space="0" w:color="auto"/>
              <w:bottom w:val="single" w:sz="4" w:space="0" w:color="auto"/>
            </w:tcBorders>
            <w:vAlign w:val="top"/>
          </w:tcPr>
          <w:p w14:paraId="267B643B" w14:textId="6AA0DEEF" w:rsidR="00060F0B" w:rsidRPr="00004893" w:rsidRDefault="00060F0B" w:rsidP="006E27D3">
            <w:pPr>
              <w:pStyle w:val="TableBodyText"/>
            </w:pPr>
            <w:r>
              <w:t>N/A</w:t>
            </w:r>
          </w:p>
        </w:tc>
        <w:tc>
          <w:tcPr>
            <w:tcW w:w="737" w:type="pct"/>
            <w:tcBorders>
              <w:top w:val="single" w:sz="4" w:space="0" w:color="auto"/>
              <w:bottom w:val="single" w:sz="4" w:space="0" w:color="auto"/>
            </w:tcBorders>
            <w:vAlign w:val="top"/>
          </w:tcPr>
          <w:p w14:paraId="66C0F409" w14:textId="3894E066" w:rsidR="00060F0B" w:rsidRPr="007456A5" w:rsidRDefault="00060F0B" w:rsidP="006E27D3">
            <w:pPr>
              <w:pStyle w:val="TableBodyText"/>
              <w:rPr>
                <w:rStyle w:val="Bold"/>
              </w:rPr>
            </w:pPr>
            <w:r>
              <w:rPr>
                <w:rStyle w:val="Bold"/>
              </w:rPr>
              <w:t>16,184,944</w:t>
            </w:r>
          </w:p>
        </w:tc>
        <w:tc>
          <w:tcPr>
            <w:tcW w:w="731" w:type="pct"/>
            <w:tcBorders>
              <w:top w:val="single" w:sz="4" w:space="0" w:color="auto"/>
              <w:bottom w:val="single" w:sz="4" w:space="0" w:color="auto"/>
            </w:tcBorders>
            <w:vAlign w:val="top"/>
          </w:tcPr>
          <w:p w14:paraId="135EFDD9" w14:textId="68D2C0BF" w:rsidR="00060F0B" w:rsidRPr="007456A5" w:rsidRDefault="00060F0B" w:rsidP="006E27D3">
            <w:pPr>
              <w:pStyle w:val="TableBodyText"/>
              <w:rPr>
                <w:rStyle w:val="Bold"/>
              </w:rPr>
            </w:pPr>
            <w:r>
              <w:rPr>
                <w:rStyle w:val="Bold"/>
              </w:rPr>
              <w:t>15,246,759</w:t>
            </w:r>
          </w:p>
        </w:tc>
      </w:tr>
      <w:tr w:rsidR="00060F0B" w:rsidRPr="007456A5" w14:paraId="316E3FFE" w14:textId="77777777" w:rsidTr="006E27D3">
        <w:trPr>
          <w:trHeight w:val="20"/>
        </w:trPr>
        <w:tc>
          <w:tcPr>
            <w:tcW w:w="3018" w:type="pct"/>
            <w:tcBorders>
              <w:top w:val="single" w:sz="4" w:space="0" w:color="auto"/>
              <w:bottom w:val="single" w:sz="4" w:space="0" w:color="auto"/>
            </w:tcBorders>
            <w:vAlign w:val="top"/>
          </w:tcPr>
          <w:p w14:paraId="10FF47D1" w14:textId="3A097C75" w:rsidR="00060F0B" w:rsidRPr="007456A5" w:rsidRDefault="00060F0B" w:rsidP="006E27D3">
            <w:pPr>
              <w:pStyle w:val="TableBodyText"/>
              <w:rPr>
                <w:rStyle w:val="Bold"/>
              </w:rPr>
            </w:pPr>
            <w:r>
              <w:rPr>
                <w:rStyle w:val="Bold"/>
              </w:rPr>
              <w:t>Total assets</w:t>
            </w:r>
          </w:p>
        </w:tc>
        <w:tc>
          <w:tcPr>
            <w:tcW w:w="514" w:type="pct"/>
            <w:tcBorders>
              <w:top w:val="single" w:sz="4" w:space="0" w:color="auto"/>
              <w:bottom w:val="single" w:sz="4" w:space="0" w:color="auto"/>
            </w:tcBorders>
            <w:vAlign w:val="top"/>
          </w:tcPr>
          <w:p w14:paraId="2C72E010" w14:textId="77777777" w:rsidR="00060F0B" w:rsidRPr="007456A5" w:rsidRDefault="00060F0B" w:rsidP="006E27D3">
            <w:pPr>
              <w:pStyle w:val="TableBodyText"/>
            </w:pPr>
            <w:r w:rsidRPr="007456A5">
              <w:t>N/A</w:t>
            </w:r>
          </w:p>
        </w:tc>
        <w:tc>
          <w:tcPr>
            <w:tcW w:w="737" w:type="pct"/>
            <w:tcBorders>
              <w:top w:val="single" w:sz="4" w:space="0" w:color="auto"/>
              <w:bottom w:val="single" w:sz="4" w:space="0" w:color="auto"/>
            </w:tcBorders>
            <w:vAlign w:val="top"/>
          </w:tcPr>
          <w:p w14:paraId="4E0A960F" w14:textId="43572927" w:rsidR="00060F0B" w:rsidRPr="007456A5" w:rsidRDefault="00060F0B" w:rsidP="006E27D3">
            <w:pPr>
              <w:pStyle w:val="TableBodyText"/>
              <w:rPr>
                <w:rStyle w:val="Bold"/>
              </w:rPr>
            </w:pPr>
            <w:r>
              <w:rPr>
                <w:rStyle w:val="Bold"/>
              </w:rPr>
              <w:t>16,330,135</w:t>
            </w:r>
          </w:p>
        </w:tc>
        <w:tc>
          <w:tcPr>
            <w:tcW w:w="731" w:type="pct"/>
            <w:tcBorders>
              <w:top w:val="single" w:sz="4" w:space="0" w:color="auto"/>
              <w:bottom w:val="single" w:sz="4" w:space="0" w:color="auto"/>
            </w:tcBorders>
            <w:vAlign w:val="top"/>
          </w:tcPr>
          <w:p w14:paraId="072BABE6" w14:textId="11177081" w:rsidR="00060F0B" w:rsidRPr="007456A5" w:rsidRDefault="00060F0B" w:rsidP="006E27D3">
            <w:pPr>
              <w:pStyle w:val="TableBodyText"/>
              <w:rPr>
                <w:rStyle w:val="Bold"/>
              </w:rPr>
            </w:pPr>
            <w:r>
              <w:rPr>
                <w:rStyle w:val="Bold"/>
              </w:rPr>
              <w:t>15,390,380</w:t>
            </w:r>
          </w:p>
        </w:tc>
      </w:tr>
      <w:tr w:rsidR="00060F0B" w:rsidRPr="005A7F6A" w14:paraId="0103C2D8" w14:textId="77777777" w:rsidTr="006E27D3">
        <w:trPr>
          <w:trHeight w:val="20"/>
        </w:trPr>
        <w:tc>
          <w:tcPr>
            <w:tcW w:w="3018" w:type="pct"/>
            <w:tcBorders>
              <w:top w:val="single" w:sz="4" w:space="0" w:color="auto"/>
            </w:tcBorders>
            <w:vAlign w:val="top"/>
          </w:tcPr>
          <w:p w14:paraId="6D99B7E8" w14:textId="0D5D98DE" w:rsidR="00060F0B" w:rsidRPr="007456A5" w:rsidRDefault="00060F0B" w:rsidP="006E27D3">
            <w:pPr>
              <w:pStyle w:val="TableBodyText"/>
              <w:rPr>
                <w:rStyle w:val="Bold"/>
              </w:rPr>
            </w:pPr>
            <w:r>
              <w:rPr>
                <w:rStyle w:val="Bold"/>
              </w:rPr>
              <w:t>Liabilities</w:t>
            </w:r>
          </w:p>
        </w:tc>
        <w:tc>
          <w:tcPr>
            <w:tcW w:w="514" w:type="pct"/>
            <w:tcBorders>
              <w:top w:val="single" w:sz="4" w:space="0" w:color="auto"/>
            </w:tcBorders>
            <w:vAlign w:val="top"/>
          </w:tcPr>
          <w:p w14:paraId="3D3127CF" w14:textId="77777777" w:rsidR="00060F0B" w:rsidRPr="005A7F6A" w:rsidRDefault="00060F0B" w:rsidP="006E27D3">
            <w:pPr>
              <w:pStyle w:val="TableBodyText"/>
            </w:pPr>
            <w:r>
              <w:t>N/A</w:t>
            </w:r>
          </w:p>
        </w:tc>
        <w:tc>
          <w:tcPr>
            <w:tcW w:w="737" w:type="pct"/>
            <w:tcBorders>
              <w:top w:val="single" w:sz="4" w:space="0" w:color="auto"/>
            </w:tcBorders>
            <w:vAlign w:val="top"/>
          </w:tcPr>
          <w:p w14:paraId="21D0F2AA" w14:textId="77777777" w:rsidR="00060F0B" w:rsidRPr="005A7F6A" w:rsidRDefault="00060F0B" w:rsidP="006E27D3">
            <w:pPr>
              <w:pStyle w:val="TableBodyText"/>
            </w:pPr>
            <w:r>
              <w:t>N/A</w:t>
            </w:r>
          </w:p>
        </w:tc>
        <w:tc>
          <w:tcPr>
            <w:tcW w:w="731" w:type="pct"/>
            <w:tcBorders>
              <w:top w:val="single" w:sz="4" w:space="0" w:color="auto"/>
            </w:tcBorders>
            <w:vAlign w:val="top"/>
          </w:tcPr>
          <w:p w14:paraId="67FA1BA7" w14:textId="77777777" w:rsidR="00060F0B" w:rsidRPr="005A7F6A" w:rsidRDefault="00060F0B" w:rsidP="006E27D3">
            <w:pPr>
              <w:pStyle w:val="TableBodyText"/>
            </w:pPr>
            <w:r>
              <w:t>N/A</w:t>
            </w:r>
          </w:p>
        </w:tc>
      </w:tr>
      <w:tr w:rsidR="00060F0B" w:rsidRPr="005A7F6A" w14:paraId="654E445E" w14:textId="77777777" w:rsidTr="006E27D3">
        <w:trPr>
          <w:trHeight w:val="20"/>
        </w:trPr>
        <w:tc>
          <w:tcPr>
            <w:tcW w:w="3018" w:type="pct"/>
            <w:vAlign w:val="top"/>
          </w:tcPr>
          <w:p w14:paraId="08567E89" w14:textId="1D14D312" w:rsidR="00060F0B" w:rsidRPr="007456A5" w:rsidRDefault="00060F0B" w:rsidP="006E27D3">
            <w:pPr>
              <w:pStyle w:val="TableBodyText"/>
              <w:rPr>
                <w:rStyle w:val="Bold"/>
              </w:rPr>
            </w:pPr>
            <w:r>
              <w:rPr>
                <w:rStyle w:val="Bold"/>
              </w:rPr>
              <w:t>Current liabilities</w:t>
            </w:r>
          </w:p>
        </w:tc>
        <w:tc>
          <w:tcPr>
            <w:tcW w:w="514" w:type="pct"/>
            <w:vAlign w:val="top"/>
          </w:tcPr>
          <w:p w14:paraId="79410BBC" w14:textId="77777777" w:rsidR="00060F0B" w:rsidRPr="005A7F6A" w:rsidRDefault="00060F0B" w:rsidP="006E27D3">
            <w:pPr>
              <w:pStyle w:val="TableBodyText"/>
            </w:pPr>
            <w:r>
              <w:t>N/A</w:t>
            </w:r>
          </w:p>
        </w:tc>
        <w:tc>
          <w:tcPr>
            <w:tcW w:w="737" w:type="pct"/>
            <w:vAlign w:val="top"/>
          </w:tcPr>
          <w:p w14:paraId="4F6C18F4" w14:textId="77777777" w:rsidR="00060F0B" w:rsidRPr="005A7F6A" w:rsidRDefault="00060F0B" w:rsidP="006E27D3">
            <w:pPr>
              <w:pStyle w:val="TableBodyText"/>
            </w:pPr>
            <w:r>
              <w:t>N/A</w:t>
            </w:r>
          </w:p>
        </w:tc>
        <w:tc>
          <w:tcPr>
            <w:tcW w:w="731" w:type="pct"/>
            <w:vAlign w:val="top"/>
          </w:tcPr>
          <w:p w14:paraId="01062F39" w14:textId="77777777" w:rsidR="00060F0B" w:rsidRPr="005A7F6A" w:rsidRDefault="00060F0B" w:rsidP="006E27D3">
            <w:pPr>
              <w:pStyle w:val="TableBodyText"/>
            </w:pPr>
            <w:r>
              <w:t>N/A</w:t>
            </w:r>
          </w:p>
        </w:tc>
      </w:tr>
      <w:tr w:rsidR="00060F0B" w:rsidRPr="005A7F6A" w14:paraId="63BADF9D" w14:textId="77777777" w:rsidTr="006E27D3">
        <w:trPr>
          <w:trHeight w:val="20"/>
        </w:trPr>
        <w:tc>
          <w:tcPr>
            <w:tcW w:w="3018" w:type="pct"/>
            <w:vAlign w:val="top"/>
          </w:tcPr>
          <w:p w14:paraId="06A1BFDE" w14:textId="13C7159C" w:rsidR="00060F0B" w:rsidRPr="005A7F6A" w:rsidRDefault="00060F0B" w:rsidP="006E27D3">
            <w:pPr>
              <w:pStyle w:val="TableBodyText"/>
            </w:pPr>
            <w:r>
              <w:t>Payables</w:t>
            </w:r>
          </w:p>
        </w:tc>
        <w:tc>
          <w:tcPr>
            <w:tcW w:w="514" w:type="pct"/>
            <w:vAlign w:val="top"/>
          </w:tcPr>
          <w:p w14:paraId="064A4DF1" w14:textId="0519F99E" w:rsidR="00060F0B" w:rsidRPr="005A7F6A" w:rsidRDefault="00C9560B" w:rsidP="006E27D3">
            <w:pPr>
              <w:pStyle w:val="TableBodyText"/>
            </w:pPr>
            <w:r>
              <w:fldChar w:fldCharType="begin"/>
            </w:r>
            <w:r>
              <w:instrText xml:space="preserve"> REF Note39 \h </w:instrText>
            </w:r>
            <w:r>
              <w:fldChar w:fldCharType="separate"/>
            </w:r>
            <w:r w:rsidR="00472151">
              <w:t>3.9</w:t>
            </w:r>
            <w:r>
              <w:fldChar w:fldCharType="end"/>
            </w:r>
          </w:p>
        </w:tc>
        <w:tc>
          <w:tcPr>
            <w:tcW w:w="737" w:type="pct"/>
            <w:vAlign w:val="top"/>
          </w:tcPr>
          <w:p w14:paraId="6B9CC30E" w14:textId="225F8401" w:rsidR="00060F0B" w:rsidRPr="005A7F6A" w:rsidRDefault="00060F0B" w:rsidP="006E27D3">
            <w:pPr>
              <w:pStyle w:val="TableBodyText"/>
            </w:pPr>
            <w:r>
              <w:t>358,336</w:t>
            </w:r>
          </w:p>
        </w:tc>
        <w:tc>
          <w:tcPr>
            <w:tcW w:w="731" w:type="pct"/>
            <w:vAlign w:val="top"/>
          </w:tcPr>
          <w:p w14:paraId="77F3EC3D" w14:textId="469755F8" w:rsidR="00060F0B" w:rsidRPr="005A7F6A" w:rsidRDefault="00060F0B" w:rsidP="006E27D3">
            <w:pPr>
              <w:pStyle w:val="TableBodyText"/>
            </w:pPr>
            <w:r>
              <w:t>321,668</w:t>
            </w:r>
          </w:p>
        </w:tc>
      </w:tr>
      <w:tr w:rsidR="00060F0B" w:rsidRPr="005A7F6A" w14:paraId="3CFA4869" w14:textId="77777777" w:rsidTr="006E27D3">
        <w:trPr>
          <w:trHeight w:val="20"/>
        </w:trPr>
        <w:tc>
          <w:tcPr>
            <w:tcW w:w="3018" w:type="pct"/>
            <w:vAlign w:val="top"/>
          </w:tcPr>
          <w:p w14:paraId="132162D4" w14:textId="214EEFBD" w:rsidR="00060F0B" w:rsidRPr="005A7F6A" w:rsidRDefault="00060F0B" w:rsidP="006E27D3">
            <w:pPr>
              <w:pStyle w:val="TableBodyText"/>
            </w:pPr>
            <w:r>
              <w:t>Contract liabilities</w:t>
            </w:r>
          </w:p>
        </w:tc>
        <w:tc>
          <w:tcPr>
            <w:tcW w:w="514" w:type="pct"/>
            <w:vAlign w:val="top"/>
          </w:tcPr>
          <w:p w14:paraId="02D91BDD" w14:textId="6ED28A2C" w:rsidR="00060F0B" w:rsidRPr="005A7F6A" w:rsidRDefault="00C9560B" w:rsidP="006E27D3">
            <w:pPr>
              <w:pStyle w:val="TableBodyText"/>
            </w:pPr>
            <w:r>
              <w:fldChar w:fldCharType="begin"/>
            </w:r>
            <w:r>
              <w:instrText xml:space="preserve"> REF Note310 \h </w:instrText>
            </w:r>
            <w:r>
              <w:fldChar w:fldCharType="separate"/>
            </w:r>
            <w:r w:rsidR="00472151">
              <w:t>3.10</w:t>
            </w:r>
            <w:r>
              <w:fldChar w:fldCharType="end"/>
            </w:r>
          </w:p>
        </w:tc>
        <w:tc>
          <w:tcPr>
            <w:tcW w:w="737" w:type="pct"/>
            <w:vAlign w:val="top"/>
          </w:tcPr>
          <w:p w14:paraId="5E0E8D47" w14:textId="657E3655" w:rsidR="00060F0B" w:rsidRPr="005A7F6A" w:rsidRDefault="00060F0B" w:rsidP="006E27D3">
            <w:pPr>
              <w:pStyle w:val="TableBodyText"/>
            </w:pPr>
            <w:r>
              <w:t>79,225</w:t>
            </w:r>
          </w:p>
        </w:tc>
        <w:tc>
          <w:tcPr>
            <w:tcW w:w="731" w:type="pct"/>
            <w:vAlign w:val="top"/>
          </w:tcPr>
          <w:p w14:paraId="6F4ECC23" w14:textId="6D71C15D" w:rsidR="00060F0B" w:rsidRPr="005A7F6A" w:rsidRDefault="00060F0B" w:rsidP="006E27D3">
            <w:pPr>
              <w:pStyle w:val="TableBodyText"/>
            </w:pPr>
            <w:r>
              <w:t>73,620</w:t>
            </w:r>
          </w:p>
        </w:tc>
      </w:tr>
      <w:tr w:rsidR="00060F0B" w:rsidRPr="005A7F6A" w14:paraId="47F626AC" w14:textId="77777777" w:rsidTr="006E27D3">
        <w:trPr>
          <w:trHeight w:val="20"/>
        </w:trPr>
        <w:tc>
          <w:tcPr>
            <w:tcW w:w="3018" w:type="pct"/>
            <w:vAlign w:val="top"/>
          </w:tcPr>
          <w:p w14:paraId="68B8BAFC" w14:textId="0E84FECE" w:rsidR="00060F0B" w:rsidRPr="005A7F6A" w:rsidRDefault="00060F0B" w:rsidP="006E27D3">
            <w:pPr>
              <w:pStyle w:val="TableBodyText"/>
            </w:pPr>
            <w:r>
              <w:t>Interest bearing liabilities</w:t>
            </w:r>
          </w:p>
        </w:tc>
        <w:tc>
          <w:tcPr>
            <w:tcW w:w="514" w:type="pct"/>
            <w:vAlign w:val="top"/>
          </w:tcPr>
          <w:p w14:paraId="11EA4365" w14:textId="43535D2D" w:rsidR="00060F0B" w:rsidRPr="005A7F6A" w:rsidRDefault="002B0B65" w:rsidP="006E27D3">
            <w:pPr>
              <w:pStyle w:val="TableBodyText"/>
            </w:pPr>
            <w:r>
              <w:fldChar w:fldCharType="begin"/>
            </w:r>
            <w:r>
              <w:instrText xml:space="preserve"> REF Note51 \h </w:instrText>
            </w:r>
            <w:r>
              <w:fldChar w:fldCharType="separate"/>
            </w:r>
            <w:r w:rsidR="00472151" w:rsidRPr="00300324">
              <w:t xml:space="preserve">5.1 </w:t>
            </w:r>
            <w:r>
              <w:fldChar w:fldCharType="end"/>
            </w:r>
          </w:p>
        </w:tc>
        <w:tc>
          <w:tcPr>
            <w:tcW w:w="737" w:type="pct"/>
            <w:vAlign w:val="top"/>
          </w:tcPr>
          <w:p w14:paraId="6328381B" w14:textId="14581198" w:rsidR="00060F0B" w:rsidRPr="005A7F6A" w:rsidRDefault="00060F0B" w:rsidP="006E27D3">
            <w:pPr>
              <w:pStyle w:val="TableBodyText"/>
            </w:pPr>
            <w:r>
              <w:t>374,568</w:t>
            </w:r>
          </w:p>
        </w:tc>
        <w:tc>
          <w:tcPr>
            <w:tcW w:w="731" w:type="pct"/>
            <w:vAlign w:val="top"/>
          </w:tcPr>
          <w:p w14:paraId="18FD496A" w14:textId="1B0BC04B" w:rsidR="00060F0B" w:rsidRPr="005A7F6A" w:rsidRDefault="00060F0B" w:rsidP="006E27D3">
            <w:pPr>
              <w:pStyle w:val="TableBodyText"/>
            </w:pPr>
            <w:r>
              <w:t>613,915</w:t>
            </w:r>
          </w:p>
        </w:tc>
      </w:tr>
      <w:tr w:rsidR="00060F0B" w:rsidRPr="005A7F6A" w14:paraId="0367914A" w14:textId="77777777" w:rsidTr="006E27D3">
        <w:trPr>
          <w:trHeight w:val="20"/>
        </w:trPr>
        <w:tc>
          <w:tcPr>
            <w:tcW w:w="3018" w:type="pct"/>
            <w:vAlign w:val="top"/>
          </w:tcPr>
          <w:p w14:paraId="57324EF5" w14:textId="3A2917D1" w:rsidR="00060F0B" w:rsidRDefault="00060F0B" w:rsidP="006E27D3">
            <w:pPr>
              <w:pStyle w:val="TableBodyText"/>
            </w:pPr>
            <w:r>
              <w:t>Provisions</w:t>
            </w:r>
          </w:p>
        </w:tc>
        <w:tc>
          <w:tcPr>
            <w:tcW w:w="514" w:type="pct"/>
            <w:vAlign w:val="top"/>
          </w:tcPr>
          <w:p w14:paraId="400BEE09" w14:textId="31A64CBF" w:rsidR="00060F0B" w:rsidRDefault="00C9560B" w:rsidP="006E27D3">
            <w:pPr>
              <w:pStyle w:val="TableBodyText"/>
            </w:pPr>
            <w:r>
              <w:fldChar w:fldCharType="begin"/>
            </w:r>
            <w:r>
              <w:instrText xml:space="preserve"> REF Note312 \h </w:instrText>
            </w:r>
            <w:r>
              <w:fldChar w:fldCharType="separate"/>
            </w:r>
            <w:r w:rsidR="00472151">
              <w:t xml:space="preserve">3.12 </w:t>
            </w:r>
            <w:r>
              <w:fldChar w:fldCharType="end"/>
            </w:r>
          </w:p>
        </w:tc>
        <w:tc>
          <w:tcPr>
            <w:tcW w:w="737" w:type="pct"/>
            <w:vAlign w:val="top"/>
          </w:tcPr>
          <w:p w14:paraId="24B7B1BA" w14:textId="56EF9CA5" w:rsidR="00060F0B" w:rsidRDefault="00060F0B" w:rsidP="006E27D3">
            <w:pPr>
              <w:pStyle w:val="TableBodyText"/>
            </w:pPr>
            <w:r>
              <w:t>5,477</w:t>
            </w:r>
          </w:p>
        </w:tc>
        <w:tc>
          <w:tcPr>
            <w:tcW w:w="731" w:type="pct"/>
            <w:vAlign w:val="top"/>
          </w:tcPr>
          <w:p w14:paraId="3629F9F9" w14:textId="171FC549" w:rsidR="00060F0B" w:rsidRDefault="00060F0B" w:rsidP="006E27D3">
            <w:pPr>
              <w:pStyle w:val="TableBodyText"/>
            </w:pPr>
            <w:r>
              <w:t>4,183</w:t>
            </w:r>
          </w:p>
        </w:tc>
      </w:tr>
      <w:tr w:rsidR="00060F0B" w:rsidRPr="005A7F6A" w14:paraId="6D4E3015" w14:textId="77777777" w:rsidTr="006E27D3">
        <w:trPr>
          <w:trHeight w:val="20"/>
        </w:trPr>
        <w:tc>
          <w:tcPr>
            <w:tcW w:w="3018" w:type="pct"/>
            <w:vAlign w:val="top"/>
          </w:tcPr>
          <w:p w14:paraId="4C3B5EDC" w14:textId="6314A3FA" w:rsidR="00060F0B" w:rsidRDefault="00060F0B" w:rsidP="006E27D3">
            <w:pPr>
              <w:pStyle w:val="TableBodyText"/>
            </w:pPr>
            <w:r>
              <w:lastRenderedPageBreak/>
              <w:t>Current tax liability</w:t>
            </w:r>
          </w:p>
        </w:tc>
        <w:tc>
          <w:tcPr>
            <w:tcW w:w="514" w:type="pct"/>
            <w:vAlign w:val="top"/>
          </w:tcPr>
          <w:p w14:paraId="1CB2F9DD" w14:textId="7365B004" w:rsidR="00060F0B" w:rsidRDefault="00345013" w:rsidP="006E27D3">
            <w:pPr>
              <w:pStyle w:val="TableBodyText"/>
            </w:pPr>
            <w:r>
              <w:fldChar w:fldCharType="begin"/>
            </w:r>
            <w:r>
              <w:instrText xml:space="preserve"> REF Note381 \h </w:instrText>
            </w:r>
            <w:r>
              <w:fldChar w:fldCharType="separate"/>
            </w:r>
            <w:r w:rsidR="00472151">
              <w:t xml:space="preserve">3.8.1 </w:t>
            </w:r>
            <w:r>
              <w:fldChar w:fldCharType="end"/>
            </w:r>
          </w:p>
        </w:tc>
        <w:tc>
          <w:tcPr>
            <w:tcW w:w="737" w:type="pct"/>
            <w:vAlign w:val="top"/>
          </w:tcPr>
          <w:p w14:paraId="192841E5" w14:textId="4A5D7F5F" w:rsidR="00060F0B" w:rsidRDefault="00060F0B" w:rsidP="006E27D3">
            <w:pPr>
              <w:pStyle w:val="TableBodyText"/>
            </w:pPr>
            <w:r>
              <w:t>19,469</w:t>
            </w:r>
          </w:p>
        </w:tc>
        <w:tc>
          <w:tcPr>
            <w:tcW w:w="731" w:type="pct"/>
            <w:vAlign w:val="top"/>
          </w:tcPr>
          <w:p w14:paraId="3874A0EB" w14:textId="6D29C985" w:rsidR="00060F0B" w:rsidRDefault="00060F0B" w:rsidP="006E27D3">
            <w:pPr>
              <w:pStyle w:val="TableBodyText"/>
            </w:pPr>
            <w:r>
              <w:t>12,824</w:t>
            </w:r>
          </w:p>
        </w:tc>
      </w:tr>
      <w:tr w:rsidR="00060F0B" w:rsidRPr="005A7F6A" w14:paraId="3FDB8CBA" w14:textId="77777777" w:rsidTr="006E27D3">
        <w:trPr>
          <w:trHeight w:val="20"/>
        </w:trPr>
        <w:tc>
          <w:tcPr>
            <w:tcW w:w="3018" w:type="pct"/>
            <w:vAlign w:val="top"/>
          </w:tcPr>
          <w:p w14:paraId="572BFAA4" w14:textId="045D4A7B" w:rsidR="00060F0B" w:rsidRDefault="00060F0B" w:rsidP="006E27D3">
            <w:pPr>
              <w:pStyle w:val="TableBodyText"/>
            </w:pPr>
            <w:r>
              <w:t>Employee benefits provision</w:t>
            </w:r>
          </w:p>
        </w:tc>
        <w:tc>
          <w:tcPr>
            <w:tcW w:w="514" w:type="pct"/>
            <w:vAlign w:val="top"/>
          </w:tcPr>
          <w:p w14:paraId="4D3B5B84" w14:textId="2258975C" w:rsidR="00060F0B" w:rsidRDefault="00506A67" w:rsidP="006E27D3">
            <w:pPr>
              <w:pStyle w:val="TableBodyText"/>
            </w:pPr>
            <w:r>
              <w:fldChar w:fldCharType="begin"/>
            </w:r>
            <w:r>
              <w:instrText xml:space="preserve"> REF Note32 \h </w:instrText>
            </w:r>
            <w:r>
              <w:fldChar w:fldCharType="separate"/>
            </w:r>
            <w:r w:rsidR="00472151" w:rsidRPr="00470F0A">
              <w:t>3</w:t>
            </w:r>
            <w:r w:rsidR="00472151">
              <w:t xml:space="preserve">.2 </w:t>
            </w:r>
            <w:r>
              <w:fldChar w:fldCharType="end"/>
            </w:r>
          </w:p>
        </w:tc>
        <w:tc>
          <w:tcPr>
            <w:tcW w:w="737" w:type="pct"/>
            <w:vAlign w:val="top"/>
          </w:tcPr>
          <w:p w14:paraId="7932AD0B" w14:textId="22782C3B" w:rsidR="00060F0B" w:rsidRDefault="00060F0B" w:rsidP="006E27D3">
            <w:pPr>
              <w:pStyle w:val="TableBodyText"/>
            </w:pPr>
            <w:r>
              <w:t>49,775</w:t>
            </w:r>
          </w:p>
        </w:tc>
        <w:tc>
          <w:tcPr>
            <w:tcW w:w="731" w:type="pct"/>
            <w:vAlign w:val="top"/>
          </w:tcPr>
          <w:p w14:paraId="282573E3" w14:textId="3D2337BE" w:rsidR="00060F0B" w:rsidRDefault="00060F0B" w:rsidP="006E27D3">
            <w:pPr>
              <w:pStyle w:val="TableBodyText"/>
            </w:pPr>
            <w:r>
              <w:t>47,262</w:t>
            </w:r>
          </w:p>
        </w:tc>
      </w:tr>
      <w:tr w:rsidR="00060F0B" w:rsidRPr="007456A5" w14:paraId="72EA4FD2" w14:textId="77777777" w:rsidTr="006E27D3">
        <w:trPr>
          <w:trHeight w:val="20"/>
        </w:trPr>
        <w:tc>
          <w:tcPr>
            <w:tcW w:w="3018" w:type="pct"/>
            <w:tcBorders>
              <w:top w:val="single" w:sz="4" w:space="0" w:color="auto"/>
              <w:bottom w:val="single" w:sz="4" w:space="0" w:color="auto"/>
            </w:tcBorders>
            <w:vAlign w:val="top"/>
          </w:tcPr>
          <w:p w14:paraId="7E598319" w14:textId="3BEF18BD" w:rsidR="00060F0B" w:rsidRPr="007456A5" w:rsidRDefault="00060F0B" w:rsidP="006E27D3">
            <w:pPr>
              <w:pStyle w:val="TableBodyText"/>
              <w:rPr>
                <w:rStyle w:val="Bold"/>
              </w:rPr>
            </w:pPr>
            <w:r>
              <w:rPr>
                <w:rStyle w:val="Bold"/>
              </w:rPr>
              <w:t>Total current liabilities</w:t>
            </w:r>
          </w:p>
        </w:tc>
        <w:tc>
          <w:tcPr>
            <w:tcW w:w="514" w:type="pct"/>
            <w:tcBorders>
              <w:top w:val="single" w:sz="4" w:space="0" w:color="auto"/>
              <w:bottom w:val="single" w:sz="4" w:space="0" w:color="auto"/>
            </w:tcBorders>
            <w:vAlign w:val="top"/>
          </w:tcPr>
          <w:p w14:paraId="4B0747D3" w14:textId="77777777" w:rsidR="00060F0B" w:rsidRPr="007456A5" w:rsidRDefault="00060F0B" w:rsidP="006E27D3">
            <w:pPr>
              <w:pStyle w:val="TableBodyText"/>
            </w:pPr>
            <w:r w:rsidRPr="007456A5">
              <w:t>N/A</w:t>
            </w:r>
          </w:p>
        </w:tc>
        <w:tc>
          <w:tcPr>
            <w:tcW w:w="737" w:type="pct"/>
            <w:tcBorders>
              <w:top w:val="single" w:sz="4" w:space="0" w:color="auto"/>
              <w:bottom w:val="single" w:sz="4" w:space="0" w:color="auto"/>
            </w:tcBorders>
            <w:vAlign w:val="top"/>
          </w:tcPr>
          <w:p w14:paraId="715B394C" w14:textId="0B9D39EE" w:rsidR="00060F0B" w:rsidRPr="007456A5" w:rsidRDefault="00060F0B" w:rsidP="006E27D3">
            <w:pPr>
              <w:pStyle w:val="TableBodyText"/>
              <w:rPr>
                <w:rStyle w:val="Bold"/>
              </w:rPr>
            </w:pPr>
            <w:r>
              <w:rPr>
                <w:rStyle w:val="Bold"/>
              </w:rPr>
              <w:t>886,850</w:t>
            </w:r>
          </w:p>
        </w:tc>
        <w:tc>
          <w:tcPr>
            <w:tcW w:w="731" w:type="pct"/>
            <w:tcBorders>
              <w:top w:val="single" w:sz="4" w:space="0" w:color="auto"/>
              <w:bottom w:val="single" w:sz="4" w:space="0" w:color="auto"/>
            </w:tcBorders>
            <w:vAlign w:val="top"/>
          </w:tcPr>
          <w:p w14:paraId="53B21C08" w14:textId="2E4AFBEE" w:rsidR="00060F0B" w:rsidRPr="007456A5" w:rsidRDefault="00060F0B" w:rsidP="006E27D3">
            <w:pPr>
              <w:pStyle w:val="TableBodyText"/>
              <w:rPr>
                <w:rStyle w:val="Bold"/>
              </w:rPr>
            </w:pPr>
            <w:r>
              <w:rPr>
                <w:rStyle w:val="Bold"/>
              </w:rPr>
              <w:t>1,073,472</w:t>
            </w:r>
          </w:p>
        </w:tc>
      </w:tr>
      <w:tr w:rsidR="00060F0B" w:rsidRPr="007456A5" w14:paraId="6F7554AC" w14:textId="77777777" w:rsidTr="006E27D3">
        <w:trPr>
          <w:trHeight w:val="20"/>
        </w:trPr>
        <w:tc>
          <w:tcPr>
            <w:tcW w:w="3018" w:type="pct"/>
            <w:tcBorders>
              <w:top w:val="single" w:sz="4" w:space="0" w:color="auto"/>
            </w:tcBorders>
            <w:vAlign w:val="top"/>
          </w:tcPr>
          <w:p w14:paraId="1B7444E9" w14:textId="0E750470" w:rsidR="00060F0B" w:rsidRPr="00DC7FFC" w:rsidRDefault="00060F0B" w:rsidP="006E27D3">
            <w:pPr>
              <w:pStyle w:val="TableBodyText"/>
              <w:rPr>
                <w:rStyle w:val="Bold"/>
              </w:rPr>
            </w:pPr>
            <w:r w:rsidRPr="00DC7FFC">
              <w:rPr>
                <w:rStyle w:val="Bold"/>
              </w:rPr>
              <w:t>Non-current liabilities</w:t>
            </w:r>
          </w:p>
        </w:tc>
        <w:tc>
          <w:tcPr>
            <w:tcW w:w="514" w:type="pct"/>
            <w:tcBorders>
              <w:top w:val="single" w:sz="4" w:space="0" w:color="auto"/>
            </w:tcBorders>
            <w:vAlign w:val="top"/>
          </w:tcPr>
          <w:p w14:paraId="56844E99" w14:textId="39DED8DE" w:rsidR="00060F0B" w:rsidRPr="007456A5" w:rsidRDefault="00060F0B" w:rsidP="006E27D3">
            <w:pPr>
              <w:pStyle w:val="TableBodyText"/>
            </w:pPr>
            <w:r>
              <w:t>N/A</w:t>
            </w:r>
          </w:p>
        </w:tc>
        <w:tc>
          <w:tcPr>
            <w:tcW w:w="737" w:type="pct"/>
            <w:tcBorders>
              <w:top w:val="single" w:sz="4" w:space="0" w:color="auto"/>
            </w:tcBorders>
            <w:vAlign w:val="top"/>
          </w:tcPr>
          <w:p w14:paraId="2CC82703" w14:textId="49A87E0C" w:rsidR="00060F0B" w:rsidRDefault="00060F0B" w:rsidP="006E27D3">
            <w:pPr>
              <w:pStyle w:val="TableBodyText"/>
            </w:pPr>
            <w:r>
              <w:t>N/A</w:t>
            </w:r>
          </w:p>
        </w:tc>
        <w:tc>
          <w:tcPr>
            <w:tcW w:w="731" w:type="pct"/>
            <w:tcBorders>
              <w:top w:val="single" w:sz="4" w:space="0" w:color="auto"/>
            </w:tcBorders>
            <w:vAlign w:val="top"/>
          </w:tcPr>
          <w:p w14:paraId="158D795B" w14:textId="1C00BCE9" w:rsidR="00060F0B" w:rsidRDefault="00060F0B" w:rsidP="006E27D3">
            <w:pPr>
              <w:pStyle w:val="TableBodyText"/>
            </w:pPr>
            <w:r>
              <w:t>N/A</w:t>
            </w:r>
          </w:p>
        </w:tc>
      </w:tr>
      <w:tr w:rsidR="00060F0B" w:rsidRPr="007456A5" w14:paraId="43B923B9" w14:textId="77777777" w:rsidTr="006E27D3">
        <w:trPr>
          <w:trHeight w:val="20"/>
        </w:trPr>
        <w:tc>
          <w:tcPr>
            <w:tcW w:w="3018" w:type="pct"/>
            <w:vAlign w:val="top"/>
          </w:tcPr>
          <w:p w14:paraId="54B77DB5" w14:textId="55015393" w:rsidR="00060F0B" w:rsidRDefault="00060F0B" w:rsidP="006E27D3">
            <w:pPr>
              <w:pStyle w:val="TableBodyText"/>
            </w:pPr>
            <w:r>
              <w:t>Payables</w:t>
            </w:r>
          </w:p>
        </w:tc>
        <w:tc>
          <w:tcPr>
            <w:tcW w:w="514" w:type="pct"/>
            <w:vAlign w:val="top"/>
          </w:tcPr>
          <w:p w14:paraId="1E5E66B7" w14:textId="0FD1BDE1" w:rsidR="00060F0B" w:rsidRPr="007456A5" w:rsidRDefault="00C9560B" w:rsidP="006E27D3">
            <w:pPr>
              <w:pStyle w:val="TableBodyText"/>
            </w:pPr>
            <w:r>
              <w:fldChar w:fldCharType="begin"/>
            </w:r>
            <w:r>
              <w:instrText xml:space="preserve"> REF Note39 \h </w:instrText>
            </w:r>
            <w:r>
              <w:fldChar w:fldCharType="separate"/>
            </w:r>
            <w:r w:rsidR="00472151">
              <w:t>3.9</w:t>
            </w:r>
            <w:r>
              <w:fldChar w:fldCharType="end"/>
            </w:r>
          </w:p>
        </w:tc>
        <w:tc>
          <w:tcPr>
            <w:tcW w:w="737" w:type="pct"/>
            <w:vAlign w:val="top"/>
          </w:tcPr>
          <w:p w14:paraId="26974BC8" w14:textId="2E1A8ADB" w:rsidR="00060F0B" w:rsidRDefault="00060F0B" w:rsidP="006E27D3">
            <w:pPr>
              <w:pStyle w:val="TableBodyText"/>
            </w:pPr>
            <w:r>
              <w:t>3,014</w:t>
            </w:r>
          </w:p>
        </w:tc>
        <w:tc>
          <w:tcPr>
            <w:tcW w:w="731" w:type="pct"/>
            <w:vAlign w:val="top"/>
          </w:tcPr>
          <w:p w14:paraId="1542EE35" w14:textId="668C0FBE" w:rsidR="00060F0B" w:rsidRDefault="00060F0B" w:rsidP="006E27D3">
            <w:pPr>
              <w:pStyle w:val="TableBodyText"/>
            </w:pPr>
            <w:r>
              <w:t>467</w:t>
            </w:r>
          </w:p>
        </w:tc>
      </w:tr>
      <w:tr w:rsidR="00060F0B" w:rsidRPr="007456A5" w14:paraId="448DDBA6" w14:textId="77777777" w:rsidTr="006E27D3">
        <w:trPr>
          <w:trHeight w:val="20"/>
        </w:trPr>
        <w:tc>
          <w:tcPr>
            <w:tcW w:w="3018" w:type="pct"/>
            <w:vAlign w:val="top"/>
          </w:tcPr>
          <w:p w14:paraId="59C9943E" w14:textId="3ED74012" w:rsidR="00060F0B" w:rsidRDefault="00060F0B" w:rsidP="006E27D3">
            <w:pPr>
              <w:pStyle w:val="TableBodyText"/>
            </w:pPr>
            <w:r>
              <w:t>Interest bearing liabilities</w:t>
            </w:r>
          </w:p>
        </w:tc>
        <w:tc>
          <w:tcPr>
            <w:tcW w:w="514" w:type="pct"/>
            <w:vAlign w:val="top"/>
          </w:tcPr>
          <w:p w14:paraId="2548E1C5" w14:textId="3EB4C3EB" w:rsidR="00060F0B" w:rsidRDefault="002B0B65" w:rsidP="006E27D3">
            <w:pPr>
              <w:pStyle w:val="TableBodyText"/>
            </w:pPr>
            <w:r>
              <w:fldChar w:fldCharType="begin"/>
            </w:r>
            <w:r>
              <w:instrText xml:space="preserve"> REF Note51 \h </w:instrText>
            </w:r>
            <w:r>
              <w:fldChar w:fldCharType="separate"/>
            </w:r>
            <w:r w:rsidR="00472151" w:rsidRPr="00300324">
              <w:t xml:space="preserve">5.1 </w:t>
            </w:r>
            <w:r>
              <w:fldChar w:fldCharType="end"/>
            </w:r>
          </w:p>
        </w:tc>
        <w:tc>
          <w:tcPr>
            <w:tcW w:w="737" w:type="pct"/>
            <w:vAlign w:val="top"/>
          </w:tcPr>
          <w:p w14:paraId="780A14D6" w14:textId="54916F66" w:rsidR="00060F0B" w:rsidRDefault="00060F0B" w:rsidP="006E27D3">
            <w:pPr>
              <w:pStyle w:val="TableBodyText"/>
            </w:pPr>
            <w:r>
              <w:t>7,487,690</w:t>
            </w:r>
          </w:p>
        </w:tc>
        <w:tc>
          <w:tcPr>
            <w:tcW w:w="731" w:type="pct"/>
            <w:vAlign w:val="top"/>
          </w:tcPr>
          <w:p w14:paraId="35CE4084" w14:textId="3FB8A394" w:rsidR="00060F0B" w:rsidRDefault="00DC7FFC" w:rsidP="006E27D3">
            <w:pPr>
              <w:pStyle w:val="TableBodyText"/>
            </w:pPr>
            <w:r>
              <w:t>7,200,813</w:t>
            </w:r>
          </w:p>
        </w:tc>
      </w:tr>
      <w:tr w:rsidR="00DC7FFC" w:rsidRPr="007456A5" w14:paraId="1E5A5595" w14:textId="77777777" w:rsidTr="006E27D3">
        <w:trPr>
          <w:trHeight w:val="20"/>
        </w:trPr>
        <w:tc>
          <w:tcPr>
            <w:tcW w:w="3018" w:type="pct"/>
            <w:vAlign w:val="top"/>
          </w:tcPr>
          <w:p w14:paraId="6B2EC4FD" w14:textId="17E36BD7" w:rsidR="00DC7FFC" w:rsidRDefault="00DC7FFC" w:rsidP="006E27D3">
            <w:pPr>
              <w:pStyle w:val="TableBodyText"/>
            </w:pPr>
            <w:r>
              <w:t>Provisions</w:t>
            </w:r>
          </w:p>
        </w:tc>
        <w:tc>
          <w:tcPr>
            <w:tcW w:w="514" w:type="pct"/>
            <w:vAlign w:val="top"/>
          </w:tcPr>
          <w:p w14:paraId="7C481B09" w14:textId="4F5F4271" w:rsidR="00DC7FFC" w:rsidRDefault="00C9560B" w:rsidP="006E27D3">
            <w:pPr>
              <w:pStyle w:val="TableBodyText"/>
            </w:pPr>
            <w:r>
              <w:fldChar w:fldCharType="begin"/>
            </w:r>
            <w:r>
              <w:instrText xml:space="preserve"> REF Note312 \h </w:instrText>
            </w:r>
            <w:r>
              <w:fldChar w:fldCharType="separate"/>
            </w:r>
            <w:r w:rsidR="00472151">
              <w:t xml:space="preserve">3.12 </w:t>
            </w:r>
            <w:r>
              <w:fldChar w:fldCharType="end"/>
            </w:r>
          </w:p>
        </w:tc>
        <w:tc>
          <w:tcPr>
            <w:tcW w:w="737" w:type="pct"/>
            <w:vAlign w:val="top"/>
          </w:tcPr>
          <w:p w14:paraId="754235A8" w14:textId="39E43BE7" w:rsidR="00DC7FFC" w:rsidRDefault="00DC7FFC" w:rsidP="006E27D3">
            <w:pPr>
              <w:pStyle w:val="TableBodyText"/>
            </w:pPr>
            <w:r>
              <w:t>595</w:t>
            </w:r>
          </w:p>
        </w:tc>
        <w:tc>
          <w:tcPr>
            <w:tcW w:w="731" w:type="pct"/>
            <w:vAlign w:val="top"/>
          </w:tcPr>
          <w:p w14:paraId="081164F2" w14:textId="287C7B83" w:rsidR="00DC7FFC" w:rsidRDefault="00DC7FFC" w:rsidP="006E27D3">
            <w:pPr>
              <w:pStyle w:val="TableBodyText"/>
            </w:pPr>
            <w:r>
              <w:t>1,223</w:t>
            </w:r>
          </w:p>
        </w:tc>
      </w:tr>
      <w:tr w:rsidR="00DC7FFC" w:rsidRPr="007456A5" w14:paraId="57EF4AC4" w14:textId="77777777" w:rsidTr="006E27D3">
        <w:trPr>
          <w:trHeight w:val="20"/>
        </w:trPr>
        <w:tc>
          <w:tcPr>
            <w:tcW w:w="3018" w:type="pct"/>
            <w:vAlign w:val="top"/>
          </w:tcPr>
          <w:p w14:paraId="2EAC129E" w14:textId="50E94578" w:rsidR="00DC7FFC" w:rsidRDefault="00DC7FFC" w:rsidP="006E27D3">
            <w:pPr>
              <w:pStyle w:val="TableBodyText"/>
            </w:pPr>
            <w:r>
              <w:t>Net deferred tax liabilities – non-current</w:t>
            </w:r>
          </w:p>
        </w:tc>
        <w:tc>
          <w:tcPr>
            <w:tcW w:w="514" w:type="pct"/>
            <w:vAlign w:val="top"/>
          </w:tcPr>
          <w:p w14:paraId="1A5305C7" w14:textId="5A91D29B" w:rsidR="00DC7FFC" w:rsidRDefault="00345013" w:rsidP="006E27D3">
            <w:pPr>
              <w:pStyle w:val="TableBodyText"/>
            </w:pPr>
            <w:r>
              <w:fldChar w:fldCharType="begin"/>
            </w:r>
            <w:r>
              <w:instrText xml:space="preserve"> REF Note382 \h </w:instrText>
            </w:r>
            <w:r>
              <w:fldChar w:fldCharType="separate"/>
            </w:r>
            <w:r w:rsidR="00472151">
              <w:t xml:space="preserve">3.8.2 </w:t>
            </w:r>
            <w:r>
              <w:fldChar w:fldCharType="end"/>
            </w:r>
          </w:p>
        </w:tc>
        <w:tc>
          <w:tcPr>
            <w:tcW w:w="737" w:type="pct"/>
            <w:vAlign w:val="top"/>
          </w:tcPr>
          <w:p w14:paraId="7E11569E" w14:textId="09289D4E" w:rsidR="00DC7FFC" w:rsidRDefault="00DC7FFC" w:rsidP="006E27D3">
            <w:pPr>
              <w:pStyle w:val="TableBodyText"/>
            </w:pPr>
            <w:r>
              <w:t>1,282,332</w:t>
            </w:r>
          </w:p>
        </w:tc>
        <w:tc>
          <w:tcPr>
            <w:tcW w:w="731" w:type="pct"/>
            <w:vAlign w:val="top"/>
          </w:tcPr>
          <w:p w14:paraId="7A34D57E" w14:textId="6A34C908" w:rsidR="00DC7FFC" w:rsidRDefault="00DC7FFC" w:rsidP="006E27D3">
            <w:pPr>
              <w:pStyle w:val="TableBodyText"/>
            </w:pPr>
            <w:r>
              <w:t>1,225,818</w:t>
            </w:r>
          </w:p>
        </w:tc>
      </w:tr>
      <w:tr w:rsidR="00DC7FFC" w:rsidRPr="007456A5" w14:paraId="59862895" w14:textId="77777777" w:rsidTr="006E27D3">
        <w:trPr>
          <w:trHeight w:val="20"/>
        </w:trPr>
        <w:tc>
          <w:tcPr>
            <w:tcW w:w="3018" w:type="pct"/>
            <w:tcBorders>
              <w:bottom w:val="single" w:sz="4" w:space="0" w:color="auto"/>
            </w:tcBorders>
            <w:vAlign w:val="top"/>
          </w:tcPr>
          <w:p w14:paraId="084EEF27" w14:textId="6D31362C" w:rsidR="00DC7FFC" w:rsidRDefault="00DC7FFC" w:rsidP="006E27D3">
            <w:pPr>
              <w:pStyle w:val="TableBodyText"/>
            </w:pPr>
            <w:r>
              <w:t>Employee benefits provision</w:t>
            </w:r>
          </w:p>
        </w:tc>
        <w:tc>
          <w:tcPr>
            <w:tcW w:w="514" w:type="pct"/>
            <w:tcBorders>
              <w:bottom w:val="single" w:sz="4" w:space="0" w:color="auto"/>
            </w:tcBorders>
            <w:vAlign w:val="top"/>
          </w:tcPr>
          <w:p w14:paraId="573962FD" w14:textId="1B379EBB" w:rsidR="00DC7FFC" w:rsidRDefault="00506A67" w:rsidP="006E27D3">
            <w:pPr>
              <w:pStyle w:val="TableBodyText"/>
            </w:pPr>
            <w:r>
              <w:fldChar w:fldCharType="begin"/>
            </w:r>
            <w:r>
              <w:instrText xml:space="preserve"> REF Note32 \h </w:instrText>
            </w:r>
            <w:r>
              <w:fldChar w:fldCharType="separate"/>
            </w:r>
            <w:r w:rsidR="00472151" w:rsidRPr="00470F0A">
              <w:t>3</w:t>
            </w:r>
            <w:r w:rsidR="00472151">
              <w:t xml:space="preserve">.2 </w:t>
            </w:r>
            <w:r>
              <w:fldChar w:fldCharType="end"/>
            </w:r>
          </w:p>
        </w:tc>
        <w:tc>
          <w:tcPr>
            <w:tcW w:w="737" w:type="pct"/>
            <w:tcBorders>
              <w:bottom w:val="single" w:sz="4" w:space="0" w:color="auto"/>
            </w:tcBorders>
            <w:vAlign w:val="top"/>
          </w:tcPr>
          <w:p w14:paraId="4F976A1D" w14:textId="1B2FF77D" w:rsidR="00DC7FFC" w:rsidRDefault="00DC7FFC" w:rsidP="006E27D3">
            <w:pPr>
              <w:pStyle w:val="TableBodyText"/>
            </w:pPr>
            <w:r>
              <w:t>14,957</w:t>
            </w:r>
          </w:p>
        </w:tc>
        <w:tc>
          <w:tcPr>
            <w:tcW w:w="731" w:type="pct"/>
            <w:tcBorders>
              <w:bottom w:val="single" w:sz="4" w:space="0" w:color="auto"/>
            </w:tcBorders>
            <w:vAlign w:val="top"/>
          </w:tcPr>
          <w:p w14:paraId="7ECEAB14" w14:textId="20AE32B7" w:rsidR="00DC7FFC" w:rsidRDefault="00DC7FFC" w:rsidP="006E27D3">
            <w:pPr>
              <w:pStyle w:val="TableBodyText"/>
            </w:pPr>
            <w:r>
              <w:t>15,062</w:t>
            </w:r>
          </w:p>
        </w:tc>
      </w:tr>
      <w:tr w:rsidR="00DC7FFC" w:rsidRPr="007456A5" w14:paraId="25F6C1A3" w14:textId="77777777" w:rsidTr="006E27D3">
        <w:trPr>
          <w:trHeight w:val="20"/>
        </w:trPr>
        <w:tc>
          <w:tcPr>
            <w:tcW w:w="3018" w:type="pct"/>
            <w:tcBorders>
              <w:top w:val="single" w:sz="4" w:space="0" w:color="auto"/>
              <w:bottom w:val="single" w:sz="4" w:space="0" w:color="auto"/>
            </w:tcBorders>
            <w:vAlign w:val="top"/>
          </w:tcPr>
          <w:p w14:paraId="081246C4" w14:textId="38794654" w:rsidR="00DC7FFC" w:rsidRPr="00DC7FFC" w:rsidRDefault="00DC7FFC" w:rsidP="006E27D3">
            <w:pPr>
              <w:pStyle w:val="TableBodyText"/>
              <w:rPr>
                <w:rStyle w:val="Bold"/>
              </w:rPr>
            </w:pPr>
            <w:r w:rsidRPr="00DC7FFC">
              <w:rPr>
                <w:rStyle w:val="Bold"/>
              </w:rPr>
              <w:t>Total non-current liabilities</w:t>
            </w:r>
          </w:p>
        </w:tc>
        <w:tc>
          <w:tcPr>
            <w:tcW w:w="514" w:type="pct"/>
            <w:tcBorders>
              <w:top w:val="single" w:sz="4" w:space="0" w:color="auto"/>
              <w:bottom w:val="single" w:sz="4" w:space="0" w:color="auto"/>
            </w:tcBorders>
            <w:vAlign w:val="top"/>
          </w:tcPr>
          <w:p w14:paraId="403181A7" w14:textId="5D231F40" w:rsidR="00DC7FFC" w:rsidRDefault="00DC7FFC" w:rsidP="006E27D3">
            <w:pPr>
              <w:pStyle w:val="TableBodyText"/>
            </w:pPr>
            <w:r>
              <w:t>N/A</w:t>
            </w:r>
          </w:p>
        </w:tc>
        <w:tc>
          <w:tcPr>
            <w:tcW w:w="737" w:type="pct"/>
            <w:tcBorders>
              <w:top w:val="single" w:sz="4" w:space="0" w:color="auto"/>
              <w:bottom w:val="single" w:sz="4" w:space="0" w:color="auto"/>
            </w:tcBorders>
            <w:vAlign w:val="top"/>
          </w:tcPr>
          <w:p w14:paraId="4647C334" w14:textId="059D25FC" w:rsidR="00DC7FFC" w:rsidRPr="00DC7FFC" w:rsidRDefault="00DC7FFC" w:rsidP="006E27D3">
            <w:pPr>
              <w:pStyle w:val="TableBodyText"/>
              <w:rPr>
                <w:rStyle w:val="Bold"/>
              </w:rPr>
            </w:pPr>
            <w:r w:rsidRPr="00DC7FFC">
              <w:rPr>
                <w:rStyle w:val="Bold"/>
              </w:rPr>
              <w:t>8,788,588</w:t>
            </w:r>
          </w:p>
        </w:tc>
        <w:tc>
          <w:tcPr>
            <w:tcW w:w="731" w:type="pct"/>
            <w:tcBorders>
              <w:top w:val="single" w:sz="4" w:space="0" w:color="auto"/>
              <w:bottom w:val="single" w:sz="4" w:space="0" w:color="auto"/>
            </w:tcBorders>
            <w:vAlign w:val="top"/>
          </w:tcPr>
          <w:p w14:paraId="4A186C12" w14:textId="6A402822" w:rsidR="00DC7FFC" w:rsidRPr="00DC7FFC" w:rsidRDefault="00DC7FFC" w:rsidP="006E27D3">
            <w:pPr>
              <w:pStyle w:val="TableBodyText"/>
              <w:rPr>
                <w:rStyle w:val="Bold"/>
              </w:rPr>
            </w:pPr>
            <w:r w:rsidRPr="00DC7FFC">
              <w:rPr>
                <w:rStyle w:val="Bold"/>
              </w:rPr>
              <w:t>8,443,383</w:t>
            </w:r>
          </w:p>
        </w:tc>
      </w:tr>
      <w:tr w:rsidR="00DC7FFC" w:rsidRPr="007456A5" w14:paraId="13682AF2" w14:textId="77777777" w:rsidTr="006E27D3">
        <w:trPr>
          <w:trHeight w:val="20"/>
        </w:trPr>
        <w:tc>
          <w:tcPr>
            <w:tcW w:w="3018" w:type="pct"/>
            <w:tcBorders>
              <w:top w:val="single" w:sz="4" w:space="0" w:color="auto"/>
              <w:bottom w:val="single" w:sz="4" w:space="0" w:color="auto"/>
            </w:tcBorders>
            <w:vAlign w:val="top"/>
          </w:tcPr>
          <w:p w14:paraId="2DBB786A" w14:textId="398F72E3" w:rsidR="00DC7FFC" w:rsidRPr="00DC7FFC" w:rsidRDefault="00DC7FFC" w:rsidP="006E27D3">
            <w:pPr>
              <w:pStyle w:val="TableBodyText"/>
              <w:rPr>
                <w:rStyle w:val="Bold"/>
              </w:rPr>
            </w:pPr>
            <w:r w:rsidRPr="00DC7FFC">
              <w:rPr>
                <w:rStyle w:val="Bold"/>
              </w:rPr>
              <w:t>Total liabilities</w:t>
            </w:r>
          </w:p>
        </w:tc>
        <w:tc>
          <w:tcPr>
            <w:tcW w:w="514" w:type="pct"/>
            <w:tcBorders>
              <w:top w:val="single" w:sz="4" w:space="0" w:color="auto"/>
              <w:bottom w:val="single" w:sz="4" w:space="0" w:color="auto"/>
            </w:tcBorders>
            <w:vAlign w:val="top"/>
          </w:tcPr>
          <w:p w14:paraId="0C074F08" w14:textId="17B6408E" w:rsidR="00DC7FFC" w:rsidRDefault="00DC7FFC" w:rsidP="006E27D3">
            <w:pPr>
              <w:pStyle w:val="TableBodyText"/>
            </w:pPr>
            <w:r>
              <w:t>N/A</w:t>
            </w:r>
          </w:p>
        </w:tc>
        <w:tc>
          <w:tcPr>
            <w:tcW w:w="737" w:type="pct"/>
            <w:tcBorders>
              <w:top w:val="single" w:sz="4" w:space="0" w:color="auto"/>
              <w:bottom w:val="single" w:sz="4" w:space="0" w:color="auto"/>
            </w:tcBorders>
            <w:vAlign w:val="top"/>
          </w:tcPr>
          <w:p w14:paraId="0F6F9530" w14:textId="0FE3712C" w:rsidR="00DC7FFC" w:rsidRPr="00DC7FFC" w:rsidRDefault="00DC7FFC" w:rsidP="006E27D3">
            <w:pPr>
              <w:pStyle w:val="TableBodyText"/>
              <w:rPr>
                <w:rStyle w:val="Bold"/>
              </w:rPr>
            </w:pPr>
            <w:r w:rsidRPr="00DC7FFC">
              <w:rPr>
                <w:rStyle w:val="Bold"/>
              </w:rPr>
              <w:t>9,675,438</w:t>
            </w:r>
          </w:p>
        </w:tc>
        <w:tc>
          <w:tcPr>
            <w:tcW w:w="731" w:type="pct"/>
            <w:tcBorders>
              <w:top w:val="single" w:sz="4" w:space="0" w:color="auto"/>
              <w:bottom w:val="single" w:sz="4" w:space="0" w:color="auto"/>
            </w:tcBorders>
            <w:vAlign w:val="top"/>
          </w:tcPr>
          <w:p w14:paraId="46BB1D84" w14:textId="3FB216E7" w:rsidR="00DC7FFC" w:rsidRPr="00DC7FFC" w:rsidRDefault="00DC7FFC" w:rsidP="006E27D3">
            <w:pPr>
              <w:pStyle w:val="TableBodyText"/>
              <w:rPr>
                <w:rStyle w:val="Bold"/>
              </w:rPr>
            </w:pPr>
            <w:r w:rsidRPr="00DC7FFC">
              <w:rPr>
                <w:rStyle w:val="Bold"/>
              </w:rPr>
              <w:t>9,516,855</w:t>
            </w:r>
          </w:p>
        </w:tc>
      </w:tr>
      <w:tr w:rsidR="00DC7FFC" w:rsidRPr="007456A5" w14:paraId="0BB955CF" w14:textId="77777777" w:rsidTr="006E27D3">
        <w:trPr>
          <w:trHeight w:val="20"/>
        </w:trPr>
        <w:tc>
          <w:tcPr>
            <w:tcW w:w="3018" w:type="pct"/>
            <w:tcBorders>
              <w:top w:val="single" w:sz="4" w:space="0" w:color="auto"/>
              <w:bottom w:val="single" w:sz="4" w:space="0" w:color="auto"/>
            </w:tcBorders>
            <w:vAlign w:val="top"/>
          </w:tcPr>
          <w:p w14:paraId="03252E30" w14:textId="41F83D19" w:rsidR="00DC7FFC" w:rsidRPr="00DC7FFC" w:rsidRDefault="00DC7FFC" w:rsidP="006E27D3">
            <w:pPr>
              <w:pStyle w:val="TableBodyText"/>
              <w:rPr>
                <w:rStyle w:val="Bold"/>
              </w:rPr>
            </w:pPr>
            <w:r w:rsidRPr="00DC7FFC">
              <w:rPr>
                <w:rStyle w:val="Bold"/>
              </w:rPr>
              <w:t>Net assets</w:t>
            </w:r>
          </w:p>
        </w:tc>
        <w:tc>
          <w:tcPr>
            <w:tcW w:w="514" w:type="pct"/>
            <w:tcBorders>
              <w:top w:val="single" w:sz="4" w:space="0" w:color="auto"/>
              <w:bottom w:val="single" w:sz="4" w:space="0" w:color="auto"/>
            </w:tcBorders>
            <w:vAlign w:val="top"/>
          </w:tcPr>
          <w:p w14:paraId="44699931" w14:textId="0EE79917" w:rsidR="00DC7FFC" w:rsidRDefault="00DC7FFC" w:rsidP="006E27D3">
            <w:pPr>
              <w:pStyle w:val="TableBodyText"/>
            </w:pPr>
            <w:r>
              <w:t>N/A</w:t>
            </w:r>
          </w:p>
        </w:tc>
        <w:tc>
          <w:tcPr>
            <w:tcW w:w="737" w:type="pct"/>
            <w:tcBorders>
              <w:top w:val="single" w:sz="4" w:space="0" w:color="auto"/>
              <w:bottom w:val="single" w:sz="4" w:space="0" w:color="auto"/>
            </w:tcBorders>
            <w:vAlign w:val="top"/>
          </w:tcPr>
          <w:p w14:paraId="2226B7A9" w14:textId="286E7E8D" w:rsidR="00DC7FFC" w:rsidRPr="00DC7FFC" w:rsidRDefault="00DC7FFC" w:rsidP="006E27D3">
            <w:pPr>
              <w:pStyle w:val="TableBodyText"/>
              <w:rPr>
                <w:rStyle w:val="Bold"/>
              </w:rPr>
            </w:pPr>
            <w:r w:rsidRPr="00DC7FFC">
              <w:rPr>
                <w:rStyle w:val="Bold"/>
              </w:rPr>
              <w:t>6,654,697</w:t>
            </w:r>
          </w:p>
        </w:tc>
        <w:tc>
          <w:tcPr>
            <w:tcW w:w="731" w:type="pct"/>
            <w:tcBorders>
              <w:top w:val="single" w:sz="4" w:space="0" w:color="auto"/>
              <w:bottom w:val="single" w:sz="4" w:space="0" w:color="auto"/>
            </w:tcBorders>
            <w:vAlign w:val="top"/>
          </w:tcPr>
          <w:p w14:paraId="4260841E" w14:textId="46A2A2C0" w:rsidR="00DC7FFC" w:rsidRPr="00DC7FFC" w:rsidRDefault="00DC7FFC" w:rsidP="006E27D3">
            <w:pPr>
              <w:pStyle w:val="TableBodyText"/>
              <w:rPr>
                <w:rStyle w:val="Bold"/>
              </w:rPr>
            </w:pPr>
            <w:r w:rsidRPr="00DC7FFC">
              <w:rPr>
                <w:rStyle w:val="Bold"/>
              </w:rPr>
              <w:t>5,87</w:t>
            </w:r>
            <w:r w:rsidR="00C550B5">
              <w:rPr>
                <w:rStyle w:val="Bold"/>
              </w:rPr>
              <w:t>3</w:t>
            </w:r>
            <w:r w:rsidRPr="00DC7FFC">
              <w:rPr>
                <w:rStyle w:val="Bold"/>
              </w:rPr>
              <w:t>,525</w:t>
            </w:r>
          </w:p>
        </w:tc>
      </w:tr>
      <w:tr w:rsidR="00DC7FFC" w:rsidRPr="007456A5" w14:paraId="2E4D0D56" w14:textId="77777777" w:rsidTr="006E27D3">
        <w:trPr>
          <w:trHeight w:val="20"/>
        </w:trPr>
        <w:tc>
          <w:tcPr>
            <w:tcW w:w="3018" w:type="pct"/>
            <w:tcBorders>
              <w:top w:val="single" w:sz="4" w:space="0" w:color="auto"/>
            </w:tcBorders>
            <w:vAlign w:val="top"/>
          </w:tcPr>
          <w:p w14:paraId="27CC0F55" w14:textId="17C7B825" w:rsidR="00DC7FFC" w:rsidRPr="00DC7FFC" w:rsidRDefault="00DC7FFC" w:rsidP="006E27D3">
            <w:pPr>
              <w:pStyle w:val="TableBodyText"/>
              <w:rPr>
                <w:rStyle w:val="Bold"/>
              </w:rPr>
            </w:pPr>
            <w:r w:rsidRPr="00DC7FFC">
              <w:rPr>
                <w:rStyle w:val="Bold"/>
              </w:rPr>
              <w:t>Equity</w:t>
            </w:r>
          </w:p>
        </w:tc>
        <w:tc>
          <w:tcPr>
            <w:tcW w:w="514" w:type="pct"/>
            <w:tcBorders>
              <w:top w:val="single" w:sz="4" w:space="0" w:color="auto"/>
            </w:tcBorders>
            <w:vAlign w:val="top"/>
          </w:tcPr>
          <w:p w14:paraId="5A74F27D" w14:textId="031A0A56" w:rsidR="00DC7FFC" w:rsidRDefault="00DC7FFC" w:rsidP="006E27D3">
            <w:pPr>
              <w:pStyle w:val="TableBodyText"/>
            </w:pPr>
            <w:r>
              <w:t>N/A</w:t>
            </w:r>
          </w:p>
        </w:tc>
        <w:tc>
          <w:tcPr>
            <w:tcW w:w="737" w:type="pct"/>
            <w:tcBorders>
              <w:top w:val="single" w:sz="4" w:space="0" w:color="auto"/>
            </w:tcBorders>
            <w:vAlign w:val="top"/>
          </w:tcPr>
          <w:p w14:paraId="5387919B" w14:textId="2A1156FC" w:rsidR="00DC7FFC" w:rsidRDefault="00DC7FFC" w:rsidP="006E27D3">
            <w:pPr>
              <w:pStyle w:val="TableBodyText"/>
            </w:pPr>
            <w:r>
              <w:t>N/A</w:t>
            </w:r>
          </w:p>
        </w:tc>
        <w:tc>
          <w:tcPr>
            <w:tcW w:w="731" w:type="pct"/>
            <w:tcBorders>
              <w:top w:val="single" w:sz="4" w:space="0" w:color="auto"/>
            </w:tcBorders>
            <w:vAlign w:val="top"/>
          </w:tcPr>
          <w:p w14:paraId="12E9CC3D" w14:textId="2C6C2011" w:rsidR="00DC7FFC" w:rsidRDefault="00DC7FFC" w:rsidP="006E27D3">
            <w:pPr>
              <w:pStyle w:val="TableBodyText"/>
            </w:pPr>
            <w:r>
              <w:t>N/A</w:t>
            </w:r>
          </w:p>
        </w:tc>
      </w:tr>
      <w:tr w:rsidR="00DC7FFC" w:rsidRPr="007456A5" w14:paraId="4183D5A6" w14:textId="77777777" w:rsidTr="006E27D3">
        <w:trPr>
          <w:trHeight w:val="20"/>
        </w:trPr>
        <w:tc>
          <w:tcPr>
            <w:tcW w:w="3018" w:type="pct"/>
            <w:vAlign w:val="top"/>
          </w:tcPr>
          <w:p w14:paraId="6BEA6D07" w14:textId="1CE671B2" w:rsidR="00DC7FFC" w:rsidRDefault="00DC7FFC" w:rsidP="006E27D3">
            <w:pPr>
              <w:pStyle w:val="TableBodyText"/>
            </w:pPr>
            <w:r>
              <w:t>Contributed equity</w:t>
            </w:r>
          </w:p>
        </w:tc>
        <w:tc>
          <w:tcPr>
            <w:tcW w:w="514" w:type="pct"/>
            <w:vAlign w:val="top"/>
          </w:tcPr>
          <w:p w14:paraId="1B658EE5" w14:textId="5652E70D" w:rsidR="00DC7FFC" w:rsidRDefault="00DC7FFC" w:rsidP="006E27D3">
            <w:pPr>
              <w:pStyle w:val="TableBodyText"/>
            </w:pPr>
            <w:r>
              <w:t>N/A</w:t>
            </w:r>
          </w:p>
        </w:tc>
        <w:tc>
          <w:tcPr>
            <w:tcW w:w="737" w:type="pct"/>
            <w:vAlign w:val="top"/>
          </w:tcPr>
          <w:p w14:paraId="2227B50B" w14:textId="149E494C" w:rsidR="00DC7FFC" w:rsidRDefault="00DC7FFC" w:rsidP="006E27D3">
            <w:pPr>
              <w:pStyle w:val="TableBodyText"/>
            </w:pPr>
            <w:r>
              <w:t>507,914</w:t>
            </w:r>
          </w:p>
        </w:tc>
        <w:tc>
          <w:tcPr>
            <w:tcW w:w="731" w:type="pct"/>
            <w:vAlign w:val="top"/>
          </w:tcPr>
          <w:p w14:paraId="68593645" w14:textId="3DA42AF1" w:rsidR="00DC7FFC" w:rsidRDefault="00DC7FFC" w:rsidP="006E27D3">
            <w:pPr>
              <w:pStyle w:val="TableBodyText"/>
            </w:pPr>
            <w:r>
              <w:t>507,914</w:t>
            </w:r>
          </w:p>
        </w:tc>
      </w:tr>
      <w:tr w:rsidR="00DC7FFC" w:rsidRPr="007456A5" w14:paraId="37E2D382" w14:textId="77777777" w:rsidTr="006E27D3">
        <w:trPr>
          <w:trHeight w:val="20"/>
        </w:trPr>
        <w:tc>
          <w:tcPr>
            <w:tcW w:w="3018" w:type="pct"/>
            <w:vAlign w:val="top"/>
          </w:tcPr>
          <w:p w14:paraId="4BADC2D0" w14:textId="354999CC" w:rsidR="00DC7FFC" w:rsidRDefault="00DC7FFC" w:rsidP="006E27D3">
            <w:pPr>
              <w:pStyle w:val="TableBodyText"/>
            </w:pPr>
            <w:r>
              <w:t>Reserves</w:t>
            </w:r>
          </w:p>
        </w:tc>
        <w:tc>
          <w:tcPr>
            <w:tcW w:w="514" w:type="pct"/>
            <w:vAlign w:val="top"/>
          </w:tcPr>
          <w:p w14:paraId="64179235" w14:textId="6F467F87" w:rsidR="00DC7FFC" w:rsidRDefault="00DC7FFC" w:rsidP="006E27D3">
            <w:pPr>
              <w:pStyle w:val="TableBodyText"/>
            </w:pPr>
            <w:r>
              <w:t>N/A</w:t>
            </w:r>
          </w:p>
        </w:tc>
        <w:tc>
          <w:tcPr>
            <w:tcW w:w="737" w:type="pct"/>
            <w:vAlign w:val="top"/>
          </w:tcPr>
          <w:p w14:paraId="7750E3A0" w14:textId="742D0411" w:rsidR="00DC7FFC" w:rsidRDefault="00DC7FFC" w:rsidP="006E27D3">
            <w:pPr>
              <w:pStyle w:val="TableBodyText"/>
            </w:pPr>
            <w:r>
              <w:t>3,571,871</w:t>
            </w:r>
          </w:p>
        </w:tc>
        <w:tc>
          <w:tcPr>
            <w:tcW w:w="731" w:type="pct"/>
            <w:vAlign w:val="top"/>
          </w:tcPr>
          <w:p w14:paraId="7539724C" w14:textId="6FF2FF3F" w:rsidR="00DC7FFC" w:rsidRDefault="00DC7FFC" w:rsidP="006E27D3">
            <w:pPr>
              <w:pStyle w:val="TableBodyText"/>
            </w:pPr>
            <w:r>
              <w:t>2,931,600</w:t>
            </w:r>
          </w:p>
        </w:tc>
      </w:tr>
      <w:tr w:rsidR="00DC7FFC" w:rsidRPr="007456A5" w14:paraId="5EC8C3AE" w14:textId="77777777" w:rsidTr="006E27D3">
        <w:trPr>
          <w:trHeight w:val="20"/>
        </w:trPr>
        <w:tc>
          <w:tcPr>
            <w:tcW w:w="3018" w:type="pct"/>
            <w:tcBorders>
              <w:bottom w:val="single" w:sz="4" w:space="0" w:color="auto"/>
            </w:tcBorders>
            <w:vAlign w:val="top"/>
          </w:tcPr>
          <w:p w14:paraId="23016F8F" w14:textId="033C49CC" w:rsidR="00DC7FFC" w:rsidRDefault="00DC7FFC" w:rsidP="006E27D3">
            <w:pPr>
              <w:pStyle w:val="TableBodyText"/>
            </w:pPr>
            <w:r>
              <w:t>Retained profits</w:t>
            </w:r>
          </w:p>
        </w:tc>
        <w:tc>
          <w:tcPr>
            <w:tcW w:w="514" w:type="pct"/>
            <w:tcBorders>
              <w:bottom w:val="single" w:sz="4" w:space="0" w:color="auto"/>
            </w:tcBorders>
            <w:vAlign w:val="top"/>
          </w:tcPr>
          <w:p w14:paraId="09217E05" w14:textId="6B7C627B" w:rsidR="00DC7FFC" w:rsidRDefault="00DC7FFC" w:rsidP="006E27D3">
            <w:pPr>
              <w:pStyle w:val="TableBodyText"/>
            </w:pPr>
            <w:r>
              <w:t>N/A</w:t>
            </w:r>
          </w:p>
        </w:tc>
        <w:tc>
          <w:tcPr>
            <w:tcW w:w="737" w:type="pct"/>
            <w:tcBorders>
              <w:bottom w:val="single" w:sz="4" w:space="0" w:color="auto"/>
            </w:tcBorders>
            <w:vAlign w:val="top"/>
          </w:tcPr>
          <w:p w14:paraId="64EC3AB7" w14:textId="7013AAF9" w:rsidR="00DC7FFC" w:rsidRPr="00DC7FFC" w:rsidRDefault="00DC7FFC" w:rsidP="006E27D3">
            <w:pPr>
              <w:pStyle w:val="TableBodyText"/>
            </w:pPr>
            <w:r w:rsidRPr="00DC7FFC">
              <w:t>2,574,912</w:t>
            </w:r>
          </w:p>
        </w:tc>
        <w:tc>
          <w:tcPr>
            <w:tcW w:w="731" w:type="pct"/>
            <w:tcBorders>
              <w:bottom w:val="single" w:sz="4" w:space="0" w:color="auto"/>
            </w:tcBorders>
            <w:vAlign w:val="top"/>
          </w:tcPr>
          <w:p w14:paraId="55956176" w14:textId="7D567923" w:rsidR="00DC7FFC" w:rsidRPr="00DC7FFC" w:rsidRDefault="00DC7FFC" w:rsidP="006E27D3">
            <w:pPr>
              <w:pStyle w:val="TableBodyText"/>
            </w:pPr>
            <w:r w:rsidRPr="00DC7FFC">
              <w:t>2,434,011</w:t>
            </w:r>
          </w:p>
        </w:tc>
      </w:tr>
      <w:tr w:rsidR="00DC7FFC" w:rsidRPr="007456A5" w14:paraId="15594CE4" w14:textId="77777777" w:rsidTr="006E27D3">
        <w:trPr>
          <w:trHeight w:val="20"/>
        </w:trPr>
        <w:tc>
          <w:tcPr>
            <w:tcW w:w="3018" w:type="pct"/>
            <w:tcBorders>
              <w:top w:val="single" w:sz="4" w:space="0" w:color="auto"/>
              <w:bottom w:val="single" w:sz="4" w:space="0" w:color="auto"/>
            </w:tcBorders>
            <w:vAlign w:val="top"/>
          </w:tcPr>
          <w:p w14:paraId="2237BC13" w14:textId="19ECBCDD" w:rsidR="00DC7FFC" w:rsidRPr="00DC7FFC" w:rsidRDefault="00DC7FFC" w:rsidP="006E27D3">
            <w:pPr>
              <w:pStyle w:val="TableBodyText"/>
              <w:rPr>
                <w:rStyle w:val="Bold"/>
              </w:rPr>
            </w:pPr>
            <w:r w:rsidRPr="00DC7FFC">
              <w:rPr>
                <w:rStyle w:val="Bold"/>
              </w:rPr>
              <w:t>Total equity</w:t>
            </w:r>
          </w:p>
        </w:tc>
        <w:tc>
          <w:tcPr>
            <w:tcW w:w="514" w:type="pct"/>
            <w:tcBorders>
              <w:top w:val="single" w:sz="4" w:space="0" w:color="auto"/>
              <w:bottom w:val="single" w:sz="4" w:space="0" w:color="auto"/>
            </w:tcBorders>
            <w:vAlign w:val="top"/>
          </w:tcPr>
          <w:p w14:paraId="4F36D827" w14:textId="26339D3B" w:rsidR="00DC7FFC" w:rsidRDefault="00DC7FFC" w:rsidP="006E27D3">
            <w:pPr>
              <w:pStyle w:val="TableBodyText"/>
            </w:pPr>
            <w:r>
              <w:t>N/A</w:t>
            </w:r>
          </w:p>
        </w:tc>
        <w:tc>
          <w:tcPr>
            <w:tcW w:w="737" w:type="pct"/>
            <w:tcBorders>
              <w:top w:val="single" w:sz="4" w:space="0" w:color="auto"/>
              <w:bottom w:val="single" w:sz="4" w:space="0" w:color="auto"/>
            </w:tcBorders>
            <w:vAlign w:val="top"/>
          </w:tcPr>
          <w:p w14:paraId="060F334D" w14:textId="2BECEA07" w:rsidR="00DC7FFC" w:rsidRPr="00DC7FFC" w:rsidRDefault="00DC7FFC" w:rsidP="006E27D3">
            <w:pPr>
              <w:pStyle w:val="TableBodyText"/>
              <w:rPr>
                <w:rStyle w:val="Bold"/>
              </w:rPr>
            </w:pPr>
            <w:r w:rsidRPr="00DC7FFC">
              <w:rPr>
                <w:rStyle w:val="Bold"/>
              </w:rPr>
              <w:t>6,654,697</w:t>
            </w:r>
          </w:p>
        </w:tc>
        <w:tc>
          <w:tcPr>
            <w:tcW w:w="731" w:type="pct"/>
            <w:tcBorders>
              <w:top w:val="single" w:sz="4" w:space="0" w:color="auto"/>
              <w:bottom w:val="single" w:sz="4" w:space="0" w:color="auto"/>
            </w:tcBorders>
            <w:vAlign w:val="top"/>
          </w:tcPr>
          <w:p w14:paraId="102FD05E" w14:textId="3597F79F" w:rsidR="00DC7FFC" w:rsidRPr="00DC7FFC" w:rsidRDefault="00DC7FFC" w:rsidP="006E27D3">
            <w:pPr>
              <w:pStyle w:val="TableBodyText"/>
              <w:rPr>
                <w:rStyle w:val="Bold"/>
              </w:rPr>
            </w:pPr>
            <w:r w:rsidRPr="00DC7FFC">
              <w:rPr>
                <w:rStyle w:val="Bold"/>
              </w:rPr>
              <w:t>5,873,525</w:t>
            </w:r>
          </w:p>
        </w:tc>
      </w:tr>
    </w:tbl>
    <w:p w14:paraId="42B23B0B" w14:textId="6C9531C1" w:rsidR="00226E71" w:rsidRDefault="00EF49C6" w:rsidP="00226E71">
      <w:pPr>
        <w:pStyle w:val="BodyText"/>
      </w:pPr>
      <w:r w:rsidRPr="00EF49C6">
        <w:t xml:space="preserve">The above Statement of Financial Position should be read in conjunction with the accompanying notes on pages </w:t>
      </w:r>
      <w:r w:rsidR="00650CC7">
        <w:fldChar w:fldCharType="begin"/>
      </w:r>
      <w:r w:rsidR="00650CC7">
        <w:instrText xml:space="preserve"> PAGEREF AboutThisReport \h </w:instrText>
      </w:r>
      <w:r w:rsidR="00650CC7">
        <w:fldChar w:fldCharType="separate"/>
      </w:r>
      <w:r w:rsidR="00472151">
        <w:rPr>
          <w:noProof/>
        </w:rPr>
        <w:t>93</w:t>
      </w:r>
      <w:r w:rsidR="00650CC7">
        <w:fldChar w:fldCharType="end"/>
      </w:r>
      <w:r w:rsidR="00650CC7">
        <w:t xml:space="preserve"> through to </w:t>
      </w:r>
      <w:r w:rsidR="00650CC7">
        <w:fldChar w:fldCharType="begin"/>
      </w:r>
      <w:r w:rsidR="00650CC7">
        <w:instrText xml:space="preserve"> PAGEREF AboutThisReportend \h </w:instrText>
      </w:r>
      <w:r w:rsidR="00650CC7">
        <w:fldChar w:fldCharType="separate"/>
      </w:r>
      <w:r w:rsidR="00472151">
        <w:rPr>
          <w:noProof/>
        </w:rPr>
        <w:t>93</w:t>
      </w:r>
      <w:r w:rsidR="00650CC7">
        <w:fldChar w:fldCharType="end"/>
      </w:r>
      <w:r w:rsidRPr="00EF49C6">
        <w:t>.</w:t>
      </w:r>
    </w:p>
    <w:p w14:paraId="5A7ADAEA" w14:textId="77777777" w:rsidR="00EF49C6" w:rsidRDefault="00EF49C6" w:rsidP="006675B5">
      <w:pPr>
        <w:pStyle w:val="Heading2"/>
        <w:keepLines/>
      </w:pPr>
      <w:bookmarkStart w:id="782" w:name="_Toc89723103"/>
      <w:bookmarkStart w:id="783" w:name="_Toc89723239"/>
      <w:bookmarkStart w:id="784" w:name="_Toc89723299"/>
      <w:bookmarkStart w:id="785" w:name="_Ref89806242"/>
      <w:bookmarkStart w:id="786" w:name="_Ref89807395"/>
      <w:bookmarkStart w:id="787" w:name="_Ref89807401"/>
      <w:bookmarkStart w:id="788" w:name="_Ref89812055"/>
      <w:bookmarkStart w:id="789" w:name="_Toc89860565"/>
      <w:bookmarkStart w:id="790" w:name="_Toc89860709"/>
      <w:bookmarkStart w:id="791" w:name="_Toc90326048"/>
      <w:bookmarkStart w:id="792" w:name="_Toc93659454"/>
      <w:r>
        <w:lastRenderedPageBreak/>
        <w:t xml:space="preserve">Statement of </w:t>
      </w:r>
      <w:r w:rsidRPr="00EF49C6">
        <w:t>Changes</w:t>
      </w:r>
      <w:r>
        <w:t xml:space="preserve"> in Equity</w:t>
      </w:r>
      <w:bookmarkEnd w:id="782"/>
      <w:bookmarkEnd w:id="783"/>
      <w:bookmarkEnd w:id="784"/>
      <w:bookmarkEnd w:id="785"/>
      <w:bookmarkEnd w:id="786"/>
      <w:bookmarkEnd w:id="787"/>
      <w:bookmarkEnd w:id="788"/>
      <w:bookmarkEnd w:id="789"/>
      <w:bookmarkEnd w:id="790"/>
      <w:bookmarkEnd w:id="791"/>
      <w:bookmarkEnd w:id="792"/>
    </w:p>
    <w:p w14:paraId="0C9CB282" w14:textId="65FE4626" w:rsidR="007D1379" w:rsidRDefault="00EF49C6" w:rsidP="006675B5">
      <w:pPr>
        <w:pStyle w:val="BodyText"/>
        <w:keepNext/>
        <w:keepLines/>
        <w:rPr>
          <w:rStyle w:val="Bold"/>
        </w:rPr>
      </w:pPr>
      <w:r w:rsidRPr="00EF49C6">
        <w:rPr>
          <w:rStyle w:val="Bold"/>
        </w:rPr>
        <w:t>For the year ended 30 June 2021</w:t>
      </w:r>
    </w:p>
    <w:tbl>
      <w:tblPr>
        <w:tblStyle w:val="Style1"/>
        <w:tblW w:w="5000" w:type="pct"/>
        <w:tblLayout w:type="fixed"/>
        <w:tblLook w:val="0620" w:firstRow="1" w:lastRow="0" w:firstColumn="0" w:lastColumn="0" w:noHBand="1" w:noVBand="1"/>
      </w:tblPr>
      <w:tblGrid>
        <w:gridCol w:w="3969"/>
        <w:gridCol w:w="1418"/>
        <w:gridCol w:w="1416"/>
        <w:gridCol w:w="1420"/>
        <w:gridCol w:w="1408"/>
      </w:tblGrid>
      <w:tr w:rsidR="00EF49C6" w:rsidRPr="00C550B5" w14:paraId="318FD0AB" w14:textId="77777777" w:rsidTr="0011520C">
        <w:trPr>
          <w:cnfStyle w:val="100000000000" w:firstRow="1" w:lastRow="0" w:firstColumn="0" w:lastColumn="0" w:oddVBand="0" w:evenVBand="0" w:oddHBand="0" w:evenHBand="0" w:firstRowFirstColumn="0" w:firstRowLastColumn="0" w:lastRowFirstColumn="0" w:lastRowLastColumn="0"/>
          <w:trHeight w:val="20"/>
        </w:trPr>
        <w:tc>
          <w:tcPr>
            <w:tcW w:w="2061" w:type="pct"/>
            <w:tcBorders>
              <w:top w:val="single" w:sz="4" w:space="0" w:color="auto"/>
            </w:tcBorders>
            <w:vAlign w:val="bottom"/>
          </w:tcPr>
          <w:p w14:paraId="469E167F" w14:textId="77777777" w:rsidR="00EF49C6" w:rsidRPr="00C550B5" w:rsidRDefault="00EF49C6" w:rsidP="006675B5">
            <w:pPr>
              <w:keepNext/>
              <w:keepLines/>
            </w:pPr>
            <w:bookmarkStart w:id="793" w:name="ColumnTitle_33"/>
            <w:r w:rsidRPr="00C550B5">
              <w:t>Item</w:t>
            </w:r>
          </w:p>
        </w:tc>
        <w:tc>
          <w:tcPr>
            <w:tcW w:w="736" w:type="pct"/>
            <w:tcBorders>
              <w:top w:val="single" w:sz="4" w:space="0" w:color="auto"/>
            </w:tcBorders>
            <w:vAlign w:val="bottom"/>
          </w:tcPr>
          <w:p w14:paraId="6F4FCBB2" w14:textId="0678E836" w:rsidR="00EF49C6" w:rsidRPr="00C550B5" w:rsidRDefault="00EF49C6" w:rsidP="006675B5">
            <w:pPr>
              <w:keepNext/>
              <w:keepLines/>
            </w:pPr>
            <w:r w:rsidRPr="00C550B5">
              <w:t xml:space="preserve">Contributed </w:t>
            </w:r>
            <w:r w:rsidR="00C550B5">
              <w:t xml:space="preserve"> e</w:t>
            </w:r>
            <w:r w:rsidRPr="00C550B5">
              <w:t>quity</w:t>
            </w:r>
          </w:p>
          <w:p w14:paraId="40E90D15" w14:textId="32375FDD" w:rsidR="006F48AF" w:rsidRPr="00C550B5" w:rsidRDefault="006F48AF" w:rsidP="006675B5">
            <w:pPr>
              <w:keepNext/>
              <w:keepLines/>
            </w:pPr>
            <w:r w:rsidRPr="00C550B5">
              <w:t>($ thousands)</w:t>
            </w:r>
          </w:p>
        </w:tc>
        <w:tc>
          <w:tcPr>
            <w:tcW w:w="735" w:type="pct"/>
            <w:tcBorders>
              <w:top w:val="single" w:sz="4" w:space="0" w:color="auto"/>
            </w:tcBorders>
            <w:vAlign w:val="bottom"/>
          </w:tcPr>
          <w:p w14:paraId="3431675F" w14:textId="5F256F9A" w:rsidR="00EF49C6" w:rsidRPr="00C550B5" w:rsidRDefault="00EF49C6" w:rsidP="006675B5">
            <w:pPr>
              <w:keepNext/>
              <w:keepLines/>
            </w:pPr>
            <w:r w:rsidRPr="00C550B5">
              <w:t>Asset</w:t>
            </w:r>
            <w:r w:rsidR="00C550B5">
              <w:t xml:space="preserve"> </w:t>
            </w:r>
            <w:r w:rsidR="006F48AF" w:rsidRPr="00C550B5">
              <w:t>r</w:t>
            </w:r>
            <w:r w:rsidRPr="00C550B5">
              <w:t>evaluatio</w:t>
            </w:r>
            <w:r w:rsidR="006F48AF" w:rsidRPr="00C550B5">
              <w:t>n</w:t>
            </w:r>
            <w:r w:rsidR="00C550B5">
              <w:t xml:space="preserve"> </w:t>
            </w:r>
            <w:r w:rsidRPr="00C550B5">
              <w:t>reserv</w:t>
            </w:r>
            <w:r w:rsidR="006F48AF" w:rsidRPr="00C550B5">
              <w:t>e</w:t>
            </w:r>
          </w:p>
          <w:p w14:paraId="39D1D231" w14:textId="7955649B" w:rsidR="00EF49C6" w:rsidRPr="00C550B5" w:rsidRDefault="00EF49C6" w:rsidP="006675B5">
            <w:pPr>
              <w:keepNext/>
              <w:keepLines/>
            </w:pPr>
            <w:r w:rsidRPr="00C550B5">
              <w:t>($ thousand</w:t>
            </w:r>
            <w:r w:rsidR="006F48AF" w:rsidRPr="00C550B5">
              <w:t>s</w:t>
            </w:r>
            <w:r w:rsidRPr="00C550B5">
              <w:t>)</w:t>
            </w:r>
          </w:p>
        </w:tc>
        <w:tc>
          <w:tcPr>
            <w:tcW w:w="737" w:type="pct"/>
            <w:tcBorders>
              <w:top w:val="single" w:sz="4" w:space="0" w:color="auto"/>
            </w:tcBorders>
            <w:vAlign w:val="bottom"/>
          </w:tcPr>
          <w:p w14:paraId="4179634A" w14:textId="3596BBF9" w:rsidR="00EF49C6" w:rsidRPr="00C550B5" w:rsidRDefault="006F48AF" w:rsidP="006675B5">
            <w:pPr>
              <w:keepNext/>
              <w:keepLines/>
            </w:pPr>
            <w:r w:rsidRPr="00C550B5">
              <w:t>Retained</w:t>
            </w:r>
            <w:r w:rsidR="00C550B5">
              <w:t xml:space="preserve"> p</w:t>
            </w:r>
            <w:r w:rsidRPr="00C550B5">
              <w:t>rofits</w:t>
            </w:r>
          </w:p>
          <w:p w14:paraId="68E2DE47" w14:textId="77777777" w:rsidR="00EF49C6" w:rsidRPr="00C550B5" w:rsidRDefault="00EF49C6" w:rsidP="006675B5">
            <w:pPr>
              <w:keepNext/>
              <w:keepLines/>
            </w:pPr>
            <w:r w:rsidRPr="00C550B5">
              <w:t>($ thousands)</w:t>
            </w:r>
          </w:p>
        </w:tc>
        <w:tc>
          <w:tcPr>
            <w:tcW w:w="731" w:type="pct"/>
            <w:tcBorders>
              <w:top w:val="single" w:sz="4" w:space="0" w:color="auto"/>
            </w:tcBorders>
            <w:vAlign w:val="bottom"/>
          </w:tcPr>
          <w:p w14:paraId="6276462C" w14:textId="036074EC" w:rsidR="00EF49C6" w:rsidRPr="00C550B5" w:rsidRDefault="006F48AF" w:rsidP="006675B5">
            <w:pPr>
              <w:keepNext/>
              <w:keepLines/>
            </w:pPr>
            <w:r w:rsidRPr="00C550B5">
              <w:t>Total</w:t>
            </w:r>
          </w:p>
          <w:p w14:paraId="6E6EF3E7" w14:textId="77777777" w:rsidR="00EF49C6" w:rsidRPr="00C550B5" w:rsidRDefault="00EF49C6" w:rsidP="006675B5">
            <w:pPr>
              <w:keepNext/>
              <w:keepLines/>
            </w:pPr>
            <w:r w:rsidRPr="00C550B5">
              <w:t>($ thousands)</w:t>
            </w:r>
          </w:p>
        </w:tc>
      </w:tr>
      <w:bookmarkEnd w:id="793"/>
      <w:tr w:rsidR="00EF49C6" w:rsidRPr="007D1379" w14:paraId="3AABDFA3" w14:textId="77777777" w:rsidTr="00C550B5">
        <w:trPr>
          <w:trHeight w:val="20"/>
        </w:trPr>
        <w:tc>
          <w:tcPr>
            <w:tcW w:w="2061" w:type="pct"/>
            <w:tcBorders>
              <w:top w:val="single" w:sz="4" w:space="0" w:color="auto"/>
            </w:tcBorders>
            <w:vAlign w:val="top"/>
          </w:tcPr>
          <w:p w14:paraId="7544EB63" w14:textId="411CEF7C" w:rsidR="00EF49C6" w:rsidRPr="007D1379" w:rsidRDefault="0052009F" w:rsidP="006675B5">
            <w:pPr>
              <w:pStyle w:val="TableBodyText"/>
              <w:keepNext/>
              <w:keepLines/>
              <w:rPr>
                <w:rStyle w:val="Bold"/>
              </w:rPr>
            </w:pPr>
            <w:r w:rsidRPr="007D1379">
              <w:rPr>
                <w:rStyle w:val="Bold"/>
              </w:rPr>
              <w:t>Balance at 1 July 2020</w:t>
            </w:r>
          </w:p>
        </w:tc>
        <w:tc>
          <w:tcPr>
            <w:tcW w:w="736" w:type="pct"/>
            <w:tcBorders>
              <w:top w:val="single" w:sz="4" w:space="0" w:color="auto"/>
            </w:tcBorders>
            <w:vAlign w:val="top"/>
          </w:tcPr>
          <w:p w14:paraId="39E92221" w14:textId="43972A6C" w:rsidR="00EF49C6" w:rsidRPr="007D1379" w:rsidRDefault="0052009F" w:rsidP="006675B5">
            <w:pPr>
              <w:pStyle w:val="TableBodyText"/>
              <w:keepNext/>
              <w:keepLines/>
              <w:rPr>
                <w:rStyle w:val="Bold"/>
              </w:rPr>
            </w:pPr>
            <w:r w:rsidRPr="007D1379">
              <w:rPr>
                <w:rStyle w:val="Bold"/>
              </w:rPr>
              <w:t>507,914</w:t>
            </w:r>
          </w:p>
        </w:tc>
        <w:tc>
          <w:tcPr>
            <w:tcW w:w="735" w:type="pct"/>
            <w:tcBorders>
              <w:top w:val="single" w:sz="4" w:space="0" w:color="auto"/>
            </w:tcBorders>
            <w:vAlign w:val="top"/>
          </w:tcPr>
          <w:p w14:paraId="700728CD" w14:textId="6A6B45E9" w:rsidR="00EF49C6" w:rsidRPr="007D1379" w:rsidRDefault="0052009F" w:rsidP="006675B5">
            <w:pPr>
              <w:pStyle w:val="TableBodyText"/>
              <w:keepNext/>
              <w:keepLines/>
              <w:rPr>
                <w:rStyle w:val="Bold"/>
              </w:rPr>
            </w:pPr>
            <w:r w:rsidRPr="007D1379">
              <w:rPr>
                <w:rStyle w:val="Bold"/>
              </w:rPr>
              <w:t>2,931,600</w:t>
            </w:r>
          </w:p>
        </w:tc>
        <w:tc>
          <w:tcPr>
            <w:tcW w:w="737" w:type="pct"/>
            <w:tcBorders>
              <w:top w:val="single" w:sz="4" w:space="0" w:color="auto"/>
            </w:tcBorders>
            <w:vAlign w:val="top"/>
          </w:tcPr>
          <w:p w14:paraId="5DB539C8" w14:textId="4985EC70" w:rsidR="00EF49C6" w:rsidRPr="007D1379" w:rsidRDefault="0052009F" w:rsidP="006675B5">
            <w:pPr>
              <w:pStyle w:val="TableBodyText"/>
              <w:keepNext/>
              <w:keepLines/>
              <w:rPr>
                <w:rStyle w:val="Bold"/>
              </w:rPr>
            </w:pPr>
            <w:r w:rsidRPr="007D1379">
              <w:rPr>
                <w:rStyle w:val="Bold"/>
              </w:rPr>
              <w:t>2,434,011</w:t>
            </w:r>
          </w:p>
        </w:tc>
        <w:tc>
          <w:tcPr>
            <w:tcW w:w="731" w:type="pct"/>
            <w:tcBorders>
              <w:top w:val="single" w:sz="4" w:space="0" w:color="auto"/>
            </w:tcBorders>
            <w:vAlign w:val="top"/>
          </w:tcPr>
          <w:p w14:paraId="0C768A7F" w14:textId="4EF98C66" w:rsidR="00EF49C6" w:rsidRPr="007D1379" w:rsidRDefault="0052009F" w:rsidP="006675B5">
            <w:pPr>
              <w:pStyle w:val="TableBodyText"/>
              <w:keepNext/>
              <w:keepLines/>
              <w:rPr>
                <w:rStyle w:val="Bold"/>
              </w:rPr>
            </w:pPr>
            <w:r w:rsidRPr="007D1379">
              <w:rPr>
                <w:rStyle w:val="Bold"/>
              </w:rPr>
              <w:t>5,873,525</w:t>
            </w:r>
          </w:p>
        </w:tc>
      </w:tr>
      <w:tr w:rsidR="00EF49C6" w:rsidRPr="005A7F6A" w14:paraId="05B679D4" w14:textId="77777777" w:rsidTr="00C550B5">
        <w:trPr>
          <w:trHeight w:val="20"/>
        </w:trPr>
        <w:tc>
          <w:tcPr>
            <w:tcW w:w="2061" w:type="pct"/>
            <w:vAlign w:val="top"/>
          </w:tcPr>
          <w:p w14:paraId="6EAF3E36" w14:textId="5FEE4636" w:rsidR="00EF49C6" w:rsidRPr="007D1379" w:rsidRDefault="0052009F" w:rsidP="006675B5">
            <w:pPr>
              <w:pStyle w:val="TableBodyText"/>
              <w:keepNext/>
              <w:keepLines/>
              <w:rPr>
                <w:rStyle w:val="Bold"/>
              </w:rPr>
            </w:pPr>
            <w:r w:rsidRPr="007D1379">
              <w:rPr>
                <w:rStyle w:val="Bold"/>
              </w:rPr>
              <w:t>Comprehensive income for the period after tax</w:t>
            </w:r>
          </w:p>
        </w:tc>
        <w:tc>
          <w:tcPr>
            <w:tcW w:w="736" w:type="pct"/>
            <w:vAlign w:val="top"/>
          </w:tcPr>
          <w:p w14:paraId="32223B90" w14:textId="7358A1C9" w:rsidR="00EF49C6" w:rsidRDefault="0052009F" w:rsidP="006675B5">
            <w:pPr>
              <w:pStyle w:val="TableBodyText"/>
              <w:keepNext/>
              <w:keepLines/>
            </w:pPr>
            <w:r>
              <w:t>N/A</w:t>
            </w:r>
          </w:p>
        </w:tc>
        <w:tc>
          <w:tcPr>
            <w:tcW w:w="735" w:type="pct"/>
            <w:vAlign w:val="top"/>
          </w:tcPr>
          <w:p w14:paraId="53F2A131" w14:textId="3BB1E16F" w:rsidR="00EF49C6" w:rsidRPr="005A7F6A" w:rsidRDefault="00EF49C6" w:rsidP="006675B5">
            <w:pPr>
              <w:pStyle w:val="TableBodyText"/>
              <w:keepNext/>
              <w:keepLines/>
            </w:pPr>
            <w:r>
              <w:t>N/A</w:t>
            </w:r>
          </w:p>
        </w:tc>
        <w:tc>
          <w:tcPr>
            <w:tcW w:w="737" w:type="pct"/>
            <w:vAlign w:val="top"/>
          </w:tcPr>
          <w:p w14:paraId="1E1EAD25" w14:textId="77777777" w:rsidR="00EF49C6" w:rsidRPr="005A7F6A" w:rsidRDefault="00EF49C6" w:rsidP="006675B5">
            <w:pPr>
              <w:pStyle w:val="TableBodyText"/>
              <w:keepNext/>
              <w:keepLines/>
            </w:pPr>
            <w:r>
              <w:t>N/A</w:t>
            </w:r>
          </w:p>
        </w:tc>
        <w:tc>
          <w:tcPr>
            <w:tcW w:w="731" w:type="pct"/>
            <w:vAlign w:val="top"/>
          </w:tcPr>
          <w:p w14:paraId="19E51DD7" w14:textId="77777777" w:rsidR="00EF49C6" w:rsidRPr="005A7F6A" w:rsidRDefault="00EF49C6" w:rsidP="006675B5">
            <w:pPr>
              <w:pStyle w:val="TableBodyText"/>
              <w:keepNext/>
              <w:keepLines/>
            </w:pPr>
            <w:r>
              <w:t>N/A</w:t>
            </w:r>
          </w:p>
        </w:tc>
      </w:tr>
      <w:tr w:rsidR="00EF49C6" w:rsidRPr="005A7F6A" w14:paraId="031F9A7A" w14:textId="77777777" w:rsidTr="00C550B5">
        <w:trPr>
          <w:trHeight w:val="20"/>
        </w:trPr>
        <w:tc>
          <w:tcPr>
            <w:tcW w:w="2061" w:type="pct"/>
            <w:vAlign w:val="top"/>
          </w:tcPr>
          <w:p w14:paraId="446C80BF" w14:textId="5BC9399D" w:rsidR="00EF49C6" w:rsidRPr="005A7F6A" w:rsidRDefault="0052009F" w:rsidP="006675B5">
            <w:pPr>
              <w:pStyle w:val="TableBodyText"/>
              <w:keepNext/>
              <w:keepLines/>
            </w:pPr>
            <w:r>
              <w:t>Net result for the period after tax</w:t>
            </w:r>
          </w:p>
        </w:tc>
        <w:tc>
          <w:tcPr>
            <w:tcW w:w="736" w:type="pct"/>
            <w:vAlign w:val="top"/>
          </w:tcPr>
          <w:p w14:paraId="519FCBCB" w14:textId="4D1261CC" w:rsidR="00EF49C6" w:rsidRDefault="0052009F" w:rsidP="006675B5">
            <w:pPr>
              <w:pStyle w:val="TableBodyText"/>
              <w:keepNext/>
              <w:keepLines/>
            </w:pPr>
            <w:r>
              <w:t>N/A</w:t>
            </w:r>
          </w:p>
        </w:tc>
        <w:tc>
          <w:tcPr>
            <w:tcW w:w="735" w:type="pct"/>
            <w:vAlign w:val="top"/>
          </w:tcPr>
          <w:p w14:paraId="11940B36" w14:textId="1C24E937" w:rsidR="00EF49C6" w:rsidRPr="005A7F6A" w:rsidRDefault="0052009F" w:rsidP="006675B5">
            <w:pPr>
              <w:pStyle w:val="TableBodyText"/>
              <w:keepNext/>
              <w:keepLines/>
            </w:pPr>
            <w:r>
              <w:t>N/A</w:t>
            </w:r>
          </w:p>
        </w:tc>
        <w:tc>
          <w:tcPr>
            <w:tcW w:w="737" w:type="pct"/>
            <w:vAlign w:val="top"/>
          </w:tcPr>
          <w:p w14:paraId="777ED8B3" w14:textId="31FC5D06" w:rsidR="00EF49C6" w:rsidRPr="005A7F6A" w:rsidRDefault="0052009F" w:rsidP="006675B5">
            <w:pPr>
              <w:pStyle w:val="TableBodyText"/>
              <w:keepNext/>
              <w:keepLines/>
            </w:pPr>
            <w:r>
              <w:t>192,006</w:t>
            </w:r>
          </w:p>
        </w:tc>
        <w:tc>
          <w:tcPr>
            <w:tcW w:w="731" w:type="pct"/>
            <w:vAlign w:val="top"/>
          </w:tcPr>
          <w:p w14:paraId="584C532C" w14:textId="50D6566B" w:rsidR="00EF49C6" w:rsidRPr="00C550B5" w:rsidRDefault="0052009F" w:rsidP="006675B5">
            <w:pPr>
              <w:pStyle w:val="TableBodyText"/>
              <w:keepNext/>
              <w:keepLines/>
              <w:rPr>
                <w:rStyle w:val="Bold"/>
              </w:rPr>
            </w:pPr>
            <w:r w:rsidRPr="00C550B5">
              <w:rPr>
                <w:rStyle w:val="Bold"/>
              </w:rPr>
              <w:t>192,006</w:t>
            </w:r>
          </w:p>
        </w:tc>
      </w:tr>
      <w:tr w:rsidR="00EF49C6" w:rsidRPr="005A7F6A" w14:paraId="5F7C20B8" w14:textId="77777777" w:rsidTr="00C550B5">
        <w:trPr>
          <w:trHeight w:val="20"/>
        </w:trPr>
        <w:tc>
          <w:tcPr>
            <w:tcW w:w="2061" w:type="pct"/>
            <w:tcBorders>
              <w:bottom w:val="single" w:sz="4" w:space="0" w:color="auto"/>
            </w:tcBorders>
            <w:vAlign w:val="top"/>
          </w:tcPr>
          <w:p w14:paraId="6E75E57A" w14:textId="15F11F9B" w:rsidR="00EF49C6" w:rsidRPr="005A7F6A" w:rsidRDefault="0052009F" w:rsidP="006675B5">
            <w:pPr>
              <w:pStyle w:val="TableBodyText"/>
              <w:keepNext/>
              <w:keepLines/>
            </w:pPr>
            <w:r>
              <w:t>Other comprehensible income/(loss) for the period after tax</w:t>
            </w:r>
          </w:p>
        </w:tc>
        <w:tc>
          <w:tcPr>
            <w:tcW w:w="736" w:type="pct"/>
            <w:tcBorders>
              <w:bottom w:val="single" w:sz="4" w:space="0" w:color="auto"/>
            </w:tcBorders>
            <w:vAlign w:val="top"/>
          </w:tcPr>
          <w:p w14:paraId="5705C150" w14:textId="7FD04ECC" w:rsidR="00EF49C6" w:rsidRDefault="0052009F" w:rsidP="006675B5">
            <w:pPr>
              <w:pStyle w:val="TableBodyText"/>
              <w:keepNext/>
              <w:keepLines/>
            </w:pPr>
            <w:r>
              <w:t>N/A</w:t>
            </w:r>
          </w:p>
        </w:tc>
        <w:tc>
          <w:tcPr>
            <w:tcW w:w="735" w:type="pct"/>
            <w:tcBorders>
              <w:bottom w:val="single" w:sz="4" w:space="0" w:color="auto"/>
            </w:tcBorders>
            <w:vAlign w:val="top"/>
          </w:tcPr>
          <w:p w14:paraId="3BF16B24" w14:textId="2C32FF29" w:rsidR="00EF49C6" w:rsidRPr="005A7F6A" w:rsidRDefault="0052009F" w:rsidP="006675B5">
            <w:pPr>
              <w:pStyle w:val="TableBodyText"/>
              <w:keepNext/>
              <w:keepLines/>
            </w:pPr>
            <w:r>
              <w:t>640,271</w:t>
            </w:r>
          </w:p>
        </w:tc>
        <w:tc>
          <w:tcPr>
            <w:tcW w:w="737" w:type="pct"/>
            <w:tcBorders>
              <w:bottom w:val="single" w:sz="4" w:space="0" w:color="auto"/>
            </w:tcBorders>
            <w:vAlign w:val="top"/>
          </w:tcPr>
          <w:p w14:paraId="37A80B30" w14:textId="3F27CCE7" w:rsidR="00EF49C6" w:rsidRPr="005A7F6A" w:rsidRDefault="0052009F" w:rsidP="006675B5">
            <w:pPr>
              <w:pStyle w:val="TableBodyText"/>
              <w:keepNext/>
              <w:keepLines/>
            </w:pPr>
            <w:r>
              <w:t>11,695</w:t>
            </w:r>
          </w:p>
        </w:tc>
        <w:tc>
          <w:tcPr>
            <w:tcW w:w="731" w:type="pct"/>
            <w:tcBorders>
              <w:bottom w:val="single" w:sz="4" w:space="0" w:color="auto"/>
            </w:tcBorders>
            <w:vAlign w:val="top"/>
          </w:tcPr>
          <w:p w14:paraId="44C1F260" w14:textId="656F03D2" w:rsidR="00EF49C6" w:rsidRPr="00C550B5" w:rsidRDefault="0052009F" w:rsidP="006675B5">
            <w:pPr>
              <w:pStyle w:val="TableBodyText"/>
              <w:keepNext/>
              <w:keepLines/>
              <w:rPr>
                <w:rStyle w:val="Bold"/>
              </w:rPr>
            </w:pPr>
            <w:r w:rsidRPr="00C550B5">
              <w:rPr>
                <w:rStyle w:val="Bold"/>
              </w:rPr>
              <w:t>651,966</w:t>
            </w:r>
          </w:p>
        </w:tc>
      </w:tr>
      <w:tr w:rsidR="00EF49C6" w:rsidRPr="007D1379" w14:paraId="172747E9" w14:textId="77777777" w:rsidTr="00C550B5">
        <w:trPr>
          <w:trHeight w:val="20"/>
        </w:trPr>
        <w:tc>
          <w:tcPr>
            <w:tcW w:w="2061" w:type="pct"/>
            <w:tcBorders>
              <w:top w:val="single" w:sz="4" w:space="0" w:color="auto"/>
            </w:tcBorders>
            <w:vAlign w:val="top"/>
          </w:tcPr>
          <w:p w14:paraId="38001680" w14:textId="182F47FF" w:rsidR="00EF49C6" w:rsidRPr="0025564C" w:rsidRDefault="0052009F" w:rsidP="00C550B5">
            <w:pPr>
              <w:pStyle w:val="TableBodyText"/>
              <w:rPr>
                <w:rStyle w:val="Bold"/>
              </w:rPr>
            </w:pPr>
            <w:r w:rsidRPr="0025564C">
              <w:rPr>
                <w:rStyle w:val="Bold"/>
              </w:rPr>
              <w:t>Total comprehensive income for the period after tax</w:t>
            </w:r>
          </w:p>
        </w:tc>
        <w:tc>
          <w:tcPr>
            <w:tcW w:w="736" w:type="pct"/>
            <w:tcBorders>
              <w:top w:val="single" w:sz="4" w:space="0" w:color="auto"/>
            </w:tcBorders>
            <w:vAlign w:val="top"/>
          </w:tcPr>
          <w:p w14:paraId="05E8FB3A" w14:textId="7D92F673" w:rsidR="00EF49C6" w:rsidRPr="007D1379" w:rsidRDefault="0052009F" w:rsidP="00C550B5">
            <w:pPr>
              <w:pStyle w:val="TableBodyText"/>
            </w:pPr>
            <w:r w:rsidRPr="007D1379">
              <w:t>N/A</w:t>
            </w:r>
          </w:p>
        </w:tc>
        <w:tc>
          <w:tcPr>
            <w:tcW w:w="735" w:type="pct"/>
            <w:tcBorders>
              <w:top w:val="single" w:sz="4" w:space="0" w:color="auto"/>
            </w:tcBorders>
            <w:vAlign w:val="top"/>
          </w:tcPr>
          <w:p w14:paraId="766BF64D" w14:textId="13F0F95E" w:rsidR="00EF49C6" w:rsidRPr="0025564C" w:rsidRDefault="0052009F" w:rsidP="00C550B5">
            <w:pPr>
              <w:pStyle w:val="TableBodyText"/>
              <w:rPr>
                <w:rStyle w:val="Bold"/>
              </w:rPr>
            </w:pPr>
            <w:r w:rsidRPr="0025564C">
              <w:rPr>
                <w:rStyle w:val="Bold"/>
              </w:rPr>
              <w:t>640,271</w:t>
            </w:r>
          </w:p>
        </w:tc>
        <w:tc>
          <w:tcPr>
            <w:tcW w:w="737" w:type="pct"/>
            <w:tcBorders>
              <w:top w:val="single" w:sz="4" w:space="0" w:color="auto"/>
            </w:tcBorders>
            <w:vAlign w:val="top"/>
          </w:tcPr>
          <w:p w14:paraId="26D4E4F4" w14:textId="6BF1061E" w:rsidR="00EF49C6" w:rsidRPr="0025564C" w:rsidRDefault="0052009F" w:rsidP="00C550B5">
            <w:pPr>
              <w:pStyle w:val="TableBodyText"/>
              <w:rPr>
                <w:rStyle w:val="Bold"/>
              </w:rPr>
            </w:pPr>
            <w:r w:rsidRPr="0025564C">
              <w:rPr>
                <w:rStyle w:val="Bold"/>
              </w:rPr>
              <w:t>203,701</w:t>
            </w:r>
          </w:p>
        </w:tc>
        <w:tc>
          <w:tcPr>
            <w:tcW w:w="731" w:type="pct"/>
            <w:tcBorders>
              <w:top w:val="single" w:sz="4" w:space="0" w:color="auto"/>
            </w:tcBorders>
            <w:vAlign w:val="top"/>
          </w:tcPr>
          <w:p w14:paraId="50603D94" w14:textId="4DDEBCD7" w:rsidR="00EF49C6" w:rsidRPr="0025564C" w:rsidRDefault="0052009F" w:rsidP="00C550B5">
            <w:pPr>
              <w:pStyle w:val="TableBodyText"/>
              <w:rPr>
                <w:rStyle w:val="Bold"/>
              </w:rPr>
            </w:pPr>
            <w:r w:rsidRPr="0025564C">
              <w:rPr>
                <w:rStyle w:val="Bold"/>
              </w:rPr>
              <w:t>843,972</w:t>
            </w:r>
          </w:p>
        </w:tc>
      </w:tr>
      <w:tr w:rsidR="00EF49C6" w:rsidRPr="005A7F6A" w14:paraId="6CEB1067" w14:textId="77777777" w:rsidTr="00C550B5">
        <w:trPr>
          <w:trHeight w:val="20"/>
        </w:trPr>
        <w:tc>
          <w:tcPr>
            <w:tcW w:w="2061" w:type="pct"/>
            <w:vAlign w:val="top"/>
          </w:tcPr>
          <w:p w14:paraId="58FE73C2" w14:textId="5F793634" w:rsidR="00EF49C6" w:rsidRPr="007D1379" w:rsidRDefault="0052009F" w:rsidP="00C550B5">
            <w:pPr>
              <w:pStyle w:val="TableBodyText"/>
              <w:rPr>
                <w:rStyle w:val="Bold"/>
              </w:rPr>
            </w:pPr>
            <w:r w:rsidRPr="007D1379">
              <w:rPr>
                <w:rStyle w:val="Bold"/>
              </w:rPr>
              <w:t>Transactions with equity holders</w:t>
            </w:r>
          </w:p>
        </w:tc>
        <w:tc>
          <w:tcPr>
            <w:tcW w:w="736" w:type="pct"/>
            <w:vAlign w:val="top"/>
          </w:tcPr>
          <w:p w14:paraId="38FE1198" w14:textId="631A8686" w:rsidR="00EF49C6" w:rsidRDefault="0052009F" w:rsidP="00C550B5">
            <w:pPr>
              <w:pStyle w:val="TableBodyText"/>
            </w:pPr>
            <w:r>
              <w:t>N/A</w:t>
            </w:r>
          </w:p>
        </w:tc>
        <w:tc>
          <w:tcPr>
            <w:tcW w:w="735" w:type="pct"/>
            <w:vAlign w:val="top"/>
          </w:tcPr>
          <w:p w14:paraId="34ABC992" w14:textId="189B371B" w:rsidR="00EF49C6" w:rsidRPr="005A7F6A" w:rsidRDefault="0052009F" w:rsidP="00C550B5">
            <w:pPr>
              <w:pStyle w:val="TableBodyText"/>
            </w:pPr>
            <w:r>
              <w:t>N/A</w:t>
            </w:r>
          </w:p>
        </w:tc>
        <w:tc>
          <w:tcPr>
            <w:tcW w:w="737" w:type="pct"/>
            <w:vAlign w:val="top"/>
          </w:tcPr>
          <w:p w14:paraId="3D60B5B0" w14:textId="5DF4E775" w:rsidR="00EF49C6" w:rsidRPr="005A7F6A" w:rsidRDefault="0052009F" w:rsidP="00C550B5">
            <w:pPr>
              <w:pStyle w:val="TableBodyText"/>
            </w:pPr>
            <w:r>
              <w:t>N/A</w:t>
            </w:r>
          </w:p>
        </w:tc>
        <w:tc>
          <w:tcPr>
            <w:tcW w:w="731" w:type="pct"/>
            <w:vAlign w:val="top"/>
          </w:tcPr>
          <w:p w14:paraId="4226FE00" w14:textId="61801510" w:rsidR="00EF49C6" w:rsidRPr="005A7F6A" w:rsidRDefault="0052009F" w:rsidP="00C550B5">
            <w:pPr>
              <w:pStyle w:val="TableBodyText"/>
            </w:pPr>
            <w:r>
              <w:t>N/A</w:t>
            </w:r>
          </w:p>
        </w:tc>
      </w:tr>
      <w:tr w:rsidR="00EF49C6" w:rsidRPr="00004893" w14:paraId="57427C52" w14:textId="77777777" w:rsidTr="00C550B5">
        <w:trPr>
          <w:trHeight w:val="20"/>
        </w:trPr>
        <w:tc>
          <w:tcPr>
            <w:tcW w:w="2061" w:type="pct"/>
            <w:tcBorders>
              <w:bottom w:val="single" w:sz="4" w:space="0" w:color="auto"/>
            </w:tcBorders>
            <w:vAlign w:val="top"/>
          </w:tcPr>
          <w:p w14:paraId="10E1276C" w14:textId="5CBE647D" w:rsidR="00EF49C6" w:rsidRPr="007456A5" w:rsidRDefault="0052009F" w:rsidP="00C550B5">
            <w:pPr>
              <w:pStyle w:val="TableBodyText"/>
            </w:pPr>
            <w:r>
              <w:t>Dividends paid</w:t>
            </w:r>
            <w:r w:rsidR="0025564C">
              <w:t xml:space="preserve"> </w:t>
            </w:r>
            <w:hyperlink w:anchor="NoteaStatementChangesEquity" w:history="1">
              <w:r w:rsidR="0025564C" w:rsidRPr="0025564C">
                <w:rPr>
                  <w:rStyle w:val="Hyperlink"/>
                </w:rPr>
                <w:t>refer note</w:t>
              </w:r>
            </w:hyperlink>
          </w:p>
        </w:tc>
        <w:tc>
          <w:tcPr>
            <w:tcW w:w="736" w:type="pct"/>
            <w:tcBorders>
              <w:bottom w:val="single" w:sz="4" w:space="0" w:color="auto"/>
            </w:tcBorders>
            <w:vAlign w:val="top"/>
          </w:tcPr>
          <w:p w14:paraId="154FAB47" w14:textId="4F8A2EED" w:rsidR="00EF49C6" w:rsidRDefault="0052009F" w:rsidP="00C550B5">
            <w:pPr>
              <w:pStyle w:val="TableBodyText"/>
            </w:pPr>
            <w:r>
              <w:t>N/A</w:t>
            </w:r>
          </w:p>
        </w:tc>
        <w:tc>
          <w:tcPr>
            <w:tcW w:w="735" w:type="pct"/>
            <w:tcBorders>
              <w:bottom w:val="single" w:sz="4" w:space="0" w:color="auto"/>
            </w:tcBorders>
            <w:vAlign w:val="top"/>
          </w:tcPr>
          <w:p w14:paraId="28B21235" w14:textId="02B6B3FE" w:rsidR="00EF49C6" w:rsidRPr="00004893" w:rsidRDefault="0052009F" w:rsidP="00C550B5">
            <w:pPr>
              <w:pStyle w:val="TableBodyText"/>
            </w:pPr>
            <w:r>
              <w:t>N/A</w:t>
            </w:r>
          </w:p>
        </w:tc>
        <w:tc>
          <w:tcPr>
            <w:tcW w:w="737" w:type="pct"/>
            <w:tcBorders>
              <w:bottom w:val="single" w:sz="4" w:space="0" w:color="auto"/>
            </w:tcBorders>
            <w:vAlign w:val="top"/>
          </w:tcPr>
          <w:p w14:paraId="52714907" w14:textId="075EA7CC" w:rsidR="00EF49C6" w:rsidRPr="007456A5" w:rsidRDefault="0052009F" w:rsidP="00C550B5">
            <w:pPr>
              <w:pStyle w:val="TableBodyText"/>
            </w:pPr>
            <w:r>
              <w:t>(62,800)</w:t>
            </w:r>
          </w:p>
        </w:tc>
        <w:tc>
          <w:tcPr>
            <w:tcW w:w="731" w:type="pct"/>
            <w:tcBorders>
              <w:bottom w:val="single" w:sz="4" w:space="0" w:color="auto"/>
            </w:tcBorders>
            <w:vAlign w:val="top"/>
          </w:tcPr>
          <w:p w14:paraId="5F0B8036" w14:textId="3CD2163E" w:rsidR="00EF49C6" w:rsidRPr="00E41326" w:rsidRDefault="0052009F" w:rsidP="00C550B5">
            <w:pPr>
              <w:pStyle w:val="TableBodyText"/>
              <w:rPr>
                <w:rStyle w:val="Bold"/>
              </w:rPr>
            </w:pPr>
            <w:r w:rsidRPr="00E41326">
              <w:rPr>
                <w:rStyle w:val="Bold"/>
              </w:rPr>
              <w:t>(62,800)</w:t>
            </w:r>
          </w:p>
        </w:tc>
      </w:tr>
      <w:tr w:rsidR="00EF49C6" w:rsidRPr="007D1379" w14:paraId="45A2CFC1" w14:textId="77777777" w:rsidTr="00C550B5">
        <w:trPr>
          <w:trHeight w:val="20"/>
        </w:trPr>
        <w:tc>
          <w:tcPr>
            <w:tcW w:w="2061" w:type="pct"/>
            <w:tcBorders>
              <w:top w:val="single" w:sz="4" w:space="0" w:color="auto"/>
            </w:tcBorders>
            <w:vAlign w:val="top"/>
          </w:tcPr>
          <w:p w14:paraId="2CA8346D" w14:textId="71F7A89E" w:rsidR="00EF49C6" w:rsidRPr="0025564C" w:rsidRDefault="0052009F" w:rsidP="00C550B5">
            <w:pPr>
              <w:pStyle w:val="TableBodyText"/>
              <w:rPr>
                <w:rStyle w:val="Bold"/>
              </w:rPr>
            </w:pPr>
            <w:r w:rsidRPr="0025564C">
              <w:rPr>
                <w:rStyle w:val="Bold"/>
              </w:rPr>
              <w:t>Total transactions with owners</w:t>
            </w:r>
          </w:p>
        </w:tc>
        <w:tc>
          <w:tcPr>
            <w:tcW w:w="736" w:type="pct"/>
            <w:tcBorders>
              <w:top w:val="single" w:sz="4" w:space="0" w:color="auto"/>
            </w:tcBorders>
            <w:vAlign w:val="top"/>
          </w:tcPr>
          <w:p w14:paraId="5D3E0673" w14:textId="19F5AE5F" w:rsidR="00EF49C6" w:rsidRPr="007D1379" w:rsidRDefault="0052009F" w:rsidP="00C550B5">
            <w:pPr>
              <w:pStyle w:val="TableBodyText"/>
            </w:pPr>
            <w:r w:rsidRPr="007D1379">
              <w:t>N/A</w:t>
            </w:r>
          </w:p>
        </w:tc>
        <w:tc>
          <w:tcPr>
            <w:tcW w:w="735" w:type="pct"/>
            <w:tcBorders>
              <w:top w:val="single" w:sz="4" w:space="0" w:color="auto"/>
            </w:tcBorders>
            <w:vAlign w:val="top"/>
          </w:tcPr>
          <w:p w14:paraId="4BEFFCE2" w14:textId="53DDBBAE" w:rsidR="00EF49C6" w:rsidRPr="007D1379" w:rsidRDefault="0052009F" w:rsidP="00C550B5">
            <w:pPr>
              <w:pStyle w:val="TableBodyText"/>
            </w:pPr>
            <w:r w:rsidRPr="007D1379">
              <w:t>N/A</w:t>
            </w:r>
          </w:p>
        </w:tc>
        <w:tc>
          <w:tcPr>
            <w:tcW w:w="737" w:type="pct"/>
            <w:tcBorders>
              <w:top w:val="single" w:sz="4" w:space="0" w:color="auto"/>
            </w:tcBorders>
            <w:vAlign w:val="top"/>
          </w:tcPr>
          <w:p w14:paraId="50C54849" w14:textId="15EA2CC4" w:rsidR="00EF49C6" w:rsidRPr="0025564C" w:rsidRDefault="0052009F" w:rsidP="00C550B5">
            <w:pPr>
              <w:pStyle w:val="TableBodyText"/>
              <w:rPr>
                <w:rStyle w:val="Bold"/>
              </w:rPr>
            </w:pPr>
            <w:r w:rsidRPr="0025564C">
              <w:t>(62,800)</w:t>
            </w:r>
          </w:p>
        </w:tc>
        <w:tc>
          <w:tcPr>
            <w:tcW w:w="731" w:type="pct"/>
            <w:tcBorders>
              <w:top w:val="single" w:sz="4" w:space="0" w:color="auto"/>
            </w:tcBorders>
            <w:vAlign w:val="top"/>
          </w:tcPr>
          <w:p w14:paraId="3B72FEB9" w14:textId="0E9724CF" w:rsidR="00EF49C6" w:rsidRPr="0025564C" w:rsidRDefault="0052009F" w:rsidP="00C550B5">
            <w:pPr>
              <w:pStyle w:val="TableBodyText"/>
              <w:rPr>
                <w:rStyle w:val="Bold"/>
              </w:rPr>
            </w:pPr>
            <w:r w:rsidRPr="0025564C">
              <w:rPr>
                <w:rStyle w:val="Bold"/>
              </w:rPr>
              <w:t>(62,800)</w:t>
            </w:r>
          </w:p>
        </w:tc>
      </w:tr>
      <w:tr w:rsidR="00EF49C6" w:rsidRPr="007D1379" w14:paraId="6D234CB7" w14:textId="77777777" w:rsidTr="00C550B5">
        <w:trPr>
          <w:trHeight w:val="20"/>
        </w:trPr>
        <w:tc>
          <w:tcPr>
            <w:tcW w:w="2061" w:type="pct"/>
            <w:tcBorders>
              <w:bottom w:val="single" w:sz="4" w:space="0" w:color="auto"/>
            </w:tcBorders>
            <w:vAlign w:val="top"/>
          </w:tcPr>
          <w:p w14:paraId="12090312" w14:textId="53219425" w:rsidR="00EF49C6" w:rsidRPr="007D1379" w:rsidRDefault="0052009F" w:rsidP="00C550B5">
            <w:pPr>
              <w:pStyle w:val="TableBodyText"/>
              <w:rPr>
                <w:rStyle w:val="Bold"/>
              </w:rPr>
            </w:pPr>
            <w:r w:rsidRPr="007D1379">
              <w:rPr>
                <w:rStyle w:val="Bold"/>
              </w:rPr>
              <w:t>Balance at 30 June 2021</w:t>
            </w:r>
          </w:p>
        </w:tc>
        <w:tc>
          <w:tcPr>
            <w:tcW w:w="736" w:type="pct"/>
            <w:tcBorders>
              <w:bottom w:val="single" w:sz="4" w:space="0" w:color="auto"/>
            </w:tcBorders>
            <w:vAlign w:val="top"/>
          </w:tcPr>
          <w:p w14:paraId="0238BE8A" w14:textId="522407B7" w:rsidR="00EF49C6" w:rsidRPr="007D1379" w:rsidRDefault="0052009F" w:rsidP="00C550B5">
            <w:pPr>
              <w:pStyle w:val="TableBodyText"/>
              <w:rPr>
                <w:rStyle w:val="Bold"/>
              </w:rPr>
            </w:pPr>
            <w:r w:rsidRPr="007D1379">
              <w:rPr>
                <w:rStyle w:val="Bold"/>
              </w:rPr>
              <w:t>507,914</w:t>
            </w:r>
          </w:p>
        </w:tc>
        <w:tc>
          <w:tcPr>
            <w:tcW w:w="735" w:type="pct"/>
            <w:tcBorders>
              <w:bottom w:val="single" w:sz="4" w:space="0" w:color="auto"/>
            </w:tcBorders>
            <w:vAlign w:val="top"/>
          </w:tcPr>
          <w:p w14:paraId="7EC788DA" w14:textId="0CAEF5D7" w:rsidR="00EF49C6" w:rsidRPr="007D1379" w:rsidRDefault="0052009F" w:rsidP="00C550B5">
            <w:pPr>
              <w:pStyle w:val="TableBodyText"/>
              <w:rPr>
                <w:rStyle w:val="Bold"/>
              </w:rPr>
            </w:pPr>
            <w:r w:rsidRPr="007D1379">
              <w:rPr>
                <w:rStyle w:val="Bold"/>
              </w:rPr>
              <w:t>3,571,871</w:t>
            </w:r>
          </w:p>
        </w:tc>
        <w:tc>
          <w:tcPr>
            <w:tcW w:w="737" w:type="pct"/>
            <w:tcBorders>
              <w:bottom w:val="single" w:sz="4" w:space="0" w:color="auto"/>
            </w:tcBorders>
            <w:vAlign w:val="top"/>
          </w:tcPr>
          <w:p w14:paraId="47D9FFB1" w14:textId="79A83DA5" w:rsidR="00EF49C6" w:rsidRPr="007D1379" w:rsidRDefault="0052009F" w:rsidP="00C550B5">
            <w:pPr>
              <w:pStyle w:val="TableBodyText"/>
              <w:rPr>
                <w:rStyle w:val="Bold"/>
              </w:rPr>
            </w:pPr>
            <w:r w:rsidRPr="007D1379">
              <w:rPr>
                <w:rStyle w:val="Bold"/>
              </w:rPr>
              <w:t>2,574,912</w:t>
            </w:r>
          </w:p>
        </w:tc>
        <w:tc>
          <w:tcPr>
            <w:tcW w:w="731" w:type="pct"/>
            <w:tcBorders>
              <w:bottom w:val="single" w:sz="4" w:space="0" w:color="auto"/>
            </w:tcBorders>
            <w:vAlign w:val="top"/>
          </w:tcPr>
          <w:p w14:paraId="113303BE" w14:textId="4DBDDB05" w:rsidR="00EF49C6" w:rsidRPr="007D1379" w:rsidRDefault="0052009F" w:rsidP="00C550B5">
            <w:pPr>
              <w:pStyle w:val="TableBodyText"/>
              <w:rPr>
                <w:rStyle w:val="Bold"/>
              </w:rPr>
            </w:pPr>
            <w:r w:rsidRPr="007D1379">
              <w:rPr>
                <w:rStyle w:val="Bold"/>
              </w:rPr>
              <w:t>6,654,697</w:t>
            </w:r>
          </w:p>
        </w:tc>
      </w:tr>
      <w:tr w:rsidR="00EF49C6" w:rsidRPr="007D1379" w14:paraId="68485217" w14:textId="77777777" w:rsidTr="00C550B5">
        <w:trPr>
          <w:trHeight w:val="20"/>
        </w:trPr>
        <w:tc>
          <w:tcPr>
            <w:tcW w:w="2061" w:type="pct"/>
            <w:tcBorders>
              <w:top w:val="single" w:sz="4" w:space="0" w:color="auto"/>
            </w:tcBorders>
            <w:vAlign w:val="top"/>
          </w:tcPr>
          <w:p w14:paraId="7E42E743" w14:textId="34155E82" w:rsidR="00EF49C6" w:rsidRPr="007D1379" w:rsidRDefault="0052009F" w:rsidP="00C550B5">
            <w:pPr>
              <w:pStyle w:val="TableBodyText"/>
              <w:rPr>
                <w:rStyle w:val="Bold"/>
              </w:rPr>
            </w:pPr>
            <w:r w:rsidRPr="007D1379">
              <w:rPr>
                <w:rStyle w:val="Bold"/>
              </w:rPr>
              <w:t>Balance at 1 July 2019</w:t>
            </w:r>
          </w:p>
        </w:tc>
        <w:tc>
          <w:tcPr>
            <w:tcW w:w="736" w:type="pct"/>
            <w:tcBorders>
              <w:top w:val="single" w:sz="4" w:space="0" w:color="auto"/>
            </w:tcBorders>
            <w:vAlign w:val="top"/>
          </w:tcPr>
          <w:p w14:paraId="0B836136" w14:textId="30271666" w:rsidR="00EF49C6" w:rsidRPr="007D1379" w:rsidRDefault="0052009F" w:rsidP="00C550B5">
            <w:pPr>
              <w:pStyle w:val="TableBodyText"/>
              <w:rPr>
                <w:rStyle w:val="Bold"/>
              </w:rPr>
            </w:pPr>
            <w:r w:rsidRPr="007D1379">
              <w:rPr>
                <w:rStyle w:val="Bold"/>
              </w:rPr>
              <w:t>507,914</w:t>
            </w:r>
          </w:p>
        </w:tc>
        <w:tc>
          <w:tcPr>
            <w:tcW w:w="735" w:type="pct"/>
            <w:tcBorders>
              <w:top w:val="single" w:sz="4" w:space="0" w:color="auto"/>
            </w:tcBorders>
            <w:vAlign w:val="top"/>
          </w:tcPr>
          <w:p w14:paraId="67AEED00" w14:textId="3B18FCA3" w:rsidR="00EF49C6" w:rsidRPr="007D1379" w:rsidRDefault="0052009F" w:rsidP="00C550B5">
            <w:pPr>
              <w:pStyle w:val="TableBodyText"/>
              <w:rPr>
                <w:rStyle w:val="Bold"/>
              </w:rPr>
            </w:pPr>
            <w:r w:rsidRPr="007D1379">
              <w:rPr>
                <w:rStyle w:val="Bold"/>
              </w:rPr>
              <w:t>2,943,844</w:t>
            </w:r>
          </w:p>
        </w:tc>
        <w:tc>
          <w:tcPr>
            <w:tcW w:w="737" w:type="pct"/>
            <w:tcBorders>
              <w:top w:val="single" w:sz="4" w:space="0" w:color="auto"/>
            </w:tcBorders>
            <w:vAlign w:val="top"/>
          </w:tcPr>
          <w:p w14:paraId="3CC6F5FD" w14:textId="7C9B18C1" w:rsidR="00EF49C6" w:rsidRPr="007D1379" w:rsidRDefault="0052009F" w:rsidP="00C550B5">
            <w:pPr>
              <w:pStyle w:val="TableBodyText"/>
              <w:rPr>
                <w:rStyle w:val="Bold"/>
              </w:rPr>
            </w:pPr>
            <w:r w:rsidRPr="007D1379">
              <w:rPr>
                <w:rStyle w:val="Bold"/>
              </w:rPr>
              <w:t>2,291,261</w:t>
            </w:r>
          </w:p>
        </w:tc>
        <w:tc>
          <w:tcPr>
            <w:tcW w:w="731" w:type="pct"/>
            <w:tcBorders>
              <w:top w:val="single" w:sz="4" w:space="0" w:color="auto"/>
            </w:tcBorders>
            <w:vAlign w:val="top"/>
          </w:tcPr>
          <w:p w14:paraId="37D7AE59" w14:textId="2057D0D7" w:rsidR="00EF49C6" w:rsidRPr="007D1379" w:rsidRDefault="0052009F" w:rsidP="00C550B5">
            <w:pPr>
              <w:pStyle w:val="TableBodyText"/>
              <w:rPr>
                <w:rStyle w:val="Bold"/>
              </w:rPr>
            </w:pPr>
            <w:r w:rsidRPr="007D1379">
              <w:rPr>
                <w:rStyle w:val="Bold"/>
              </w:rPr>
              <w:t>5,743,019</w:t>
            </w:r>
          </w:p>
        </w:tc>
      </w:tr>
      <w:tr w:rsidR="00EF49C6" w:rsidRPr="005A7F6A" w14:paraId="6644D0D0" w14:textId="77777777" w:rsidTr="00C550B5">
        <w:trPr>
          <w:trHeight w:val="20"/>
        </w:trPr>
        <w:tc>
          <w:tcPr>
            <w:tcW w:w="2061" w:type="pct"/>
            <w:vAlign w:val="top"/>
          </w:tcPr>
          <w:p w14:paraId="39821A51" w14:textId="6D66808B" w:rsidR="00EF49C6" w:rsidRPr="007D1379" w:rsidRDefault="0052009F" w:rsidP="00C550B5">
            <w:pPr>
              <w:pStyle w:val="TableBodyText"/>
              <w:rPr>
                <w:rStyle w:val="Bold"/>
              </w:rPr>
            </w:pPr>
            <w:r w:rsidRPr="007D1379">
              <w:rPr>
                <w:rStyle w:val="Bold"/>
              </w:rPr>
              <w:t>Comprehensive income for the period after tax</w:t>
            </w:r>
          </w:p>
        </w:tc>
        <w:tc>
          <w:tcPr>
            <w:tcW w:w="736" w:type="pct"/>
            <w:vAlign w:val="top"/>
          </w:tcPr>
          <w:p w14:paraId="0BF5A504" w14:textId="6DCFEC12" w:rsidR="00EF49C6" w:rsidRDefault="0052009F" w:rsidP="00C550B5">
            <w:pPr>
              <w:pStyle w:val="TableBodyText"/>
            </w:pPr>
            <w:r>
              <w:t>N/A</w:t>
            </w:r>
          </w:p>
        </w:tc>
        <w:tc>
          <w:tcPr>
            <w:tcW w:w="735" w:type="pct"/>
            <w:vAlign w:val="top"/>
          </w:tcPr>
          <w:p w14:paraId="4F3866B9" w14:textId="1BB6C8D3" w:rsidR="00EF49C6" w:rsidRPr="005A7F6A" w:rsidRDefault="0052009F" w:rsidP="00C550B5">
            <w:pPr>
              <w:pStyle w:val="TableBodyText"/>
            </w:pPr>
            <w:r>
              <w:t>N/A</w:t>
            </w:r>
          </w:p>
        </w:tc>
        <w:tc>
          <w:tcPr>
            <w:tcW w:w="737" w:type="pct"/>
            <w:vAlign w:val="top"/>
          </w:tcPr>
          <w:p w14:paraId="41C9A41E" w14:textId="5544E3E7" w:rsidR="00EF49C6" w:rsidRPr="005A7F6A" w:rsidRDefault="0052009F" w:rsidP="00C550B5">
            <w:pPr>
              <w:pStyle w:val="TableBodyText"/>
            </w:pPr>
            <w:r>
              <w:t>N/A</w:t>
            </w:r>
          </w:p>
        </w:tc>
        <w:tc>
          <w:tcPr>
            <w:tcW w:w="731" w:type="pct"/>
            <w:vAlign w:val="top"/>
          </w:tcPr>
          <w:p w14:paraId="6FA9F5BA" w14:textId="19DEE6DE" w:rsidR="00EF49C6" w:rsidRPr="005A7F6A" w:rsidRDefault="0052009F" w:rsidP="00C550B5">
            <w:pPr>
              <w:pStyle w:val="TableBodyText"/>
            </w:pPr>
            <w:r>
              <w:t>N/A</w:t>
            </w:r>
          </w:p>
        </w:tc>
      </w:tr>
      <w:tr w:rsidR="00EF49C6" w:rsidRPr="005A7F6A" w14:paraId="597E4BC1" w14:textId="77777777" w:rsidTr="00C550B5">
        <w:trPr>
          <w:trHeight w:val="20"/>
        </w:trPr>
        <w:tc>
          <w:tcPr>
            <w:tcW w:w="2061" w:type="pct"/>
            <w:vAlign w:val="top"/>
          </w:tcPr>
          <w:p w14:paraId="790B994B" w14:textId="67AC8499" w:rsidR="00EF49C6" w:rsidRPr="005A7F6A" w:rsidRDefault="0052009F" w:rsidP="00C550B5">
            <w:pPr>
              <w:pStyle w:val="TableBodyText"/>
            </w:pPr>
            <w:r>
              <w:t>Net result for the period after tax</w:t>
            </w:r>
          </w:p>
        </w:tc>
        <w:tc>
          <w:tcPr>
            <w:tcW w:w="736" w:type="pct"/>
            <w:vAlign w:val="top"/>
          </w:tcPr>
          <w:p w14:paraId="44BF9515" w14:textId="1D517414" w:rsidR="00EF49C6" w:rsidRDefault="0052009F" w:rsidP="00C550B5">
            <w:pPr>
              <w:pStyle w:val="TableBodyText"/>
            </w:pPr>
            <w:r>
              <w:t>N/A</w:t>
            </w:r>
          </w:p>
        </w:tc>
        <w:tc>
          <w:tcPr>
            <w:tcW w:w="735" w:type="pct"/>
            <w:vAlign w:val="top"/>
          </w:tcPr>
          <w:p w14:paraId="4D04DB5D" w14:textId="04F50C65" w:rsidR="00EF49C6" w:rsidRPr="005A7F6A" w:rsidRDefault="0052009F" w:rsidP="00C550B5">
            <w:pPr>
              <w:pStyle w:val="TableBodyText"/>
            </w:pPr>
            <w:r>
              <w:t>N/A</w:t>
            </w:r>
          </w:p>
        </w:tc>
        <w:tc>
          <w:tcPr>
            <w:tcW w:w="737" w:type="pct"/>
            <w:vAlign w:val="top"/>
          </w:tcPr>
          <w:p w14:paraId="4E606835" w14:textId="220F14E7" w:rsidR="00EF49C6" w:rsidRPr="005A7F6A" w:rsidRDefault="0052009F" w:rsidP="00C550B5">
            <w:pPr>
              <w:pStyle w:val="TableBodyText"/>
            </w:pPr>
            <w:r>
              <w:t>203,313</w:t>
            </w:r>
          </w:p>
        </w:tc>
        <w:tc>
          <w:tcPr>
            <w:tcW w:w="731" w:type="pct"/>
            <w:vAlign w:val="top"/>
          </w:tcPr>
          <w:p w14:paraId="638AA8E5" w14:textId="4EEBA429" w:rsidR="00EF49C6" w:rsidRPr="00E41326" w:rsidRDefault="0052009F" w:rsidP="00C550B5">
            <w:pPr>
              <w:pStyle w:val="TableBodyText"/>
              <w:rPr>
                <w:rStyle w:val="Bold"/>
              </w:rPr>
            </w:pPr>
            <w:r w:rsidRPr="00E41326">
              <w:rPr>
                <w:rStyle w:val="Bold"/>
              </w:rPr>
              <w:t>203,313</w:t>
            </w:r>
          </w:p>
        </w:tc>
      </w:tr>
      <w:tr w:rsidR="00EF49C6" w:rsidRPr="00004893" w14:paraId="6FED5289" w14:textId="77777777" w:rsidTr="00C550B5">
        <w:trPr>
          <w:trHeight w:val="20"/>
        </w:trPr>
        <w:tc>
          <w:tcPr>
            <w:tcW w:w="2061" w:type="pct"/>
            <w:tcBorders>
              <w:bottom w:val="single" w:sz="4" w:space="0" w:color="auto"/>
            </w:tcBorders>
            <w:vAlign w:val="top"/>
          </w:tcPr>
          <w:p w14:paraId="5D2D20E6" w14:textId="2FB4A607" w:rsidR="00EF49C6" w:rsidRPr="007456A5" w:rsidRDefault="0052009F" w:rsidP="00C550B5">
            <w:pPr>
              <w:pStyle w:val="TableBodyText"/>
            </w:pPr>
            <w:r>
              <w:t>Other comprehensive income/(loss) for the period after tax</w:t>
            </w:r>
          </w:p>
        </w:tc>
        <w:tc>
          <w:tcPr>
            <w:tcW w:w="736" w:type="pct"/>
            <w:tcBorders>
              <w:bottom w:val="single" w:sz="4" w:space="0" w:color="auto"/>
            </w:tcBorders>
            <w:vAlign w:val="top"/>
          </w:tcPr>
          <w:p w14:paraId="4FCD2C8B" w14:textId="2DE77098" w:rsidR="00EF49C6" w:rsidRDefault="0052009F" w:rsidP="00C550B5">
            <w:pPr>
              <w:pStyle w:val="TableBodyText"/>
            </w:pPr>
            <w:r>
              <w:t>N/A</w:t>
            </w:r>
          </w:p>
        </w:tc>
        <w:tc>
          <w:tcPr>
            <w:tcW w:w="735" w:type="pct"/>
            <w:tcBorders>
              <w:bottom w:val="single" w:sz="4" w:space="0" w:color="auto"/>
            </w:tcBorders>
            <w:vAlign w:val="top"/>
          </w:tcPr>
          <w:p w14:paraId="27540613" w14:textId="4DABB13C" w:rsidR="00EF49C6" w:rsidRPr="00004893" w:rsidRDefault="0052009F" w:rsidP="00C550B5">
            <w:pPr>
              <w:pStyle w:val="TableBodyText"/>
            </w:pPr>
            <w:r>
              <w:t>(12,244)</w:t>
            </w:r>
          </w:p>
        </w:tc>
        <w:tc>
          <w:tcPr>
            <w:tcW w:w="737" w:type="pct"/>
            <w:tcBorders>
              <w:bottom w:val="single" w:sz="4" w:space="0" w:color="auto"/>
            </w:tcBorders>
            <w:vAlign w:val="top"/>
          </w:tcPr>
          <w:p w14:paraId="5D79DDAB" w14:textId="70A647FF" w:rsidR="00EF49C6" w:rsidRPr="007456A5" w:rsidRDefault="0052009F" w:rsidP="00C550B5">
            <w:pPr>
              <w:pStyle w:val="TableBodyText"/>
            </w:pPr>
            <w:r>
              <w:t>12,437</w:t>
            </w:r>
          </w:p>
        </w:tc>
        <w:tc>
          <w:tcPr>
            <w:tcW w:w="731" w:type="pct"/>
            <w:tcBorders>
              <w:bottom w:val="single" w:sz="4" w:space="0" w:color="auto"/>
            </w:tcBorders>
            <w:vAlign w:val="top"/>
          </w:tcPr>
          <w:p w14:paraId="2739D000" w14:textId="4B6DE6F3" w:rsidR="00EF49C6" w:rsidRPr="00E41326" w:rsidRDefault="00E41326" w:rsidP="00C550B5">
            <w:pPr>
              <w:pStyle w:val="TableBodyText"/>
              <w:rPr>
                <w:rStyle w:val="Bold"/>
              </w:rPr>
            </w:pPr>
            <w:r>
              <w:rPr>
                <w:rStyle w:val="Bold"/>
              </w:rPr>
              <w:t>193</w:t>
            </w:r>
          </w:p>
        </w:tc>
      </w:tr>
      <w:tr w:rsidR="007D1379" w:rsidRPr="007D1379" w14:paraId="480E6F46" w14:textId="77777777" w:rsidTr="00C550B5">
        <w:trPr>
          <w:trHeight w:val="20"/>
        </w:trPr>
        <w:tc>
          <w:tcPr>
            <w:tcW w:w="2061" w:type="pct"/>
            <w:tcBorders>
              <w:top w:val="single" w:sz="4" w:space="0" w:color="auto"/>
            </w:tcBorders>
            <w:vAlign w:val="top"/>
          </w:tcPr>
          <w:p w14:paraId="220C3A38" w14:textId="759590EF" w:rsidR="007D1379" w:rsidRPr="007D1379" w:rsidRDefault="007D1379" w:rsidP="00C550B5">
            <w:pPr>
              <w:pStyle w:val="TableBodyText"/>
              <w:rPr>
                <w:rStyle w:val="Bold"/>
              </w:rPr>
            </w:pPr>
            <w:r w:rsidRPr="007D1379">
              <w:rPr>
                <w:rStyle w:val="Bold"/>
              </w:rPr>
              <w:t>Total comprehensive income for the period after tax</w:t>
            </w:r>
          </w:p>
        </w:tc>
        <w:tc>
          <w:tcPr>
            <w:tcW w:w="736" w:type="pct"/>
            <w:tcBorders>
              <w:top w:val="single" w:sz="4" w:space="0" w:color="auto"/>
            </w:tcBorders>
            <w:vAlign w:val="top"/>
          </w:tcPr>
          <w:p w14:paraId="4A222CE4" w14:textId="38A3E34F" w:rsidR="007D1379" w:rsidRPr="007D1379" w:rsidRDefault="007D1379" w:rsidP="00C550B5">
            <w:pPr>
              <w:pStyle w:val="TableBodyText"/>
            </w:pPr>
            <w:r w:rsidRPr="007D1379">
              <w:t>N/A</w:t>
            </w:r>
          </w:p>
        </w:tc>
        <w:tc>
          <w:tcPr>
            <w:tcW w:w="735" w:type="pct"/>
            <w:tcBorders>
              <w:top w:val="single" w:sz="4" w:space="0" w:color="auto"/>
            </w:tcBorders>
            <w:vAlign w:val="top"/>
          </w:tcPr>
          <w:p w14:paraId="1C2109A9" w14:textId="3D555314" w:rsidR="007D1379" w:rsidRPr="0025564C" w:rsidRDefault="007D1379" w:rsidP="00C550B5">
            <w:pPr>
              <w:pStyle w:val="TableBodyText"/>
              <w:rPr>
                <w:rStyle w:val="Bold"/>
              </w:rPr>
            </w:pPr>
            <w:r w:rsidRPr="0025564C">
              <w:rPr>
                <w:rStyle w:val="Bold"/>
              </w:rPr>
              <w:t>(12,244)</w:t>
            </w:r>
          </w:p>
        </w:tc>
        <w:tc>
          <w:tcPr>
            <w:tcW w:w="737" w:type="pct"/>
            <w:tcBorders>
              <w:top w:val="single" w:sz="4" w:space="0" w:color="auto"/>
            </w:tcBorders>
            <w:vAlign w:val="top"/>
          </w:tcPr>
          <w:p w14:paraId="3A7C6246" w14:textId="4463C68D" w:rsidR="007D1379" w:rsidRPr="0025564C" w:rsidRDefault="007D1379" w:rsidP="00C550B5">
            <w:pPr>
              <w:pStyle w:val="TableBodyText"/>
              <w:rPr>
                <w:rStyle w:val="Bold"/>
              </w:rPr>
            </w:pPr>
            <w:r w:rsidRPr="0025564C">
              <w:rPr>
                <w:rStyle w:val="Bold"/>
              </w:rPr>
              <w:t>215,750</w:t>
            </w:r>
          </w:p>
        </w:tc>
        <w:tc>
          <w:tcPr>
            <w:tcW w:w="731" w:type="pct"/>
            <w:tcBorders>
              <w:top w:val="single" w:sz="4" w:space="0" w:color="auto"/>
            </w:tcBorders>
            <w:vAlign w:val="top"/>
          </w:tcPr>
          <w:p w14:paraId="50D2F504" w14:textId="60DDFBD3" w:rsidR="007D1379" w:rsidRPr="0025564C" w:rsidRDefault="007D1379" w:rsidP="00C550B5">
            <w:pPr>
              <w:pStyle w:val="TableBodyText"/>
              <w:rPr>
                <w:rStyle w:val="Bold"/>
              </w:rPr>
            </w:pPr>
            <w:r w:rsidRPr="0025564C">
              <w:rPr>
                <w:rStyle w:val="Bold"/>
              </w:rPr>
              <w:t>203,506</w:t>
            </w:r>
          </w:p>
        </w:tc>
      </w:tr>
      <w:tr w:rsidR="00EF49C6" w:rsidRPr="007456A5" w14:paraId="5A5A473D" w14:textId="77777777" w:rsidTr="00C550B5">
        <w:trPr>
          <w:trHeight w:val="20"/>
        </w:trPr>
        <w:tc>
          <w:tcPr>
            <w:tcW w:w="2061" w:type="pct"/>
            <w:vAlign w:val="top"/>
          </w:tcPr>
          <w:p w14:paraId="7E8436FF" w14:textId="32BD67BC" w:rsidR="00EF49C6" w:rsidRPr="0025564C" w:rsidRDefault="007D1379" w:rsidP="00C550B5">
            <w:pPr>
              <w:pStyle w:val="TableBodyText"/>
              <w:rPr>
                <w:rStyle w:val="Bold"/>
              </w:rPr>
            </w:pPr>
            <w:r w:rsidRPr="0025564C">
              <w:rPr>
                <w:rStyle w:val="Bold"/>
              </w:rPr>
              <w:t>Transactions with equity holders</w:t>
            </w:r>
          </w:p>
        </w:tc>
        <w:tc>
          <w:tcPr>
            <w:tcW w:w="736" w:type="pct"/>
            <w:vAlign w:val="top"/>
          </w:tcPr>
          <w:p w14:paraId="41B381CA" w14:textId="28A5D1FA" w:rsidR="00EF49C6" w:rsidRPr="007456A5" w:rsidRDefault="007D1379" w:rsidP="00C550B5">
            <w:pPr>
              <w:pStyle w:val="TableBodyText"/>
            </w:pPr>
            <w:r>
              <w:t>N/A</w:t>
            </w:r>
          </w:p>
        </w:tc>
        <w:tc>
          <w:tcPr>
            <w:tcW w:w="735" w:type="pct"/>
            <w:vAlign w:val="top"/>
          </w:tcPr>
          <w:p w14:paraId="313EBDC3" w14:textId="093356F2" w:rsidR="00EF49C6" w:rsidRPr="007456A5" w:rsidRDefault="007D1379" w:rsidP="00C550B5">
            <w:pPr>
              <w:pStyle w:val="TableBodyText"/>
            </w:pPr>
            <w:r>
              <w:t>N/A</w:t>
            </w:r>
          </w:p>
        </w:tc>
        <w:tc>
          <w:tcPr>
            <w:tcW w:w="737" w:type="pct"/>
            <w:vAlign w:val="top"/>
          </w:tcPr>
          <w:p w14:paraId="4F02B5AF" w14:textId="15669590" w:rsidR="00EF49C6" w:rsidRPr="007456A5" w:rsidRDefault="007D1379" w:rsidP="00C550B5">
            <w:pPr>
              <w:pStyle w:val="TableBodyText"/>
            </w:pPr>
            <w:r>
              <w:t>N/A</w:t>
            </w:r>
          </w:p>
        </w:tc>
        <w:tc>
          <w:tcPr>
            <w:tcW w:w="731" w:type="pct"/>
            <w:vAlign w:val="top"/>
          </w:tcPr>
          <w:p w14:paraId="3600DE3B" w14:textId="19AD66EC" w:rsidR="00EF49C6" w:rsidRPr="007456A5" w:rsidRDefault="007D1379" w:rsidP="00C550B5">
            <w:pPr>
              <w:pStyle w:val="TableBodyText"/>
            </w:pPr>
            <w:r>
              <w:t>N/A</w:t>
            </w:r>
          </w:p>
        </w:tc>
      </w:tr>
      <w:tr w:rsidR="00EF49C6" w:rsidRPr="005A7F6A" w14:paraId="6D2E3AD4" w14:textId="77777777" w:rsidTr="00C550B5">
        <w:trPr>
          <w:trHeight w:val="20"/>
        </w:trPr>
        <w:tc>
          <w:tcPr>
            <w:tcW w:w="2061" w:type="pct"/>
            <w:tcBorders>
              <w:bottom w:val="single" w:sz="4" w:space="0" w:color="auto"/>
            </w:tcBorders>
            <w:vAlign w:val="top"/>
          </w:tcPr>
          <w:p w14:paraId="546BC5C7" w14:textId="0F2201D4" w:rsidR="0025564C" w:rsidRPr="007456A5" w:rsidRDefault="007D1379" w:rsidP="00C550B5">
            <w:pPr>
              <w:pStyle w:val="TableBodyText"/>
            </w:pPr>
            <w:r>
              <w:t>Dividends paid</w:t>
            </w:r>
            <w:r w:rsidR="0025564C">
              <w:t xml:space="preserve"> </w:t>
            </w:r>
            <w:hyperlink w:anchor="NoteaStatementChangesEquity" w:history="1">
              <w:r w:rsidR="0025564C" w:rsidRPr="0025564C">
                <w:rPr>
                  <w:rStyle w:val="Hyperlink"/>
                </w:rPr>
                <w:t>refer note</w:t>
              </w:r>
            </w:hyperlink>
          </w:p>
        </w:tc>
        <w:tc>
          <w:tcPr>
            <w:tcW w:w="736" w:type="pct"/>
            <w:tcBorders>
              <w:bottom w:val="single" w:sz="4" w:space="0" w:color="auto"/>
            </w:tcBorders>
            <w:vAlign w:val="top"/>
          </w:tcPr>
          <w:p w14:paraId="0E05A2E9" w14:textId="134C7386" w:rsidR="00EF49C6" w:rsidRDefault="007D1379" w:rsidP="00C550B5">
            <w:pPr>
              <w:pStyle w:val="TableBodyText"/>
            </w:pPr>
            <w:r>
              <w:t>N/A</w:t>
            </w:r>
          </w:p>
        </w:tc>
        <w:tc>
          <w:tcPr>
            <w:tcW w:w="735" w:type="pct"/>
            <w:tcBorders>
              <w:bottom w:val="single" w:sz="4" w:space="0" w:color="auto"/>
            </w:tcBorders>
            <w:vAlign w:val="top"/>
          </w:tcPr>
          <w:p w14:paraId="458F3C3C" w14:textId="26F9EE47" w:rsidR="00EF49C6" w:rsidRPr="005A7F6A" w:rsidRDefault="007D1379" w:rsidP="00C550B5">
            <w:pPr>
              <w:pStyle w:val="TableBodyText"/>
            </w:pPr>
            <w:r>
              <w:t>N/A</w:t>
            </w:r>
          </w:p>
        </w:tc>
        <w:tc>
          <w:tcPr>
            <w:tcW w:w="737" w:type="pct"/>
            <w:tcBorders>
              <w:bottom w:val="single" w:sz="4" w:space="0" w:color="auto"/>
            </w:tcBorders>
            <w:vAlign w:val="top"/>
          </w:tcPr>
          <w:p w14:paraId="23069494" w14:textId="227E0F73" w:rsidR="00EF49C6" w:rsidRPr="005A7F6A" w:rsidRDefault="007D1379" w:rsidP="00C550B5">
            <w:pPr>
              <w:pStyle w:val="TableBodyText"/>
            </w:pPr>
            <w:r>
              <w:t>(73,000)</w:t>
            </w:r>
          </w:p>
        </w:tc>
        <w:tc>
          <w:tcPr>
            <w:tcW w:w="731" w:type="pct"/>
            <w:tcBorders>
              <w:bottom w:val="single" w:sz="4" w:space="0" w:color="auto"/>
            </w:tcBorders>
            <w:vAlign w:val="top"/>
          </w:tcPr>
          <w:p w14:paraId="4E7EAFE1" w14:textId="2235CBE5" w:rsidR="00EF49C6" w:rsidRPr="00E41326" w:rsidRDefault="007D1379" w:rsidP="00C550B5">
            <w:pPr>
              <w:pStyle w:val="TableBodyText"/>
              <w:rPr>
                <w:rStyle w:val="Bold"/>
              </w:rPr>
            </w:pPr>
            <w:r w:rsidRPr="00E41326">
              <w:rPr>
                <w:rStyle w:val="Bold"/>
              </w:rPr>
              <w:t>(73,000)</w:t>
            </w:r>
          </w:p>
        </w:tc>
      </w:tr>
      <w:tr w:rsidR="00EF49C6" w:rsidRPr="007D1379" w14:paraId="46787183" w14:textId="77777777" w:rsidTr="00C550B5">
        <w:trPr>
          <w:trHeight w:val="20"/>
        </w:trPr>
        <w:tc>
          <w:tcPr>
            <w:tcW w:w="2061" w:type="pct"/>
            <w:tcBorders>
              <w:top w:val="single" w:sz="4" w:space="0" w:color="auto"/>
              <w:bottom w:val="single" w:sz="4" w:space="0" w:color="auto"/>
            </w:tcBorders>
            <w:vAlign w:val="top"/>
          </w:tcPr>
          <w:p w14:paraId="2193CD08" w14:textId="263224F2" w:rsidR="00EF49C6" w:rsidRPr="007D1379" w:rsidRDefault="007D1379" w:rsidP="00C550B5">
            <w:pPr>
              <w:pStyle w:val="TableBodyText"/>
              <w:rPr>
                <w:rStyle w:val="Bold"/>
              </w:rPr>
            </w:pPr>
            <w:r w:rsidRPr="007D1379">
              <w:rPr>
                <w:rStyle w:val="Bold"/>
              </w:rPr>
              <w:t>Total transactions with owners</w:t>
            </w:r>
          </w:p>
        </w:tc>
        <w:tc>
          <w:tcPr>
            <w:tcW w:w="736" w:type="pct"/>
            <w:tcBorders>
              <w:top w:val="single" w:sz="4" w:space="0" w:color="auto"/>
              <w:bottom w:val="single" w:sz="4" w:space="0" w:color="auto"/>
            </w:tcBorders>
            <w:vAlign w:val="top"/>
          </w:tcPr>
          <w:p w14:paraId="29A47997" w14:textId="7C7C1CDB" w:rsidR="00EF49C6" w:rsidRPr="007D1379" w:rsidRDefault="007D1379" w:rsidP="00C550B5">
            <w:pPr>
              <w:pStyle w:val="TableBodyText"/>
            </w:pPr>
            <w:r w:rsidRPr="007D1379">
              <w:t>N/A</w:t>
            </w:r>
          </w:p>
        </w:tc>
        <w:tc>
          <w:tcPr>
            <w:tcW w:w="735" w:type="pct"/>
            <w:tcBorders>
              <w:top w:val="single" w:sz="4" w:space="0" w:color="auto"/>
              <w:bottom w:val="single" w:sz="4" w:space="0" w:color="auto"/>
            </w:tcBorders>
            <w:vAlign w:val="top"/>
          </w:tcPr>
          <w:p w14:paraId="3E2D62AE" w14:textId="0678BAF5" w:rsidR="00EF49C6" w:rsidRPr="007D1379" w:rsidRDefault="007D1379" w:rsidP="00C550B5">
            <w:pPr>
              <w:pStyle w:val="TableBodyText"/>
            </w:pPr>
            <w:r w:rsidRPr="007D1379">
              <w:t>N/A</w:t>
            </w:r>
          </w:p>
        </w:tc>
        <w:tc>
          <w:tcPr>
            <w:tcW w:w="737" w:type="pct"/>
            <w:tcBorders>
              <w:top w:val="single" w:sz="4" w:space="0" w:color="auto"/>
              <w:bottom w:val="single" w:sz="4" w:space="0" w:color="auto"/>
            </w:tcBorders>
            <w:vAlign w:val="top"/>
          </w:tcPr>
          <w:p w14:paraId="6E2F7E95" w14:textId="25A97CAD" w:rsidR="00EF49C6" w:rsidRPr="0025564C" w:rsidRDefault="007D1379" w:rsidP="00C550B5">
            <w:pPr>
              <w:pStyle w:val="TableBodyText"/>
              <w:rPr>
                <w:rStyle w:val="Bold"/>
              </w:rPr>
            </w:pPr>
            <w:r w:rsidRPr="0025564C">
              <w:t>(73,000)</w:t>
            </w:r>
          </w:p>
        </w:tc>
        <w:tc>
          <w:tcPr>
            <w:tcW w:w="731" w:type="pct"/>
            <w:tcBorders>
              <w:top w:val="single" w:sz="4" w:space="0" w:color="auto"/>
              <w:bottom w:val="single" w:sz="4" w:space="0" w:color="auto"/>
            </w:tcBorders>
            <w:vAlign w:val="top"/>
          </w:tcPr>
          <w:p w14:paraId="2F17FE02" w14:textId="459425F9" w:rsidR="00EF49C6" w:rsidRPr="0025564C" w:rsidRDefault="007D1379" w:rsidP="00C550B5">
            <w:pPr>
              <w:pStyle w:val="TableBodyText"/>
              <w:rPr>
                <w:rStyle w:val="Bold"/>
              </w:rPr>
            </w:pPr>
            <w:r w:rsidRPr="0025564C">
              <w:rPr>
                <w:rStyle w:val="Bold"/>
              </w:rPr>
              <w:t>(73,000)</w:t>
            </w:r>
          </w:p>
        </w:tc>
      </w:tr>
      <w:tr w:rsidR="00EF49C6" w:rsidRPr="007D1379" w14:paraId="507E3324" w14:textId="77777777" w:rsidTr="00C550B5">
        <w:trPr>
          <w:trHeight w:val="20"/>
        </w:trPr>
        <w:tc>
          <w:tcPr>
            <w:tcW w:w="2061" w:type="pct"/>
            <w:tcBorders>
              <w:top w:val="single" w:sz="4" w:space="0" w:color="auto"/>
              <w:bottom w:val="single" w:sz="4" w:space="0" w:color="auto"/>
            </w:tcBorders>
            <w:vAlign w:val="top"/>
          </w:tcPr>
          <w:p w14:paraId="15A77FD1" w14:textId="22C49708" w:rsidR="00EF49C6" w:rsidRPr="007D1379" w:rsidRDefault="007D1379" w:rsidP="00C550B5">
            <w:pPr>
              <w:pStyle w:val="TableBodyText"/>
              <w:rPr>
                <w:rStyle w:val="Bold"/>
              </w:rPr>
            </w:pPr>
            <w:r w:rsidRPr="007D1379">
              <w:rPr>
                <w:rStyle w:val="Bold"/>
              </w:rPr>
              <w:t>Balance at 30 June 2020</w:t>
            </w:r>
          </w:p>
        </w:tc>
        <w:tc>
          <w:tcPr>
            <w:tcW w:w="736" w:type="pct"/>
            <w:tcBorders>
              <w:top w:val="single" w:sz="4" w:space="0" w:color="auto"/>
              <w:bottom w:val="single" w:sz="4" w:space="0" w:color="auto"/>
            </w:tcBorders>
            <w:vAlign w:val="top"/>
          </w:tcPr>
          <w:p w14:paraId="0B692DE1" w14:textId="1D22BAC4" w:rsidR="00EF49C6" w:rsidRPr="007D1379" w:rsidRDefault="007D1379" w:rsidP="00C550B5">
            <w:pPr>
              <w:pStyle w:val="TableBodyText"/>
              <w:rPr>
                <w:rStyle w:val="Bold"/>
              </w:rPr>
            </w:pPr>
            <w:r w:rsidRPr="007D1379">
              <w:rPr>
                <w:rStyle w:val="Bold"/>
              </w:rPr>
              <w:t>507,914</w:t>
            </w:r>
          </w:p>
        </w:tc>
        <w:tc>
          <w:tcPr>
            <w:tcW w:w="735" w:type="pct"/>
            <w:tcBorders>
              <w:top w:val="single" w:sz="4" w:space="0" w:color="auto"/>
              <w:bottom w:val="single" w:sz="4" w:space="0" w:color="auto"/>
            </w:tcBorders>
            <w:vAlign w:val="top"/>
          </w:tcPr>
          <w:p w14:paraId="55DF2481" w14:textId="6F57DAD3" w:rsidR="00EF49C6" w:rsidRPr="007D1379" w:rsidRDefault="007D1379" w:rsidP="00C550B5">
            <w:pPr>
              <w:pStyle w:val="TableBodyText"/>
              <w:rPr>
                <w:rStyle w:val="Bold"/>
              </w:rPr>
            </w:pPr>
            <w:r w:rsidRPr="007D1379">
              <w:rPr>
                <w:rStyle w:val="Bold"/>
              </w:rPr>
              <w:t>2,931,600</w:t>
            </w:r>
          </w:p>
        </w:tc>
        <w:tc>
          <w:tcPr>
            <w:tcW w:w="737" w:type="pct"/>
            <w:tcBorders>
              <w:top w:val="single" w:sz="4" w:space="0" w:color="auto"/>
              <w:bottom w:val="single" w:sz="4" w:space="0" w:color="auto"/>
            </w:tcBorders>
            <w:vAlign w:val="top"/>
          </w:tcPr>
          <w:p w14:paraId="6C884FD0" w14:textId="31DD1ADC" w:rsidR="00EF49C6" w:rsidRPr="007D1379" w:rsidRDefault="007D1379" w:rsidP="00C550B5">
            <w:pPr>
              <w:pStyle w:val="TableBodyText"/>
              <w:rPr>
                <w:rStyle w:val="Bold"/>
              </w:rPr>
            </w:pPr>
            <w:r w:rsidRPr="007D1379">
              <w:rPr>
                <w:rStyle w:val="Bold"/>
              </w:rPr>
              <w:t>2,434,011</w:t>
            </w:r>
          </w:p>
        </w:tc>
        <w:tc>
          <w:tcPr>
            <w:tcW w:w="731" w:type="pct"/>
            <w:tcBorders>
              <w:top w:val="single" w:sz="4" w:space="0" w:color="auto"/>
              <w:bottom w:val="single" w:sz="4" w:space="0" w:color="auto"/>
            </w:tcBorders>
            <w:vAlign w:val="top"/>
          </w:tcPr>
          <w:p w14:paraId="446ACE6E" w14:textId="28CB4AEC" w:rsidR="00EF49C6" w:rsidRPr="007D1379" w:rsidRDefault="007D1379" w:rsidP="00C550B5">
            <w:pPr>
              <w:pStyle w:val="TableBodyText"/>
              <w:rPr>
                <w:rStyle w:val="Bold"/>
              </w:rPr>
            </w:pPr>
            <w:r w:rsidRPr="007D1379">
              <w:rPr>
                <w:rStyle w:val="Bold"/>
              </w:rPr>
              <w:t>5,873,525</w:t>
            </w:r>
          </w:p>
        </w:tc>
      </w:tr>
    </w:tbl>
    <w:p w14:paraId="29861BC0" w14:textId="5B0DC326" w:rsidR="0025564C" w:rsidRDefault="00E41326" w:rsidP="0025564C">
      <w:pPr>
        <w:pStyle w:val="BodyText"/>
      </w:pPr>
      <w:r>
        <w:t>T</w:t>
      </w:r>
      <w:r w:rsidR="0025564C">
        <w:t xml:space="preserve">he above Statement of Changes in Equity should be read in conjunction with the accompanying notes on </w:t>
      </w:r>
      <w:r w:rsidR="00650CC7">
        <w:t xml:space="preserve">pages </w:t>
      </w:r>
      <w:r w:rsidR="00650CC7">
        <w:fldChar w:fldCharType="begin"/>
      </w:r>
      <w:r w:rsidR="00650CC7">
        <w:instrText xml:space="preserve"> PAGEREF AboutThisReport \h </w:instrText>
      </w:r>
      <w:r w:rsidR="00650CC7">
        <w:fldChar w:fldCharType="separate"/>
      </w:r>
      <w:r w:rsidR="00472151">
        <w:rPr>
          <w:noProof/>
        </w:rPr>
        <w:t>93</w:t>
      </w:r>
      <w:r w:rsidR="00650CC7">
        <w:fldChar w:fldCharType="end"/>
      </w:r>
      <w:r w:rsidR="00650CC7">
        <w:t xml:space="preserve"> through to </w:t>
      </w:r>
      <w:r w:rsidR="00650CC7">
        <w:fldChar w:fldCharType="begin"/>
      </w:r>
      <w:r w:rsidR="00650CC7">
        <w:instrText xml:space="preserve"> PAGEREF AboutThisReportend \h </w:instrText>
      </w:r>
      <w:r w:rsidR="00650CC7">
        <w:fldChar w:fldCharType="separate"/>
      </w:r>
      <w:r w:rsidR="00472151">
        <w:rPr>
          <w:noProof/>
        </w:rPr>
        <w:t>93</w:t>
      </w:r>
      <w:r w:rsidR="00650CC7">
        <w:fldChar w:fldCharType="end"/>
      </w:r>
      <w:r w:rsidR="00650CC7">
        <w:t>.</w:t>
      </w:r>
    </w:p>
    <w:p w14:paraId="18E35DBC" w14:textId="77777777" w:rsidR="0025564C" w:rsidRDefault="0025564C" w:rsidP="0025564C">
      <w:pPr>
        <w:pStyle w:val="BodyText"/>
      </w:pPr>
      <w:r>
        <w:t>Note:</w:t>
      </w:r>
    </w:p>
    <w:p w14:paraId="20214E72" w14:textId="2B662550" w:rsidR="00226E71" w:rsidRDefault="0025564C" w:rsidP="0025564C">
      <w:pPr>
        <w:pStyle w:val="BodyText"/>
      </w:pPr>
      <w:bookmarkStart w:id="794" w:name="NoteaStatementChangesEquity"/>
      <w:r>
        <w:t xml:space="preserve">(a) </w:t>
      </w:r>
      <w:bookmarkEnd w:id="794"/>
      <w:r>
        <w:t>During 2020-21 the Corporation paid total dividends of $62.8 million (2019-20 $73.0 million). Dividends are determined by the Treasurer of Victoria after consultation with the Corporation’s Board of Directors and the Minister for Water.</w:t>
      </w:r>
    </w:p>
    <w:p w14:paraId="65FC4503" w14:textId="0D4AB8B4" w:rsidR="00226E71" w:rsidRDefault="0025564C" w:rsidP="0025564C">
      <w:pPr>
        <w:pStyle w:val="Heading2"/>
      </w:pPr>
      <w:bookmarkStart w:id="795" w:name="_Toc89723104"/>
      <w:bookmarkStart w:id="796" w:name="_Toc89723240"/>
      <w:bookmarkStart w:id="797" w:name="_Toc89723300"/>
      <w:bookmarkStart w:id="798" w:name="_Ref89806044"/>
      <w:bookmarkStart w:id="799" w:name="_Ref89806251"/>
      <w:bookmarkStart w:id="800" w:name="_Ref89807233"/>
      <w:bookmarkStart w:id="801" w:name="_Ref89812071"/>
      <w:bookmarkStart w:id="802" w:name="_Toc89860566"/>
      <w:bookmarkStart w:id="803" w:name="_Toc89860710"/>
      <w:bookmarkStart w:id="804" w:name="_Toc90326049"/>
      <w:bookmarkStart w:id="805" w:name="_Toc93659455"/>
      <w:r>
        <w:lastRenderedPageBreak/>
        <w:t>Statement of Cash Flows</w:t>
      </w:r>
      <w:bookmarkEnd w:id="795"/>
      <w:bookmarkEnd w:id="796"/>
      <w:bookmarkEnd w:id="797"/>
      <w:bookmarkEnd w:id="798"/>
      <w:bookmarkEnd w:id="799"/>
      <w:bookmarkEnd w:id="800"/>
      <w:bookmarkEnd w:id="801"/>
      <w:bookmarkEnd w:id="802"/>
      <w:bookmarkEnd w:id="803"/>
      <w:bookmarkEnd w:id="804"/>
      <w:bookmarkEnd w:id="805"/>
    </w:p>
    <w:p w14:paraId="7B5DE614" w14:textId="78BDD902" w:rsidR="0025564C" w:rsidRPr="0025564C" w:rsidRDefault="0025564C" w:rsidP="00226E71">
      <w:pPr>
        <w:pStyle w:val="BodyText"/>
        <w:rPr>
          <w:rStyle w:val="Bold"/>
        </w:rPr>
      </w:pPr>
      <w:r w:rsidRPr="0025564C">
        <w:rPr>
          <w:rStyle w:val="Bold"/>
        </w:rPr>
        <w:t>For the year ended 30 June 2021</w:t>
      </w:r>
    </w:p>
    <w:tbl>
      <w:tblPr>
        <w:tblStyle w:val="Style1"/>
        <w:tblW w:w="5000" w:type="pct"/>
        <w:tblLook w:val="0620" w:firstRow="1" w:lastRow="0" w:firstColumn="0" w:lastColumn="0" w:noHBand="1" w:noVBand="1"/>
      </w:tblPr>
      <w:tblGrid>
        <w:gridCol w:w="5387"/>
        <w:gridCol w:w="1416"/>
        <w:gridCol w:w="1420"/>
        <w:gridCol w:w="1408"/>
      </w:tblGrid>
      <w:tr w:rsidR="0025564C" w:rsidRPr="000A04C8" w14:paraId="62C2EB84" w14:textId="77777777" w:rsidTr="0011520C">
        <w:trPr>
          <w:cnfStyle w:val="100000000000" w:firstRow="1" w:lastRow="0" w:firstColumn="0" w:lastColumn="0" w:oddVBand="0" w:evenVBand="0" w:oddHBand="0" w:evenHBand="0" w:firstRowFirstColumn="0" w:firstRowLastColumn="0" w:lastRowFirstColumn="0" w:lastRowLastColumn="0"/>
          <w:trHeight w:val="20"/>
        </w:trPr>
        <w:tc>
          <w:tcPr>
            <w:tcW w:w="2797" w:type="pct"/>
            <w:tcBorders>
              <w:top w:val="single" w:sz="4" w:space="0" w:color="auto"/>
            </w:tcBorders>
            <w:vAlign w:val="bottom"/>
          </w:tcPr>
          <w:p w14:paraId="59C41D99" w14:textId="77777777" w:rsidR="0025564C" w:rsidRPr="000A04C8" w:rsidRDefault="0025564C" w:rsidP="000A04C8">
            <w:bookmarkStart w:id="806" w:name="ColumnTitle_34"/>
            <w:r w:rsidRPr="000A04C8">
              <w:t>Item</w:t>
            </w:r>
          </w:p>
        </w:tc>
        <w:tc>
          <w:tcPr>
            <w:tcW w:w="735" w:type="pct"/>
            <w:tcBorders>
              <w:top w:val="single" w:sz="4" w:space="0" w:color="auto"/>
            </w:tcBorders>
            <w:vAlign w:val="bottom"/>
          </w:tcPr>
          <w:p w14:paraId="319947E9" w14:textId="07EFAC0B" w:rsidR="0025564C" w:rsidRPr="000A04C8" w:rsidRDefault="0025564C" w:rsidP="000A04C8">
            <w:r w:rsidRPr="000A04C8">
              <w:t>Notes</w:t>
            </w:r>
          </w:p>
        </w:tc>
        <w:tc>
          <w:tcPr>
            <w:tcW w:w="737" w:type="pct"/>
            <w:tcBorders>
              <w:top w:val="single" w:sz="4" w:space="0" w:color="auto"/>
            </w:tcBorders>
            <w:vAlign w:val="bottom"/>
          </w:tcPr>
          <w:p w14:paraId="64CC87D7" w14:textId="77777777" w:rsidR="0025564C" w:rsidRPr="000A04C8" w:rsidRDefault="0025564C" w:rsidP="000A04C8">
            <w:r w:rsidRPr="000A04C8">
              <w:t>2021</w:t>
            </w:r>
          </w:p>
          <w:p w14:paraId="0EAE9256" w14:textId="15841EAC" w:rsidR="0025564C" w:rsidRPr="000A04C8" w:rsidRDefault="0025564C" w:rsidP="000A04C8">
            <w:r w:rsidRPr="000A04C8">
              <w:t>($ thousands)</w:t>
            </w:r>
          </w:p>
        </w:tc>
        <w:tc>
          <w:tcPr>
            <w:tcW w:w="731" w:type="pct"/>
            <w:tcBorders>
              <w:top w:val="single" w:sz="4" w:space="0" w:color="auto"/>
            </w:tcBorders>
            <w:vAlign w:val="bottom"/>
          </w:tcPr>
          <w:p w14:paraId="14A41AC3" w14:textId="74111539" w:rsidR="0025564C" w:rsidRPr="000A04C8" w:rsidRDefault="0025564C" w:rsidP="000A04C8">
            <w:r w:rsidRPr="000A04C8">
              <w:t xml:space="preserve">2020 </w:t>
            </w:r>
          </w:p>
          <w:p w14:paraId="76A37025" w14:textId="086C1F66" w:rsidR="0025564C" w:rsidRPr="000A04C8" w:rsidRDefault="0025564C" w:rsidP="000A04C8">
            <w:r w:rsidRPr="000A04C8">
              <w:t>($ thousands)</w:t>
            </w:r>
          </w:p>
        </w:tc>
      </w:tr>
      <w:bookmarkEnd w:id="806"/>
      <w:tr w:rsidR="0025564C" w:rsidRPr="007D1379" w14:paraId="43D7A3CE" w14:textId="77777777" w:rsidTr="000A04C8">
        <w:trPr>
          <w:trHeight w:val="20"/>
        </w:trPr>
        <w:tc>
          <w:tcPr>
            <w:tcW w:w="2797" w:type="pct"/>
            <w:tcBorders>
              <w:top w:val="single" w:sz="4" w:space="0" w:color="auto"/>
            </w:tcBorders>
            <w:vAlign w:val="top"/>
          </w:tcPr>
          <w:p w14:paraId="6AD1FF84" w14:textId="32D00BC2" w:rsidR="0025564C" w:rsidRPr="00245640" w:rsidRDefault="0025564C" w:rsidP="000A04C8">
            <w:pPr>
              <w:pStyle w:val="TableBodyText"/>
              <w:rPr>
                <w:rStyle w:val="Bold"/>
              </w:rPr>
            </w:pPr>
            <w:r w:rsidRPr="00245640">
              <w:rPr>
                <w:rStyle w:val="Bold"/>
              </w:rPr>
              <w:t>Cash flows from operating activities</w:t>
            </w:r>
          </w:p>
        </w:tc>
        <w:tc>
          <w:tcPr>
            <w:tcW w:w="735" w:type="pct"/>
            <w:tcBorders>
              <w:top w:val="single" w:sz="4" w:space="0" w:color="auto"/>
            </w:tcBorders>
            <w:vAlign w:val="top"/>
          </w:tcPr>
          <w:p w14:paraId="15445F9F" w14:textId="4F0395A8" w:rsidR="0025564C" w:rsidRPr="007D1379" w:rsidRDefault="0025564C" w:rsidP="000A04C8">
            <w:pPr>
              <w:pStyle w:val="TableBodyText"/>
            </w:pPr>
            <w:r>
              <w:t>N/A</w:t>
            </w:r>
          </w:p>
        </w:tc>
        <w:tc>
          <w:tcPr>
            <w:tcW w:w="737" w:type="pct"/>
            <w:tcBorders>
              <w:top w:val="single" w:sz="4" w:space="0" w:color="auto"/>
            </w:tcBorders>
            <w:vAlign w:val="top"/>
          </w:tcPr>
          <w:p w14:paraId="7B150331" w14:textId="414A22BC" w:rsidR="0025564C" w:rsidRPr="007D1379" w:rsidRDefault="0025564C" w:rsidP="000A04C8">
            <w:pPr>
              <w:pStyle w:val="TableBodyText"/>
            </w:pPr>
            <w:r>
              <w:t>N/A</w:t>
            </w:r>
          </w:p>
        </w:tc>
        <w:tc>
          <w:tcPr>
            <w:tcW w:w="731" w:type="pct"/>
            <w:tcBorders>
              <w:top w:val="single" w:sz="4" w:space="0" w:color="auto"/>
            </w:tcBorders>
            <w:vAlign w:val="top"/>
          </w:tcPr>
          <w:p w14:paraId="702863FC" w14:textId="259AC626" w:rsidR="0025564C" w:rsidRPr="007D1379" w:rsidRDefault="0025564C" w:rsidP="000A04C8">
            <w:pPr>
              <w:pStyle w:val="TableBodyText"/>
            </w:pPr>
            <w:r>
              <w:t>N/A</w:t>
            </w:r>
          </w:p>
        </w:tc>
      </w:tr>
      <w:tr w:rsidR="0025564C" w:rsidRPr="005A7F6A" w14:paraId="493737ED" w14:textId="77777777" w:rsidTr="000A04C8">
        <w:trPr>
          <w:trHeight w:val="20"/>
        </w:trPr>
        <w:tc>
          <w:tcPr>
            <w:tcW w:w="2797" w:type="pct"/>
            <w:vAlign w:val="top"/>
          </w:tcPr>
          <w:p w14:paraId="42B400AF" w14:textId="4C6D86D7" w:rsidR="0025564C" w:rsidRPr="007D1379" w:rsidRDefault="0025564C" w:rsidP="000A04C8">
            <w:pPr>
              <w:pStyle w:val="TableBodyText"/>
            </w:pPr>
            <w:r>
              <w:t>Receipts from contracts with customers (inclusive of Goods and Service Tax)</w:t>
            </w:r>
          </w:p>
        </w:tc>
        <w:tc>
          <w:tcPr>
            <w:tcW w:w="735" w:type="pct"/>
            <w:vAlign w:val="top"/>
          </w:tcPr>
          <w:p w14:paraId="0E8B142A" w14:textId="77777777" w:rsidR="0025564C" w:rsidRDefault="0025564C" w:rsidP="000A04C8">
            <w:pPr>
              <w:pStyle w:val="TableBodyText"/>
            </w:pPr>
            <w:r>
              <w:t>N/A</w:t>
            </w:r>
          </w:p>
        </w:tc>
        <w:tc>
          <w:tcPr>
            <w:tcW w:w="737" w:type="pct"/>
            <w:vAlign w:val="top"/>
          </w:tcPr>
          <w:p w14:paraId="089159E4" w14:textId="676993A4" w:rsidR="0025564C" w:rsidRPr="005A7F6A" w:rsidRDefault="0025564C" w:rsidP="000A04C8">
            <w:pPr>
              <w:pStyle w:val="TableBodyText"/>
            </w:pPr>
            <w:r>
              <w:t>2,048,095</w:t>
            </w:r>
          </w:p>
        </w:tc>
        <w:tc>
          <w:tcPr>
            <w:tcW w:w="731" w:type="pct"/>
            <w:vAlign w:val="top"/>
          </w:tcPr>
          <w:p w14:paraId="4B323002" w14:textId="2B24D1B7" w:rsidR="0025564C" w:rsidRPr="005A7F6A" w:rsidRDefault="0025564C" w:rsidP="000A04C8">
            <w:pPr>
              <w:pStyle w:val="TableBodyText"/>
            </w:pPr>
            <w:r>
              <w:t>2,055,021</w:t>
            </w:r>
          </w:p>
        </w:tc>
      </w:tr>
      <w:tr w:rsidR="0025564C" w:rsidRPr="005A7F6A" w14:paraId="089A2D4F" w14:textId="77777777" w:rsidTr="000A04C8">
        <w:trPr>
          <w:trHeight w:val="20"/>
        </w:trPr>
        <w:tc>
          <w:tcPr>
            <w:tcW w:w="2797" w:type="pct"/>
            <w:vAlign w:val="top"/>
          </w:tcPr>
          <w:p w14:paraId="66696333" w14:textId="2DF5E386" w:rsidR="0025564C" w:rsidRPr="005A7F6A" w:rsidRDefault="0025564C" w:rsidP="000A04C8">
            <w:pPr>
              <w:pStyle w:val="TableBodyText"/>
            </w:pPr>
            <w:r>
              <w:t>Payments to suppliers and employees (inclusive of Goods and Service Tax)</w:t>
            </w:r>
          </w:p>
        </w:tc>
        <w:tc>
          <w:tcPr>
            <w:tcW w:w="735" w:type="pct"/>
            <w:vAlign w:val="top"/>
          </w:tcPr>
          <w:p w14:paraId="740F8F24" w14:textId="77777777" w:rsidR="0025564C" w:rsidRDefault="0025564C" w:rsidP="000A04C8">
            <w:pPr>
              <w:pStyle w:val="TableBodyText"/>
            </w:pPr>
            <w:r>
              <w:t>N/A</w:t>
            </w:r>
          </w:p>
        </w:tc>
        <w:tc>
          <w:tcPr>
            <w:tcW w:w="737" w:type="pct"/>
            <w:vAlign w:val="top"/>
          </w:tcPr>
          <w:p w14:paraId="13F33C56" w14:textId="66AD827D" w:rsidR="0025564C" w:rsidRPr="005A7F6A" w:rsidRDefault="0025564C" w:rsidP="000A04C8">
            <w:pPr>
              <w:pStyle w:val="TableBodyText"/>
            </w:pPr>
            <w:r>
              <w:t>(755,324)</w:t>
            </w:r>
          </w:p>
        </w:tc>
        <w:tc>
          <w:tcPr>
            <w:tcW w:w="731" w:type="pct"/>
            <w:vAlign w:val="top"/>
          </w:tcPr>
          <w:p w14:paraId="755E6437" w14:textId="3D8AE36B" w:rsidR="0025564C" w:rsidRPr="005A7F6A" w:rsidRDefault="0025564C" w:rsidP="000A04C8">
            <w:pPr>
              <w:pStyle w:val="TableBodyText"/>
            </w:pPr>
            <w:r>
              <w:t>(736,379)</w:t>
            </w:r>
          </w:p>
        </w:tc>
      </w:tr>
      <w:tr w:rsidR="0025564C" w:rsidRPr="005A7F6A" w14:paraId="52E3D5AC" w14:textId="77777777" w:rsidTr="000A04C8">
        <w:trPr>
          <w:trHeight w:val="20"/>
        </w:trPr>
        <w:tc>
          <w:tcPr>
            <w:tcW w:w="2797" w:type="pct"/>
            <w:vAlign w:val="top"/>
          </w:tcPr>
          <w:p w14:paraId="559760EC" w14:textId="5C04E920" w:rsidR="0025564C" w:rsidRDefault="0025564C" w:rsidP="000A04C8">
            <w:pPr>
              <w:pStyle w:val="TableBodyText"/>
            </w:pPr>
            <w:r>
              <w:t>Income tax paid</w:t>
            </w:r>
          </w:p>
        </w:tc>
        <w:tc>
          <w:tcPr>
            <w:tcW w:w="735" w:type="pct"/>
            <w:vAlign w:val="top"/>
          </w:tcPr>
          <w:p w14:paraId="2B6E27E9" w14:textId="5C37C5A8" w:rsidR="0025564C" w:rsidRDefault="0025564C" w:rsidP="000A04C8">
            <w:pPr>
              <w:pStyle w:val="TableBodyText"/>
            </w:pPr>
            <w:r>
              <w:t>N/A</w:t>
            </w:r>
          </w:p>
        </w:tc>
        <w:tc>
          <w:tcPr>
            <w:tcW w:w="737" w:type="pct"/>
            <w:vAlign w:val="top"/>
          </w:tcPr>
          <w:p w14:paraId="3BFDD7E2" w14:textId="13B1605F" w:rsidR="0025564C" w:rsidRDefault="0025564C" w:rsidP="000A04C8">
            <w:pPr>
              <w:pStyle w:val="TableBodyText"/>
            </w:pPr>
            <w:r>
              <w:t>(130,613)</w:t>
            </w:r>
          </w:p>
        </w:tc>
        <w:tc>
          <w:tcPr>
            <w:tcW w:w="731" w:type="pct"/>
            <w:vAlign w:val="top"/>
          </w:tcPr>
          <w:p w14:paraId="144FC276" w14:textId="557FAC54" w:rsidR="0025564C" w:rsidRDefault="0025564C" w:rsidP="000A04C8">
            <w:pPr>
              <w:pStyle w:val="TableBodyText"/>
            </w:pPr>
            <w:r>
              <w:t>(152,964)</w:t>
            </w:r>
          </w:p>
        </w:tc>
      </w:tr>
      <w:tr w:rsidR="0025564C" w:rsidRPr="005A7F6A" w14:paraId="14F9583E" w14:textId="77777777" w:rsidTr="000A04C8">
        <w:trPr>
          <w:trHeight w:val="20"/>
        </w:trPr>
        <w:tc>
          <w:tcPr>
            <w:tcW w:w="2797" w:type="pct"/>
            <w:vAlign w:val="top"/>
          </w:tcPr>
          <w:p w14:paraId="60652FAB" w14:textId="3AA43FD0" w:rsidR="0025564C" w:rsidRDefault="0025564C" w:rsidP="000A04C8">
            <w:pPr>
              <w:pStyle w:val="TableBodyText"/>
            </w:pPr>
            <w:r>
              <w:t>Interest received</w:t>
            </w:r>
          </w:p>
        </w:tc>
        <w:tc>
          <w:tcPr>
            <w:tcW w:w="735" w:type="pct"/>
            <w:vAlign w:val="top"/>
          </w:tcPr>
          <w:p w14:paraId="24E2A8FC" w14:textId="376690C6" w:rsidR="0025564C" w:rsidRDefault="0025564C" w:rsidP="000A04C8">
            <w:pPr>
              <w:pStyle w:val="TableBodyText"/>
            </w:pPr>
            <w:r>
              <w:t>N/A</w:t>
            </w:r>
          </w:p>
        </w:tc>
        <w:tc>
          <w:tcPr>
            <w:tcW w:w="737" w:type="pct"/>
            <w:vAlign w:val="top"/>
          </w:tcPr>
          <w:p w14:paraId="26799AAC" w14:textId="786000B9" w:rsidR="0025564C" w:rsidRDefault="0025564C" w:rsidP="000A04C8">
            <w:pPr>
              <w:pStyle w:val="TableBodyText"/>
            </w:pPr>
            <w:r>
              <w:t>110</w:t>
            </w:r>
          </w:p>
        </w:tc>
        <w:tc>
          <w:tcPr>
            <w:tcW w:w="731" w:type="pct"/>
            <w:vAlign w:val="top"/>
          </w:tcPr>
          <w:p w14:paraId="222F8B22" w14:textId="67B80326" w:rsidR="0025564C" w:rsidRDefault="0025564C" w:rsidP="000A04C8">
            <w:pPr>
              <w:pStyle w:val="TableBodyText"/>
            </w:pPr>
            <w:r>
              <w:t>79</w:t>
            </w:r>
          </w:p>
        </w:tc>
      </w:tr>
      <w:tr w:rsidR="0025564C" w:rsidRPr="005A7F6A" w14:paraId="5C18D190" w14:textId="77777777" w:rsidTr="000A04C8">
        <w:trPr>
          <w:trHeight w:val="20"/>
        </w:trPr>
        <w:tc>
          <w:tcPr>
            <w:tcW w:w="2797" w:type="pct"/>
            <w:vAlign w:val="top"/>
          </w:tcPr>
          <w:p w14:paraId="2AB59378" w14:textId="1C842E70" w:rsidR="0025564C" w:rsidRDefault="0025564C" w:rsidP="000A04C8">
            <w:pPr>
              <w:pStyle w:val="TableBodyText"/>
            </w:pPr>
            <w:r>
              <w:t>Interest and other costs of finance paid</w:t>
            </w:r>
          </w:p>
        </w:tc>
        <w:tc>
          <w:tcPr>
            <w:tcW w:w="735" w:type="pct"/>
            <w:vAlign w:val="top"/>
          </w:tcPr>
          <w:p w14:paraId="12E73C5C" w14:textId="2247A18E" w:rsidR="0025564C" w:rsidRDefault="0025564C" w:rsidP="000A04C8">
            <w:pPr>
              <w:pStyle w:val="TableBodyText"/>
            </w:pPr>
            <w:r>
              <w:t>N/A</w:t>
            </w:r>
          </w:p>
        </w:tc>
        <w:tc>
          <w:tcPr>
            <w:tcW w:w="737" w:type="pct"/>
            <w:vAlign w:val="top"/>
          </w:tcPr>
          <w:p w14:paraId="4C036020" w14:textId="190C2024" w:rsidR="0025564C" w:rsidRDefault="0025564C" w:rsidP="000A04C8">
            <w:pPr>
              <w:pStyle w:val="TableBodyText"/>
            </w:pPr>
            <w:r>
              <w:t>(579,960)</w:t>
            </w:r>
          </w:p>
        </w:tc>
        <w:tc>
          <w:tcPr>
            <w:tcW w:w="731" w:type="pct"/>
            <w:vAlign w:val="top"/>
          </w:tcPr>
          <w:p w14:paraId="388B8923" w14:textId="00384875" w:rsidR="0025564C" w:rsidRDefault="0025564C" w:rsidP="000A04C8">
            <w:pPr>
              <w:pStyle w:val="TableBodyText"/>
            </w:pPr>
            <w:r>
              <w:t>(610,471)</w:t>
            </w:r>
          </w:p>
        </w:tc>
      </w:tr>
      <w:tr w:rsidR="0025564C" w:rsidRPr="005A7F6A" w14:paraId="54A1A75A" w14:textId="77777777" w:rsidTr="000A04C8">
        <w:trPr>
          <w:trHeight w:val="20"/>
        </w:trPr>
        <w:tc>
          <w:tcPr>
            <w:tcW w:w="2797" w:type="pct"/>
            <w:vAlign w:val="top"/>
          </w:tcPr>
          <w:p w14:paraId="47AF886F" w14:textId="23134F1F" w:rsidR="0025564C" w:rsidRDefault="0025564C" w:rsidP="000A04C8">
            <w:pPr>
              <w:pStyle w:val="TableBodyText"/>
            </w:pPr>
            <w:r>
              <w:t>Other receipts</w:t>
            </w:r>
          </w:p>
        </w:tc>
        <w:tc>
          <w:tcPr>
            <w:tcW w:w="735" w:type="pct"/>
            <w:vAlign w:val="top"/>
          </w:tcPr>
          <w:p w14:paraId="3411F28D" w14:textId="77E58AF0" w:rsidR="0025564C" w:rsidRDefault="0025564C" w:rsidP="000A04C8">
            <w:pPr>
              <w:pStyle w:val="TableBodyText"/>
            </w:pPr>
            <w:r>
              <w:t>N/A</w:t>
            </w:r>
          </w:p>
        </w:tc>
        <w:tc>
          <w:tcPr>
            <w:tcW w:w="737" w:type="pct"/>
            <w:vAlign w:val="top"/>
          </w:tcPr>
          <w:p w14:paraId="2F92D81A" w14:textId="5F9806EB" w:rsidR="0025564C" w:rsidRDefault="0025564C" w:rsidP="000A04C8">
            <w:pPr>
              <w:pStyle w:val="TableBodyText"/>
            </w:pPr>
            <w:r>
              <w:t>15,121</w:t>
            </w:r>
          </w:p>
        </w:tc>
        <w:tc>
          <w:tcPr>
            <w:tcW w:w="731" w:type="pct"/>
            <w:vAlign w:val="top"/>
          </w:tcPr>
          <w:p w14:paraId="2F791EDC" w14:textId="310F4C20" w:rsidR="0025564C" w:rsidRDefault="0025564C" w:rsidP="000A04C8">
            <w:pPr>
              <w:pStyle w:val="TableBodyText"/>
            </w:pPr>
            <w:r>
              <w:t>2,652</w:t>
            </w:r>
          </w:p>
        </w:tc>
      </w:tr>
      <w:tr w:rsidR="0025564C" w:rsidRPr="005A7F6A" w14:paraId="5856BE8E" w14:textId="77777777" w:rsidTr="000A04C8">
        <w:trPr>
          <w:trHeight w:val="20"/>
        </w:trPr>
        <w:tc>
          <w:tcPr>
            <w:tcW w:w="2797" w:type="pct"/>
            <w:tcBorders>
              <w:bottom w:val="single" w:sz="4" w:space="0" w:color="auto"/>
            </w:tcBorders>
            <w:vAlign w:val="top"/>
          </w:tcPr>
          <w:p w14:paraId="74150C05" w14:textId="52F2454A" w:rsidR="0025564C" w:rsidRDefault="0025564C" w:rsidP="000A04C8">
            <w:pPr>
              <w:pStyle w:val="TableBodyText"/>
            </w:pPr>
            <w:r>
              <w:t>Payments for low value, short-term and variable lease payments</w:t>
            </w:r>
          </w:p>
        </w:tc>
        <w:tc>
          <w:tcPr>
            <w:tcW w:w="735" w:type="pct"/>
            <w:tcBorders>
              <w:bottom w:val="single" w:sz="4" w:space="0" w:color="auto"/>
            </w:tcBorders>
            <w:vAlign w:val="top"/>
          </w:tcPr>
          <w:p w14:paraId="667B0876" w14:textId="3311ACFA" w:rsidR="0025564C" w:rsidRDefault="0025564C" w:rsidP="000A04C8">
            <w:pPr>
              <w:pStyle w:val="TableBodyText"/>
            </w:pPr>
            <w:r>
              <w:t>N/A</w:t>
            </w:r>
          </w:p>
        </w:tc>
        <w:tc>
          <w:tcPr>
            <w:tcW w:w="737" w:type="pct"/>
            <w:tcBorders>
              <w:bottom w:val="single" w:sz="4" w:space="0" w:color="auto"/>
            </w:tcBorders>
            <w:vAlign w:val="top"/>
          </w:tcPr>
          <w:p w14:paraId="19007F65" w14:textId="2E50B732" w:rsidR="0025564C" w:rsidRDefault="0025564C" w:rsidP="000A04C8">
            <w:pPr>
              <w:pStyle w:val="TableBodyText"/>
            </w:pPr>
            <w:r>
              <w:t>(2,565)</w:t>
            </w:r>
          </w:p>
        </w:tc>
        <w:tc>
          <w:tcPr>
            <w:tcW w:w="731" w:type="pct"/>
            <w:tcBorders>
              <w:bottom w:val="single" w:sz="4" w:space="0" w:color="auto"/>
            </w:tcBorders>
            <w:vAlign w:val="top"/>
          </w:tcPr>
          <w:p w14:paraId="43240814" w14:textId="0CE6AF7C" w:rsidR="0025564C" w:rsidRDefault="0025564C" w:rsidP="000A04C8">
            <w:pPr>
              <w:pStyle w:val="TableBodyText"/>
            </w:pPr>
            <w:r>
              <w:t>(2,625)</w:t>
            </w:r>
          </w:p>
        </w:tc>
      </w:tr>
      <w:tr w:rsidR="0025564C" w:rsidRPr="005A7F6A" w14:paraId="59158E68" w14:textId="77777777" w:rsidTr="000A04C8">
        <w:trPr>
          <w:trHeight w:val="20"/>
        </w:trPr>
        <w:tc>
          <w:tcPr>
            <w:tcW w:w="2797" w:type="pct"/>
            <w:tcBorders>
              <w:top w:val="single" w:sz="4" w:space="0" w:color="auto"/>
              <w:bottom w:val="single" w:sz="4" w:space="0" w:color="auto"/>
            </w:tcBorders>
            <w:vAlign w:val="top"/>
          </w:tcPr>
          <w:p w14:paraId="1DC8ECFE" w14:textId="7CBE2332" w:rsidR="0025564C" w:rsidRPr="00245640" w:rsidRDefault="0025564C" w:rsidP="000A04C8">
            <w:pPr>
              <w:pStyle w:val="TableBodyText"/>
              <w:rPr>
                <w:rStyle w:val="Bold"/>
              </w:rPr>
            </w:pPr>
            <w:r w:rsidRPr="00245640">
              <w:rPr>
                <w:rStyle w:val="Bold"/>
              </w:rPr>
              <w:t>Net cash inflow from operating activities</w:t>
            </w:r>
          </w:p>
        </w:tc>
        <w:tc>
          <w:tcPr>
            <w:tcW w:w="735" w:type="pct"/>
            <w:tcBorders>
              <w:top w:val="single" w:sz="4" w:space="0" w:color="auto"/>
              <w:bottom w:val="single" w:sz="4" w:space="0" w:color="auto"/>
            </w:tcBorders>
            <w:vAlign w:val="top"/>
          </w:tcPr>
          <w:p w14:paraId="40389614" w14:textId="6E5C6796" w:rsidR="0025564C" w:rsidRDefault="002B0B65" w:rsidP="000A04C8">
            <w:pPr>
              <w:pStyle w:val="TableBodyText"/>
            </w:pPr>
            <w:r>
              <w:fldChar w:fldCharType="begin"/>
            </w:r>
            <w:r>
              <w:instrText xml:space="preserve"> REF Note52 \h </w:instrText>
            </w:r>
            <w:r>
              <w:fldChar w:fldCharType="separate"/>
            </w:r>
            <w:r w:rsidR="00472151">
              <w:t xml:space="preserve">5.2 </w:t>
            </w:r>
            <w:r>
              <w:fldChar w:fldCharType="end"/>
            </w:r>
          </w:p>
        </w:tc>
        <w:tc>
          <w:tcPr>
            <w:tcW w:w="737" w:type="pct"/>
            <w:tcBorders>
              <w:top w:val="single" w:sz="4" w:space="0" w:color="auto"/>
              <w:bottom w:val="single" w:sz="4" w:space="0" w:color="auto"/>
            </w:tcBorders>
            <w:vAlign w:val="top"/>
          </w:tcPr>
          <w:p w14:paraId="55E253E2" w14:textId="2FB11117" w:rsidR="0025564C" w:rsidRPr="00245640" w:rsidRDefault="0025564C" w:rsidP="000A04C8">
            <w:pPr>
              <w:pStyle w:val="TableBodyText"/>
              <w:rPr>
                <w:rStyle w:val="Bold"/>
              </w:rPr>
            </w:pPr>
            <w:r w:rsidRPr="00245640">
              <w:rPr>
                <w:rStyle w:val="Bold"/>
              </w:rPr>
              <w:t>594,864</w:t>
            </w:r>
          </w:p>
        </w:tc>
        <w:tc>
          <w:tcPr>
            <w:tcW w:w="731" w:type="pct"/>
            <w:tcBorders>
              <w:top w:val="single" w:sz="4" w:space="0" w:color="auto"/>
              <w:bottom w:val="single" w:sz="4" w:space="0" w:color="auto"/>
            </w:tcBorders>
            <w:vAlign w:val="top"/>
          </w:tcPr>
          <w:p w14:paraId="66B8DE0A" w14:textId="4039D12B" w:rsidR="0025564C" w:rsidRPr="00245640" w:rsidRDefault="0025564C" w:rsidP="000A04C8">
            <w:pPr>
              <w:pStyle w:val="TableBodyText"/>
              <w:rPr>
                <w:rStyle w:val="Bold"/>
              </w:rPr>
            </w:pPr>
            <w:r w:rsidRPr="00245640">
              <w:rPr>
                <w:rStyle w:val="Bold"/>
              </w:rPr>
              <w:t>555,313</w:t>
            </w:r>
          </w:p>
        </w:tc>
      </w:tr>
      <w:tr w:rsidR="0025564C" w:rsidRPr="007D1379" w14:paraId="6D656033" w14:textId="77777777" w:rsidTr="000A04C8">
        <w:trPr>
          <w:trHeight w:val="20"/>
        </w:trPr>
        <w:tc>
          <w:tcPr>
            <w:tcW w:w="2797" w:type="pct"/>
            <w:tcBorders>
              <w:top w:val="single" w:sz="4" w:space="0" w:color="auto"/>
            </w:tcBorders>
            <w:vAlign w:val="top"/>
          </w:tcPr>
          <w:p w14:paraId="2B051BE0" w14:textId="484494DF" w:rsidR="0025564C" w:rsidRPr="00245640" w:rsidRDefault="00245640" w:rsidP="000A04C8">
            <w:pPr>
              <w:pStyle w:val="TableBodyText"/>
              <w:rPr>
                <w:rStyle w:val="Bold"/>
              </w:rPr>
            </w:pPr>
            <w:r w:rsidRPr="00245640">
              <w:rPr>
                <w:rStyle w:val="Bold"/>
              </w:rPr>
              <w:t>Cash inflows from investing activities</w:t>
            </w:r>
          </w:p>
        </w:tc>
        <w:tc>
          <w:tcPr>
            <w:tcW w:w="735" w:type="pct"/>
            <w:tcBorders>
              <w:top w:val="single" w:sz="4" w:space="0" w:color="auto"/>
            </w:tcBorders>
            <w:vAlign w:val="top"/>
          </w:tcPr>
          <w:p w14:paraId="7E0B3005" w14:textId="3F6172F9" w:rsidR="0025564C" w:rsidRPr="007D1379" w:rsidRDefault="00245640" w:rsidP="000A04C8">
            <w:pPr>
              <w:pStyle w:val="TableBodyText"/>
            </w:pPr>
            <w:r>
              <w:t>N/A</w:t>
            </w:r>
          </w:p>
        </w:tc>
        <w:tc>
          <w:tcPr>
            <w:tcW w:w="737" w:type="pct"/>
            <w:tcBorders>
              <w:top w:val="single" w:sz="4" w:space="0" w:color="auto"/>
            </w:tcBorders>
            <w:vAlign w:val="top"/>
          </w:tcPr>
          <w:p w14:paraId="0E3E333E" w14:textId="43AD9A36" w:rsidR="0025564C" w:rsidRPr="0025564C" w:rsidRDefault="00245640" w:rsidP="000A04C8">
            <w:pPr>
              <w:pStyle w:val="TableBodyText"/>
            </w:pPr>
            <w:r>
              <w:t>N/A</w:t>
            </w:r>
          </w:p>
        </w:tc>
        <w:tc>
          <w:tcPr>
            <w:tcW w:w="731" w:type="pct"/>
            <w:tcBorders>
              <w:top w:val="single" w:sz="4" w:space="0" w:color="auto"/>
            </w:tcBorders>
            <w:vAlign w:val="top"/>
          </w:tcPr>
          <w:p w14:paraId="03409C15" w14:textId="4DA18162" w:rsidR="0025564C" w:rsidRPr="0025564C" w:rsidRDefault="00245640" w:rsidP="000A04C8">
            <w:pPr>
              <w:pStyle w:val="TableBodyText"/>
            </w:pPr>
            <w:r>
              <w:t>N/A</w:t>
            </w:r>
          </w:p>
        </w:tc>
      </w:tr>
      <w:tr w:rsidR="0025564C" w:rsidRPr="005A7F6A" w14:paraId="4FDE0257" w14:textId="77777777" w:rsidTr="000A04C8">
        <w:trPr>
          <w:trHeight w:val="20"/>
        </w:trPr>
        <w:tc>
          <w:tcPr>
            <w:tcW w:w="2797" w:type="pct"/>
            <w:vAlign w:val="top"/>
          </w:tcPr>
          <w:p w14:paraId="65286A0E" w14:textId="5A4F28A0" w:rsidR="0025564C" w:rsidRPr="007D1379" w:rsidRDefault="00245640" w:rsidP="000A04C8">
            <w:pPr>
              <w:pStyle w:val="TableBodyText"/>
            </w:pPr>
            <w:r>
              <w:t>Payments for property, plant and equipment, and intangibles</w:t>
            </w:r>
          </w:p>
        </w:tc>
        <w:tc>
          <w:tcPr>
            <w:tcW w:w="735" w:type="pct"/>
            <w:vAlign w:val="top"/>
          </w:tcPr>
          <w:p w14:paraId="5A7979B8" w14:textId="77777777" w:rsidR="0025564C" w:rsidRDefault="0025564C" w:rsidP="000A04C8">
            <w:pPr>
              <w:pStyle w:val="TableBodyText"/>
            </w:pPr>
            <w:r>
              <w:t>N/A</w:t>
            </w:r>
          </w:p>
        </w:tc>
        <w:tc>
          <w:tcPr>
            <w:tcW w:w="737" w:type="pct"/>
            <w:vAlign w:val="top"/>
          </w:tcPr>
          <w:p w14:paraId="013F717F" w14:textId="25FDE516" w:rsidR="0025564C" w:rsidRPr="005A7F6A" w:rsidRDefault="00245640" w:rsidP="000A04C8">
            <w:pPr>
              <w:pStyle w:val="TableBodyText"/>
            </w:pPr>
            <w:r>
              <w:t>(605,952)</w:t>
            </w:r>
          </w:p>
        </w:tc>
        <w:tc>
          <w:tcPr>
            <w:tcW w:w="731" w:type="pct"/>
            <w:vAlign w:val="top"/>
          </w:tcPr>
          <w:p w14:paraId="79F1CCF5" w14:textId="05557AC8" w:rsidR="0025564C" w:rsidRPr="005A7F6A" w:rsidRDefault="00245640" w:rsidP="000A04C8">
            <w:pPr>
              <w:pStyle w:val="TableBodyText"/>
            </w:pPr>
            <w:r>
              <w:t>(492,274)</w:t>
            </w:r>
          </w:p>
        </w:tc>
      </w:tr>
      <w:tr w:rsidR="0025564C" w:rsidRPr="00004893" w14:paraId="717DEF17" w14:textId="77777777" w:rsidTr="000A04C8">
        <w:trPr>
          <w:trHeight w:val="20"/>
        </w:trPr>
        <w:tc>
          <w:tcPr>
            <w:tcW w:w="2797" w:type="pct"/>
            <w:tcBorders>
              <w:bottom w:val="single" w:sz="4" w:space="0" w:color="auto"/>
            </w:tcBorders>
            <w:vAlign w:val="top"/>
          </w:tcPr>
          <w:p w14:paraId="130CA684" w14:textId="7E4BAA5C" w:rsidR="0025564C" w:rsidRPr="007456A5" w:rsidRDefault="00245640" w:rsidP="000A04C8">
            <w:pPr>
              <w:pStyle w:val="TableBodyText"/>
            </w:pPr>
            <w:r>
              <w:t>Proceeds from sales of property, plant and equipment, and intangibles</w:t>
            </w:r>
          </w:p>
        </w:tc>
        <w:tc>
          <w:tcPr>
            <w:tcW w:w="735" w:type="pct"/>
            <w:tcBorders>
              <w:bottom w:val="single" w:sz="4" w:space="0" w:color="auto"/>
            </w:tcBorders>
            <w:vAlign w:val="top"/>
          </w:tcPr>
          <w:p w14:paraId="675CC06F" w14:textId="3ED38309" w:rsidR="0025564C" w:rsidRDefault="00245640" w:rsidP="000A04C8">
            <w:pPr>
              <w:pStyle w:val="TableBodyText"/>
            </w:pPr>
            <w:r>
              <w:t>N/A</w:t>
            </w:r>
          </w:p>
        </w:tc>
        <w:tc>
          <w:tcPr>
            <w:tcW w:w="737" w:type="pct"/>
            <w:tcBorders>
              <w:bottom w:val="single" w:sz="4" w:space="0" w:color="auto"/>
            </w:tcBorders>
            <w:vAlign w:val="top"/>
          </w:tcPr>
          <w:p w14:paraId="6C4F6226" w14:textId="51155FB4" w:rsidR="0025564C" w:rsidRPr="00004893" w:rsidRDefault="00245640" w:rsidP="000A04C8">
            <w:pPr>
              <w:pStyle w:val="TableBodyText"/>
            </w:pPr>
            <w:r>
              <w:t>16,820</w:t>
            </w:r>
          </w:p>
        </w:tc>
        <w:tc>
          <w:tcPr>
            <w:tcW w:w="731" w:type="pct"/>
            <w:tcBorders>
              <w:bottom w:val="single" w:sz="4" w:space="0" w:color="auto"/>
            </w:tcBorders>
            <w:vAlign w:val="top"/>
          </w:tcPr>
          <w:p w14:paraId="3C75475D" w14:textId="20692890" w:rsidR="0025564C" w:rsidRPr="007456A5" w:rsidRDefault="00245640" w:rsidP="000A04C8">
            <w:pPr>
              <w:pStyle w:val="TableBodyText"/>
            </w:pPr>
            <w:r>
              <w:t>36,698</w:t>
            </w:r>
          </w:p>
        </w:tc>
      </w:tr>
      <w:tr w:rsidR="0025564C" w:rsidRPr="007D1379" w14:paraId="01D41E83" w14:textId="77777777" w:rsidTr="000A04C8">
        <w:trPr>
          <w:trHeight w:val="20"/>
        </w:trPr>
        <w:tc>
          <w:tcPr>
            <w:tcW w:w="2797" w:type="pct"/>
            <w:tcBorders>
              <w:top w:val="single" w:sz="4" w:space="0" w:color="auto"/>
              <w:bottom w:val="single" w:sz="4" w:space="0" w:color="auto"/>
            </w:tcBorders>
            <w:vAlign w:val="top"/>
          </w:tcPr>
          <w:p w14:paraId="074A44F6" w14:textId="1451EA10" w:rsidR="0025564C" w:rsidRPr="00245640" w:rsidRDefault="00245640" w:rsidP="000A04C8">
            <w:pPr>
              <w:pStyle w:val="TableBodyText"/>
              <w:rPr>
                <w:rStyle w:val="Bold"/>
              </w:rPr>
            </w:pPr>
            <w:r w:rsidRPr="00245640">
              <w:rPr>
                <w:rStyle w:val="Bold"/>
              </w:rPr>
              <w:t>Net cash (outflow) from investing activities</w:t>
            </w:r>
          </w:p>
        </w:tc>
        <w:tc>
          <w:tcPr>
            <w:tcW w:w="735" w:type="pct"/>
            <w:tcBorders>
              <w:top w:val="single" w:sz="4" w:space="0" w:color="auto"/>
              <w:bottom w:val="single" w:sz="4" w:space="0" w:color="auto"/>
            </w:tcBorders>
            <w:vAlign w:val="top"/>
          </w:tcPr>
          <w:p w14:paraId="474451BB" w14:textId="77777777" w:rsidR="0025564C" w:rsidRPr="007D1379" w:rsidRDefault="0025564C" w:rsidP="000A04C8">
            <w:pPr>
              <w:pStyle w:val="TableBodyText"/>
            </w:pPr>
            <w:r w:rsidRPr="007D1379">
              <w:t>N/A</w:t>
            </w:r>
          </w:p>
        </w:tc>
        <w:tc>
          <w:tcPr>
            <w:tcW w:w="737" w:type="pct"/>
            <w:tcBorders>
              <w:top w:val="single" w:sz="4" w:space="0" w:color="auto"/>
              <w:bottom w:val="single" w:sz="4" w:space="0" w:color="auto"/>
            </w:tcBorders>
            <w:vAlign w:val="top"/>
          </w:tcPr>
          <w:p w14:paraId="23004DE6" w14:textId="265DB5D4" w:rsidR="0025564C" w:rsidRPr="00245640" w:rsidRDefault="00245640" w:rsidP="000A04C8">
            <w:pPr>
              <w:pStyle w:val="TableBodyText"/>
              <w:rPr>
                <w:rStyle w:val="Bold"/>
              </w:rPr>
            </w:pPr>
            <w:r w:rsidRPr="00245640">
              <w:rPr>
                <w:rStyle w:val="Bold"/>
              </w:rPr>
              <w:t>(589,132)</w:t>
            </w:r>
          </w:p>
        </w:tc>
        <w:tc>
          <w:tcPr>
            <w:tcW w:w="731" w:type="pct"/>
            <w:tcBorders>
              <w:top w:val="single" w:sz="4" w:space="0" w:color="auto"/>
              <w:bottom w:val="single" w:sz="4" w:space="0" w:color="auto"/>
            </w:tcBorders>
            <w:vAlign w:val="top"/>
          </w:tcPr>
          <w:p w14:paraId="5DB937A9" w14:textId="549049CD" w:rsidR="0025564C" w:rsidRPr="00245640" w:rsidRDefault="00245640" w:rsidP="000A04C8">
            <w:pPr>
              <w:pStyle w:val="TableBodyText"/>
              <w:rPr>
                <w:rStyle w:val="Bold"/>
              </w:rPr>
            </w:pPr>
            <w:r w:rsidRPr="00245640">
              <w:rPr>
                <w:rStyle w:val="Bold"/>
              </w:rPr>
              <w:t>(455,576)</w:t>
            </w:r>
          </w:p>
        </w:tc>
      </w:tr>
      <w:tr w:rsidR="0025564C" w:rsidRPr="007D1379" w14:paraId="78408ABC" w14:textId="77777777" w:rsidTr="000A04C8">
        <w:trPr>
          <w:trHeight w:val="20"/>
        </w:trPr>
        <w:tc>
          <w:tcPr>
            <w:tcW w:w="2797" w:type="pct"/>
            <w:tcBorders>
              <w:top w:val="single" w:sz="4" w:space="0" w:color="auto"/>
            </w:tcBorders>
            <w:vAlign w:val="top"/>
          </w:tcPr>
          <w:p w14:paraId="41A344E2" w14:textId="621728B9" w:rsidR="0025564C" w:rsidRPr="00245640" w:rsidRDefault="00245640" w:rsidP="000A04C8">
            <w:pPr>
              <w:pStyle w:val="TableBodyText"/>
              <w:rPr>
                <w:rStyle w:val="Bold"/>
              </w:rPr>
            </w:pPr>
            <w:r w:rsidRPr="00245640">
              <w:rPr>
                <w:rStyle w:val="Bold"/>
              </w:rPr>
              <w:t>Cash flows from financing activities</w:t>
            </w:r>
          </w:p>
        </w:tc>
        <w:tc>
          <w:tcPr>
            <w:tcW w:w="735" w:type="pct"/>
            <w:tcBorders>
              <w:top w:val="single" w:sz="4" w:space="0" w:color="auto"/>
            </w:tcBorders>
            <w:vAlign w:val="top"/>
          </w:tcPr>
          <w:p w14:paraId="2F965BE9" w14:textId="6DE1EE51" w:rsidR="0025564C" w:rsidRPr="007D1379" w:rsidRDefault="00245640" w:rsidP="000A04C8">
            <w:pPr>
              <w:pStyle w:val="TableBodyText"/>
            </w:pPr>
            <w:r>
              <w:t>N/A</w:t>
            </w:r>
          </w:p>
        </w:tc>
        <w:tc>
          <w:tcPr>
            <w:tcW w:w="737" w:type="pct"/>
            <w:tcBorders>
              <w:top w:val="single" w:sz="4" w:space="0" w:color="auto"/>
            </w:tcBorders>
            <w:vAlign w:val="top"/>
          </w:tcPr>
          <w:p w14:paraId="3650C0E7" w14:textId="6D085989" w:rsidR="0025564C" w:rsidRPr="007D1379" w:rsidRDefault="00245640" w:rsidP="000A04C8">
            <w:pPr>
              <w:pStyle w:val="TableBodyText"/>
            </w:pPr>
            <w:r>
              <w:t>N/A</w:t>
            </w:r>
          </w:p>
        </w:tc>
        <w:tc>
          <w:tcPr>
            <w:tcW w:w="731" w:type="pct"/>
            <w:tcBorders>
              <w:top w:val="single" w:sz="4" w:space="0" w:color="auto"/>
            </w:tcBorders>
            <w:vAlign w:val="top"/>
          </w:tcPr>
          <w:p w14:paraId="53052DCA" w14:textId="14CAD475" w:rsidR="0025564C" w:rsidRPr="007D1379" w:rsidRDefault="00245640" w:rsidP="000A04C8">
            <w:pPr>
              <w:pStyle w:val="TableBodyText"/>
            </w:pPr>
            <w:r>
              <w:t>N/A</w:t>
            </w:r>
          </w:p>
        </w:tc>
      </w:tr>
      <w:tr w:rsidR="0025564C" w:rsidRPr="007D1379" w14:paraId="4A2DF9B1" w14:textId="77777777" w:rsidTr="000A04C8">
        <w:trPr>
          <w:trHeight w:val="20"/>
        </w:trPr>
        <w:tc>
          <w:tcPr>
            <w:tcW w:w="2797" w:type="pct"/>
            <w:vAlign w:val="top"/>
          </w:tcPr>
          <w:p w14:paraId="5F17376B" w14:textId="5B8934DC" w:rsidR="00736DC0" w:rsidRPr="007D1379" w:rsidRDefault="00245640" w:rsidP="000A04C8">
            <w:pPr>
              <w:pStyle w:val="TableBodyText"/>
            </w:pPr>
            <w:r>
              <w:t>Proceeds from borrowings</w:t>
            </w:r>
            <w:r w:rsidR="00736DC0">
              <w:t xml:space="preserve"> </w:t>
            </w:r>
            <w:hyperlink w:anchor="NoteaStatementCashFlows" w:history="1">
              <w:r w:rsidR="00736DC0" w:rsidRPr="00736DC0">
                <w:rPr>
                  <w:rStyle w:val="Hyperlink"/>
                </w:rPr>
                <w:t>refer note</w:t>
              </w:r>
            </w:hyperlink>
          </w:p>
        </w:tc>
        <w:tc>
          <w:tcPr>
            <w:tcW w:w="735" w:type="pct"/>
            <w:vAlign w:val="top"/>
          </w:tcPr>
          <w:p w14:paraId="18B5FE15" w14:textId="6592C8EF" w:rsidR="0025564C" w:rsidRPr="007D1379" w:rsidRDefault="00245640" w:rsidP="000A04C8">
            <w:pPr>
              <w:pStyle w:val="TableBodyText"/>
            </w:pPr>
            <w:r>
              <w:t>N/A</w:t>
            </w:r>
          </w:p>
        </w:tc>
        <w:tc>
          <w:tcPr>
            <w:tcW w:w="737" w:type="pct"/>
            <w:vAlign w:val="top"/>
          </w:tcPr>
          <w:p w14:paraId="18E128EC" w14:textId="3664EE70" w:rsidR="0025564C" w:rsidRPr="007D1379" w:rsidRDefault="00245640" w:rsidP="000A04C8">
            <w:pPr>
              <w:pStyle w:val="TableBodyText"/>
            </w:pPr>
            <w:r>
              <w:t>92,145</w:t>
            </w:r>
          </w:p>
        </w:tc>
        <w:tc>
          <w:tcPr>
            <w:tcW w:w="731" w:type="pct"/>
            <w:vAlign w:val="top"/>
          </w:tcPr>
          <w:p w14:paraId="10EBAF8B" w14:textId="5379FAD4" w:rsidR="0025564C" w:rsidRPr="007D1379" w:rsidRDefault="00245640" w:rsidP="000A04C8">
            <w:pPr>
              <w:pStyle w:val="TableBodyText"/>
            </w:pPr>
            <w:r>
              <w:t>53,200</w:t>
            </w:r>
          </w:p>
        </w:tc>
      </w:tr>
      <w:tr w:rsidR="0025564C" w:rsidRPr="005A7F6A" w14:paraId="05652F24" w14:textId="77777777" w:rsidTr="000A04C8">
        <w:trPr>
          <w:trHeight w:val="20"/>
        </w:trPr>
        <w:tc>
          <w:tcPr>
            <w:tcW w:w="2797" w:type="pct"/>
            <w:vAlign w:val="top"/>
          </w:tcPr>
          <w:p w14:paraId="60D0C614" w14:textId="69FB4063" w:rsidR="0025564C" w:rsidRPr="007D1379" w:rsidRDefault="00245640" w:rsidP="000A04C8">
            <w:pPr>
              <w:pStyle w:val="TableBodyText"/>
            </w:pPr>
            <w:r>
              <w:t>Repayments for the Victorian Desalination Plant (VDP) service concession liability</w:t>
            </w:r>
          </w:p>
        </w:tc>
        <w:tc>
          <w:tcPr>
            <w:tcW w:w="735" w:type="pct"/>
            <w:vAlign w:val="top"/>
          </w:tcPr>
          <w:p w14:paraId="444BD1BF" w14:textId="5C80C63C" w:rsidR="0025564C" w:rsidRDefault="00245640" w:rsidP="000A04C8">
            <w:pPr>
              <w:pStyle w:val="TableBodyText"/>
            </w:pPr>
            <w:r>
              <w:t>N/A</w:t>
            </w:r>
          </w:p>
        </w:tc>
        <w:tc>
          <w:tcPr>
            <w:tcW w:w="737" w:type="pct"/>
            <w:vAlign w:val="top"/>
          </w:tcPr>
          <w:p w14:paraId="2BBA561E" w14:textId="199D0CE6" w:rsidR="0025564C" w:rsidRPr="005A7F6A" w:rsidRDefault="00245640" w:rsidP="000A04C8">
            <w:pPr>
              <w:pStyle w:val="TableBodyText"/>
            </w:pPr>
            <w:r>
              <w:t>(39,146)</w:t>
            </w:r>
          </w:p>
        </w:tc>
        <w:tc>
          <w:tcPr>
            <w:tcW w:w="731" w:type="pct"/>
            <w:vAlign w:val="top"/>
          </w:tcPr>
          <w:p w14:paraId="26868C8D" w14:textId="5216F0C3" w:rsidR="0025564C" w:rsidRPr="005A7F6A" w:rsidRDefault="00245640" w:rsidP="000A04C8">
            <w:pPr>
              <w:pStyle w:val="TableBodyText"/>
            </w:pPr>
            <w:r>
              <w:t>(77,070)</w:t>
            </w:r>
          </w:p>
        </w:tc>
      </w:tr>
      <w:tr w:rsidR="0025564C" w:rsidRPr="005A7F6A" w14:paraId="1139F4C9" w14:textId="77777777" w:rsidTr="000A04C8">
        <w:trPr>
          <w:trHeight w:val="20"/>
        </w:trPr>
        <w:tc>
          <w:tcPr>
            <w:tcW w:w="2797" w:type="pct"/>
            <w:vAlign w:val="top"/>
          </w:tcPr>
          <w:p w14:paraId="15CE39B8" w14:textId="0C42B843" w:rsidR="0025564C" w:rsidRPr="005A7F6A" w:rsidRDefault="00245640" w:rsidP="000A04C8">
            <w:pPr>
              <w:pStyle w:val="TableBodyText"/>
            </w:pPr>
            <w:r>
              <w:t>Repayments of lease liabilities</w:t>
            </w:r>
          </w:p>
        </w:tc>
        <w:tc>
          <w:tcPr>
            <w:tcW w:w="735" w:type="pct"/>
            <w:vAlign w:val="top"/>
          </w:tcPr>
          <w:p w14:paraId="2388FFD1" w14:textId="1DD64624" w:rsidR="0025564C" w:rsidRDefault="00245640" w:rsidP="000A04C8">
            <w:pPr>
              <w:pStyle w:val="TableBodyText"/>
            </w:pPr>
            <w:r>
              <w:t>N/A</w:t>
            </w:r>
          </w:p>
        </w:tc>
        <w:tc>
          <w:tcPr>
            <w:tcW w:w="737" w:type="pct"/>
            <w:vAlign w:val="top"/>
          </w:tcPr>
          <w:p w14:paraId="59CAC2B3" w14:textId="3616774F" w:rsidR="0025564C" w:rsidRPr="005A7F6A" w:rsidRDefault="00245640" w:rsidP="000A04C8">
            <w:pPr>
              <w:pStyle w:val="TableBodyText"/>
            </w:pPr>
            <w:r>
              <w:t>(6,552)</w:t>
            </w:r>
          </w:p>
        </w:tc>
        <w:tc>
          <w:tcPr>
            <w:tcW w:w="731" w:type="pct"/>
            <w:vAlign w:val="top"/>
          </w:tcPr>
          <w:p w14:paraId="529C3BB2" w14:textId="3ED2D64E" w:rsidR="0025564C" w:rsidRPr="005A7F6A" w:rsidRDefault="00245640" w:rsidP="000A04C8">
            <w:pPr>
              <w:pStyle w:val="TableBodyText"/>
            </w:pPr>
            <w:r>
              <w:t>(6,146)</w:t>
            </w:r>
          </w:p>
        </w:tc>
      </w:tr>
      <w:tr w:rsidR="0025564C" w:rsidRPr="00004893" w14:paraId="0066620B" w14:textId="77777777" w:rsidTr="000A04C8">
        <w:trPr>
          <w:trHeight w:val="20"/>
        </w:trPr>
        <w:tc>
          <w:tcPr>
            <w:tcW w:w="2797" w:type="pct"/>
            <w:tcBorders>
              <w:bottom w:val="single" w:sz="4" w:space="0" w:color="auto"/>
            </w:tcBorders>
            <w:vAlign w:val="top"/>
          </w:tcPr>
          <w:p w14:paraId="7770864D" w14:textId="5BAF9EA3" w:rsidR="0025564C" w:rsidRPr="007456A5" w:rsidRDefault="00245640" w:rsidP="000A04C8">
            <w:pPr>
              <w:pStyle w:val="TableBodyText"/>
            </w:pPr>
            <w:r>
              <w:t>Dividends paid</w:t>
            </w:r>
          </w:p>
        </w:tc>
        <w:tc>
          <w:tcPr>
            <w:tcW w:w="735" w:type="pct"/>
            <w:tcBorders>
              <w:bottom w:val="single" w:sz="4" w:space="0" w:color="auto"/>
            </w:tcBorders>
            <w:vAlign w:val="top"/>
          </w:tcPr>
          <w:p w14:paraId="32DD3C86" w14:textId="0A9BEE42" w:rsidR="0025564C" w:rsidRDefault="00450381" w:rsidP="000A04C8">
            <w:pPr>
              <w:pStyle w:val="TableBodyText"/>
            </w:pPr>
            <w:r>
              <w:fldChar w:fldCharType="begin"/>
            </w:r>
            <w:r>
              <w:instrText xml:space="preserve"> REF Note74 \h </w:instrText>
            </w:r>
            <w:r>
              <w:fldChar w:fldCharType="separate"/>
            </w:r>
            <w:r w:rsidR="00472151">
              <w:t xml:space="preserve">7.4 </w:t>
            </w:r>
            <w:r>
              <w:fldChar w:fldCharType="end"/>
            </w:r>
          </w:p>
        </w:tc>
        <w:tc>
          <w:tcPr>
            <w:tcW w:w="737" w:type="pct"/>
            <w:tcBorders>
              <w:bottom w:val="single" w:sz="4" w:space="0" w:color="auto"/>
            </w:tcBorders>
            <w:vAlign w:val="top"/>
          </w:tcPr>
          <w:p w14:paraId="6C67A097" w14:textId="45CEFE80" w:rsidR="0025564C" w:rsidRPr="00004893" w:rsidRDefault="00245640" w:rsidP="000A04C8">
            <w:pPr>
              <w:pStyle w:val="TableBodyText"/>
            </w:pPr>
            <w:r>
              <w:t>(62,800)</w:t>
            </w:r>
          </w:p>
        </w:tc>
        <w:tc>
          <w:tcPr>
            <w:tcW w:w="731" w:type="pct"/>
            <w:tcBorders>
              <w:bottom w:val="single" w:sz="4" w:space="0" w:color="auto"/>
            </w:tcBorders>
            <w:vAlign w:val="top"/>
          </w:tcPr>
          <w:p w14:paraId="5E88BEBC" w14:textId="49F7B9B2" w:rsidR="0025564C" w:rsidRPr="007456A5" w:rsidRDefault="00245640" w:rsidP="000A04C8">
            <w:pPr>
              <w:pStyle w:val="TableBodyText"/>
            </w:pPr>
            <w:r>
              <w:t>(73,000)</w:t>
            </w:r>
          </w:p>
        </w:tc>
      </w:tr>
      <w:tr w:rsidR="0025564C" w:rsidRPr="007D1379" w14:paraId="3A242A0F" w14:textId="77777777" w:rsidTr="000A04C8">
        <w:trPr>
          <w:trHeight w:val="20"/>
        </w:trPr>
        <w:tc>
          <w:tcPr>
            <w:tcW w:w="2797" w:type="pct"/>
            <w:tcBorders>
              <w:top w:val="single" w:sz="4" w:space="0" w:color="auto"/>
              <w:bottom w:val="single" w:sz="4" w:space="0" w:color="auto"/>
            </w:tcBorders>
            <w:vAlign w:val="top"/>
          </w:tcPr>
          <w:p w14:paraId="72CC029B" w14:textId="3DF520A5" w:rsidR="0025564C" w:rsidRPr="00245640" w:rsidRDefault="00245640" w:rsidP="000A04C8">
            <w:pPr>
              <w:pStyle w:val="TableBodyText"/>
              <w:rPr>
                <w:rStyle w:val="Bold"/>
              </w:rPr>
            </w:pPr>
            <w:r w:rsidRPr="00245640">
              <w:rPr>
                <w:rStyle w:val="Bold"/>
              </w:rPr>
              <w:t>Net cash (outflow) from financing activities</w:t>
            </w:r>
          </w:p>
        </w:tc>
        <w:tc>
          <w:tcPr>
            <w:tcW w:w="735" w:type="pct"/>
            <w:tcBorders>
              <w:top w:val="single" w:sz="4" w:space="0" w:color="auto"/>
              <w:bottom w:val="single" w:sz="4" w:space="0" w:color="auto"/>
            </w:tcBorders>
            <w:vAlign w:val="top"/>
          </w:tcPr>
          <w:p w14:paraId="178CE082" w14:textId="1A81EF52" w:rsidR="0025564C" w:rsidRPr="007D1379" w:rsidRDefault="00245640" w:rsidP="000A04C8">
            <w:pPr>
              <w:pStyle w:val="TableBodyText"/>
            </w:pPr>
            <w:r>
              <w:t>N/A</w:t>
            </w:r>
          </w:p>
        </w:tc>
        <w:tc>
          <w:tcPr>
            <w:tcW w:w="737" w:type="pct"/>
            <w:tcBorders>
              <w:top w:val="single" w:sz="4" w:space="0" w:color="auto"/>
              <w:bottom w:val="single" w:sz="4" w:space="0" w:color="auto"/>
            </w:tcBorders>
            <w:vAlign w:val="top"/>
          </w:tcPr>
          <w:p w14:paraId="128DA82E" w14:textId="113B3BA9" w:rsidR="0025564C" w:rsidRPr="00245640" w:rsidRDefault="00245640" w:rsidP="000A04C8">
            <w:pPr>
              <w:pStyle w:val="TableBodyText"/>
              <w:rPr>
                <w:rStyle w:val="Bold"/>
              </w:rPr>
            </w:pPr>
            <w:r w:rsidRPr="00245640">
              <w:rPr>
                <w:rStyle w:val="Bold"/>
              </w:rPr>
              <w:t>(16,353)</w:t>
            </w:r>
          </w:p>
        </w:tc>
        <w:tc>
          <w:tcPr>
            <w:tcW w:w="731" w:type="pct"/>
            <w:tcBorders>
              <w:top w:val="single" w:sz="4" w:space="0" w:color="auto"/>
              <w:bottom w:val="single" w:sz="4" w:space="0" w:color="auto"/>
            </w:tcBorders>
            <w:vAlign w:val="top"/>
          </w:tcPr>
          <w:p w14:paraId="5F79B517" w14:textId="70F8D624" w:rsidR="0025564C" w:rsidRPr="00245640" w:rsidRDefault="00245640" w:rsidP="000A04C8">
            <w:pPr>
              <w:pStyle w:val="TableBodyText"/>
              <w:rPr>
                <w:rStyle w:val="Bold"/>
              </w:rPr>
            </w:pPr>
            <w:r w:rsidRPr="00245640">
              <w:rPr>
                <w:rStyle w:val="Bold"/>
              </w:rPr>
              <w:t>(103,016)</w:t>
            </w:r>
          </w:p>
        </w:tc>
      </w:tr>
      <w:tr w:rsidR="0025564C" w:rsidRPr="007456A5" w14:paraId="269F7448" w14:textId="77777777" w:rsidTr="000A04C8">
        <w:trPr>
          <w:trHeight w:val="20"/>
        </w:trPr>
        <w:tc>
          <w:tcPr>
            <w:tcW w:w="2797" w:type="pct"/>
            <w:tcBorders>
              <w:top w:val="single" w:sz="4" w:space="0" w:color="auto"/>
            </w:tcBorders>
            <w:vAlign w:val="top"/>
          </w:tcPr>
          <w:p w14:paraId="186E451D" w14:textId="59A7794A" w:rsidR="0025564C" w:rsidRPr="0025564C" w:rsidRDefault="00245640" w:rsidP="000A04C8">
            <w:pPr>
              <w:pStyle w:val="TableBodyText"/>
            </w:pPr>
            <w:r>
              <w:t>Net (decrease)/increase in cash and cash equivalents</w:t>
            </w:r>
          </w:p>
        </w:tc>
        <w:tc>
          <w:tcPr>
            <w:tcW w:w="735" w:type="pct"/>
            <w:tcBorders>
              <w:top w:val="single" w:sz="4" w:space="0" w:color="auto"/>
            </w:tcBorders>
            <w:vAlign w:val="top"/>
          </w:tcPr>
          <w:p w14:paraId="595E1DD5" w14:textId="7FC15A2A" w:rsidR="0025564C" w:rsidRPr="007456A5" w:rsidRDefault="00245640" w:rsidP="000A04C8">
            <w:pPr>
              <w:pStyle w:val="TableBodyText"/>
            </w:pPr>
            <w:r>
              <w:t>N/A</w:t>
            </w:r>
          </w:p>
        </w:tc>
        <w:tc>
          <w:tcPr>
            <w:tcW w:w="737" w:type="pct"/>
            <w:tcBorders>
              <w:top w:val="single" w:sz="4" w:space="0" w:color="auto"/>
            </w:tcBorders>
            <w:vAlign w:val="top"/>
          </w:tcPr>
          <w:p w14:paraId="0AAB6C58" w14:textId="57E3D2F8" w:rsidR="0025564C" w:rsidRPr="007456A5" w:rsidRDefault="00245640" w:rsidP="000A04C8">
            <w:pPr>
              <w:pStyle w:val="TableBodyText"/>
            </w:pPr>
            <w:r>
              <w:t>(10,621)</w:t>
            </w:r>
          </w:p>
        </w:tc>
        <w:tc>
          <w:tcPr>
            <w:tcW w:w="731" w:type="pct"/>
            <w:tcBorders>
              <w:top w:val="single" w:sz="4" w:space="0" w:color="auto"/>
            </w:tcBorders>
            <w:vAlign w:val="top"/>
          </w:tcPr>
          <w:p w14:paraId="6D681806" w14:textId="1D67BEB6" w:rsidR="0025564C" w:rsidRPr="007456A5" w:rsidRDefault="00245640" w:rsidP="000A04C8">
            <w:pPr>
              <w:pStyle w:val="TableBodyText"/>
            </w:pPr>
            <w:r>
              <w:t>(3,279)</w:t>
            </w:r>
          </w:p>
        </w:tc>
      </w:tr>
      <w:tr w:rsidR="0025564C" w:rsidRPr="005A7F6A" w14:paraId="62DB7D28" w14:textId="77777777" w:rsidTr="000A04C8">
        <w:trPr>
          <w:trHeight w:val="20"/>
        </w:trPr>
        <w:tc>
          <w:tcPr>
            <w:tcW w:w="2797" w:type="pct"/>
            <w:tcBorders>
              <w:bottom w:val="single" w:sz="4" w:space="0" w:color="auto"/>
            </w:tcBorders>
            <w:vAlign w:val="top"/>
          </w:tcPr>
          <w:p w14:paraId="4E3CC49F" w14:textId="5B77364C" w:rsidR="0025564C" w:rsidRPr="007456A5" w:rsidRDefault="00245640" w:rsidP="000A04C8">
            <w:pPr>
              <w:pStyle w:val="TableBodyText"/>
            </w:pPr>
            <w:r>
              <w:t>Cash and cash equivalents at the beginning of the financial year</w:t>
            </w:r>
          </w:p>
        </w:tc>
        <w:tc>
          <w:tcPr>
            <w:tcW w:w="735" w:type="pct"/>
            <w:tcBorders>
              <w:bottom w:val="single" w:sz="4" w:space="0" w:color="auto"/>
            </w:tcBorders>
            <w:vAlign w:val="top"/>
          </w:tcPr>
          <w:p w14:paraId="0C4FF922" w14:textId="77777777" w:rsidR="0025564C" w:rsidRDefault="0025564C" w:rsidP="000A04C8">
            <w:pPr>
              <w:pStyle w:val="TableBodyText"/>
            </w:pPr>
            <w:r>
              <w:t>N/A</w:t>
            </w:r>
          </w:p>
        </w:tc>
        <w:tc>
          <w:tcPr>
            <w:tcW w:w="737" w:type="pct"/>
            <w:tcBorders>
              <w:bottom w:val="single" w:sz="4" w:space="0" w:color="auto"/>
            </w:tcBorders>
            <w:vAlign w:val="top"/>
          </w:tcPr>
          <w:p w14:paraId="73153A02" w14:textId="737D1E3A" w:rsidR="0025564C" w:rsidRPr="005A7F6A" w:rsidRDefault="00245640" w:rsidP="000A04C8">
            <w:pPr>
              <w:pStyle w:val="TableBodyText"/>
            </w:pPr>
            <w:r>
              <w:t>14,324</w:t>
            </w:r>
          </w:p>
        </w:tc>
        <w:tc>
          <w:tcPr>
            <w:tcW w:w="731" w:type="pct"/>
            <w:tcBorders>
              <w:bottom w:val="single" w:sz="4" w:space="0" w:color="auto"/>
            </w:tcBorders>
            <w:vAlign w:val="top"/>
          </w:tcPr>
          <w:p w14:paraId="105F4276" w14:textId="11427320" w:rsidR="0025564C" w:rsidRPr="005A7F6A" w:rsidRDefault="00245640" w:rsidP="000A04C8">
            <w:pPr>
              <w:pStyle w:val="TableBodyText"/>
            </w:pPr>
            <w:r>
              <w:t>17,603</w:t>
            </w:r>
          </w:p>
        </w:tc>
      </w:tr>
      <w:tr w:rsidR="0025564C" w:rsidRPr="007D1379" w14:paraId="2606D9DB" w14:textId="77777777" w:rsidTr="000A04C8">
        <w:trPr>
          <w:trHeight w:val="20"/>
        </w:trPr>
        <w:tc>
          <w:tcPr>
            <w:tcW w:w="2797" w:type="pct"/>
            <w:tcBorders>
              <w:top w:val="single" w:sz="4" w:space="0" w:color="auto"/>
              <w:bottom w:val="single" w:sz="4" w:space="0" w:color="auto"/>
            </w:tcBorders>
            <w:vAlign w:val="top"/>
          </w:tcPr>
          <w:p w14:paraId="195D6317" w14:textId="17F5207A" w:rsidR="0025564C" w:rsidRPr="00245640" w:rsidRDefault="00245640" w:rsidP="000A04C8">
            <w:pPr>
              <w:pStyle w:val="TableBodyText"/>
              <w:rPr>
                <w:rStyle w:val="Bold"/>
              </w:rPr>
            </w:pPr>
            <w:r w:rsidRPr="00245640">
              <w:rPr>
                <w:rStyle w:val="Bold"/>
              </w:rPr>
              <w:t>Cash and cash equivalents at the end of the financial year</w:t>
            </w:r>
          </w:p>
        </w:tc>
        <w:tc>
          <w:tcPr>
            <w:tcW w:w="735" w:type="pct"/>
            <w:tcBorders>
              <w:top w:val="single" w:sz="4" w:space="0" w:color="auto"/>
              <w:bottom w:val="single" w:sz="4" w:space="0" w:color="auto"/>
            </w:tcBorders>
            <w:vAlign w:val="top"/>
          </w:tcPr>
          <w:p w14:paraId="2EAF30FD" w14:textId="77777777" w:rsidR="0025564C" w:rsidRPr="007D1379" w:rsidRDefault="0025564C" w:rsidP="000A04C8">
            <w:pPr>
              <w:pStyle w:val="TableBodyText"/>
            </w:pPr>
            <w:r w:rsidRPr="007D1379">
              <w:t>N/A</w:t>
            </w:r>
          </w:p>
        </w:tc>
        <w:tc>
          <w:tcPr>
            <w:tcW w:w="737" w:type="pct"/>
            <w:tcBorders>
              <w:top w:val="single" w:sz="4" w:space="0" w:color="auto"/>
              <w:bottom w:val="single" w:sz="4" w:space="0" w:color="auto"/>
            </w:tcBorders>
            <w:vAlign w:val="top"/>
          </w:tcPr>
          <w:p w14:paraId="11F72644" w14:textId="2CC81B33" w:rsidR="0025564C" w:rsidRPr="00245640" w:rsidRDefault="00245640" w:rsidP="000A04C8">
            <w:pPr>
              <w:pStyle w:val="TableBodyText"/>
              <w:rPr>
                <w:rStyle w:val="Bold"/>
              </w:rPr>
            </w:pPr>
            <w:r w:rsidRPr="00245640">
              <w:rPr>
                <w:rStyle w:val="Bold"/>
              </w:rPr>
              <w:t>3,703</w:t>
            </w:r>
          </w:p>
        </w:tc>
        <w:tc>
          <w:tcPr>
            <w:tcW w:w="731" w:type="pct"/>
            <w:tcBorders>
              <w:top w:val="single" w:sz="4" w:space="0" w:color="auto"/>
              <w:bottom w:val="single" w:sz="4" w:space="0" w:color="auto"/>
            </w:tcBorders>
            <w:vAlign w:val="top"/>
          </w:tcPr>
          <w:p w14:paraId="5183B5B3" w14:textId="17A66350" w:rsidR="0025564C" w:rsidRPr="00245640" w:rsidRDefault="00245640" w:rsidP="000A04C8">
            <w:pPr>
              <w:pStyle w:val="TableBodyText"/>
              <w:rPr>
                <w:rStyle w:val="Bold"/>
              </w:rPr>
            </w:pPr>
            <w:r w:rsidRPr="00245640">
              <w:rPr>
                <w:rStyle w:val="Bold"/>
              </w:rPr>
              <w:t>14,324</w:t>
            </w:r>
          </w:p>
        </w:tc>
      </w:tr>
    </w:tbl>
    <w:p w14:paraId="1B11B69F" w14:textId="6E9C1EDD" w:rsidR="00D53097" w:rsidRDefault="00D53097" w:rsidP="00D53097">
      <w:pPr>
        <w:pStyle w:val="BodyText"/>
      </w:pPr>
      <w:r>
        <w:t xml:space="preserve">The above Statement of Cash Flows should be read in conjunction with the accompanying notes on pages </w:t>
      </w:r>
      <w:r w:rsidR="00650CC7">
        <w:fldChar w:fldCharType="begin"/>
      </w:r>
      <w:r w:rsidR="00650CC7">
        <w:instrText xml:space="preserve"> PAGEREF AboutThisReport \h </w:instrText>
      </w:r>
      <w:r w:rsidR="00650CC7">
        <w:fldChar w:fldCharType="separate"/>
      </w:r>
      <w:r w:rsidR="00472151">
        <w:rPr>
          <w:noProof/>
        </w:rPr>
        <w:t>93</w:t>
      </w:r>
      <w:r w:rsidR="00650CC7">
        <w:fldChar w:fldCharType="end"/>
      </w:r>
      <w:r w:rsidR="00650CC7">
        <w:t xml:space="preserve"> through to </w:t>
      </w:r>
      <w:r w:rsidR="00650CC7">
        <w:fldChar w:fldCharType="begin"/>
      </w:r>
      <w:r w:rsidR="00650CC7">
        <w:instrText xml:space="preserve"> PAGEREF AboutThisReportend \h </w:instrText>
      </w:r>
      <w:r w:rsidR="00650CC7">
        <w:fldChar w:fldCharType="separate"/>
      </w:r>
      <w:r w:rsidR="00472151">
        <w:rPr>
          <w:noProof/>
        </w:rPr>
        <w:t>93</w:t>
      </w:r>
      <w:r w:rsidR="00650CC7">
        <w:fldChar w:fldCharType="end"/>
      </w:r>
      <w:r>
        <w:t>.</w:t>
      </w:r>
    </w:p>
    <w:p w14:paraId="1197AD08" w14:textId="77777777" w:rsidR="00D53097" w:rsidRDefault="00D53097" w:rsidP="0011520C">
      <w:pPr>
        <w:pStyle w:val="BodyText"/>
        <w:keepNext/>
      </w:pPr>
      <w:r>
        <w:lastRenderedPageBreak/>
        <w:t>Note:</w:t>
      </w:r>
    </w:p>
    <w:p w14:paraId="73E4627E" w14:textId="02D5D963" w:rsidR="0025564C" w:rsidRDefault="00D53097" w:rsidP="00D53097">
      <w:pPr>
        <w:pStyle w:val="BodyText"/>
      </w:pPr>
      <w:bookmarkStart w:id="807" w:name="NoteaStatementCashFlows"/>
      <w:r>
        <w:t xml:space="preserve">(a) </w:t>
      </w:r>
      <w:bookmarkEnd w:id="807"/>
      <w:r>
        <w:t>Proceeds from borrowings exclude debt roll-overs and refinancing of existing debt and are shown on a net basis.</w:t>
      </w:r>
    </w:p>
    <w:p w14:paraId="04E443F0" w14:textId="77777777" w:rsidR="00736DC0" w:rsidRDefault="00736DC0" w:rsidP="00736DC0">
      <w:pPr>
        <w:pStyle w:val="Heading2"/>
      </w:pPr>
      <w:bookmarkStart w:id="808" w:name="_Toc89723105"/>
      <w:bookmarkStart w:id="809" w:name="_Toc89723241"/>
      <w:bookmarkStart w:id="810" w:name="_Toc89723301"/>
      <w:bookmarkStart w:id="811" w:name="_Ref89806055"/>
      <w:bookmarkStart w:id="812" w:name="_Ref89807170"/>
      <w:bookmarkStart w:id="813" w:name="_Ref89843352"/>
      <w:bookmarkStart w:id="814" w:name="_Ref89843372"/>
      <w:bookmarkStart w:id="815" w:name="_Toc89860567"/>
      <w:bookmarkStart w:id="816" w:name="_Toc89860711"/>
      <w:bookmarkStart w:id="817" w:name="_Toc90326050"/>
      <w:bookmarkStart w:id="818" w:name="AboutThisReport"/>
      <w:bookmarkStart w:id="819" w:name="_Toc93659456"/>
      <w:r>
        <w:t>About this Report</w:t>
      </w:r>
      <w:bookmarkEnd w:id="808"/>
      <w:bookmarkEnd w:id="809"/>
      <w:bookmarkEnd w:id="810"/>
      <w:bookmarkEnd w:id="811"/>
      <w:bookmarkEnd w:id="812"/>
      <w:bookmarkEnd w:id="813"/>
      <w:bookmarkEnd w:id="814"/>
      <w:bookmarkEnd w:id="815"/>
      <w:bookmarkEnd w:id="816"/>
      <w:bookmarkEnd w:id="817"/>
      <w:bookmarkEnd w:id="819"/>
    </w:p>
    <w:p w14:paraId="440EF6F3" w14:textId="77777777" w:rsidR="00736DC0" w:rsidRDefault="00736DC0" w:rsidP="00736DC0">
      <w:pPr>
        <w:pStyle w:val="Heading3"/>
      </w:pPr>
      <w:bookmarkStart w:id="820" w:name="_Toc89723106"/>
      <w:bookmarkStart w:id="821" w:name="_Toc90326051"/>
      <w:bookmarkStart w:id="822" w:name="_Toc93659457"/>
      <w:bookmarkEnd w:id="818"/>
      <w:r>
        <w:t>Basis of preparation</w:t>
      </w:r>
      <w:bookmarkEnd w:id="820"/>
      <w:bookmarkEnd w:id="821"/>
      <w:bookmarkEnd w:id="822"/>
    </w:p>
    <w:p w14:paraId="3EE5F7C4" w14:textId="4F978973" w:rsidR="00736DC0" w:rsidRDefault="00736DC0" w:rsidP="00736DC0">
      <w:pPr>
        <w:pStyle w:val="BodyText"/>
      </w:pPr>
      <w:r>
        <w:t>This Annual Financial Report presents the audited general purpose financial statements of Melbourne Water Corporation ('the Corporation' or 'Melbourne Water') for the year ended 30 June 2021. This report informs users about the Corporation's stewardship of the resources entrusted to it.</w:t>
      </w:r>
    </w:p>
    <w:p w14:paraId="5E8B25F8" w14:textId="42B15DAF" w:rsidR="00736DC0" w:rsidRDefault="00736DC0" w:rsidP="00736DC0">
      <w:pPr>
        <w:pStyle w:val="BodyText"/>
      </w:pPr>
      <w:r>
        <w:t>A description of the nature of the Corporation's operations and principal activities is included in the report of operations (pages</w:t>
      </w:r>
      <w:r w:rsidR="004D1A6A">
        <w:t xml:space="preserve"> </w:t>
      </w:r>
      <w:r w:rsidR="00650CC7">
        <w:fldChar w:fldCharType="begin"/>
      </w:r>
      <w:r w:rsidR="00650CC7">
        <w:instrText xml:space="preserve"> PAGEREF _Ref89719289 \h </w:instrText>
      </w:r>
      <w:r w:rsidR="00650CC7">
        <w:fldChar w:fldCharType="separate"/>
      </w:r>
      <w:r w:rsidR="00472151">
        <w:rPr>
          <w:noProof/>
        </w:rPr>
        <w:t>12</w:t>
      </w:r>
      <w:r w:rsidR="00650CC7">
        <w:fldChar w:fldCharType="end"/>
      </w:r>
      <w:r>
        <w:t xml:space="preserve"> to </w:t>
      </w:r>
      <w:r w:rsidR="004D1A6A">
        <w:fldChar w:fldCharType="begin"/>
      </w:r>
      <w:r w:rsidR="004D1A6A">
        <w:instrText xml:space="preserve"> PAGEREF MelbWaterFinancialManagement \h </w:instrText>
      </w:r>
      <w:r w:rsidR="004D1A6A">
        <w:fldChar w:fldCharType="separate"/>
      </w:r>
      <w:r w:rsidR="00472151">
        <w:rPr>
          <w:noProof/>
        </w:rPr>
        <w:t>92</w:t>
      </w:r>
      <w:r w:rsidR="004D1A6A">
        <w:fldChar w:fldCharType="end"/>
      </w:r>
      <w:r>
        <w:t>) which does not form part of these financial statements.</w:t>
      </w:r>
    </w:p>
    <w:p w14:paraId="7D3B9A01" w14:textId="2038DA23" w:rsidR="00736DC0" w:rsidRDefault="00736DC0" w:rsidP="00736DC0">
      <w:pPr>
        <w:pStyle w:val="BodyText"/>
      </w:pPr>
      <w:r>
        <w:t>The Corporation is classified as a for-profit entity for the purposes of reporting.</w:t>
      </w:r>
    </w:p>
    <w:p w14:paraId="5B58EBD8" w14:textId="5527B76C" w:rsidR="00736DC0" w:rsidRDefault="00736DC0" w:rsidP="00736DC0">
      <w:pPr>
        <w:pStyle w:val="BodyText"/>
      </w:pPr>
      <w:r>
        <w:t>Accounting policies selected and applied ensure that the resulting financial information satisfies the concepts of relevance and reliability, thereby ensuring that the substance of the underlying transactions or other events is reported.</w:t>
      </w:r>
    </w:p>
    <w:p w14:paraId="4371DBB8" w14:textId="15BD094E" w:rsidR="00736DC0" w:rsidRDefault="00736DC0" w:rsidP="00736DC0">
      <w:pPr>
        <w:pStyle w:val="BodyText"/>
      </w:pPr>
      <w:r>
        <w:t>The accrual basis of accounting has been applied, where assets, liabilities, equity, income and expenses are recognised in the reporting period to which they relate, regardless of when cash is received or paid.</w:t>
      </w:r>
    </w:p>
    <w:p w14:paraId="705A74B6" w14:textId="32DF635C" w:rsidR="00736DC0" w:rsidRDefault="00736DC0" w:rsidP="00736DC0">
      <w:pPr>
        <w:pStyle w:val="BodyText"/>
      </w:pPr>
      <w:r>
        <w:t>These financial statements are in Australian dollars, the functional and presentation currency of Melbourne Water, and the historical cost convention is used except for the revaluation of certain classes of infrastructure, property, plant and equipment and financial instruments. Unless otherwise stated, amounts in the report have been rounded to the nearest thousand dollars.</w:t>
      </w:r>
    </w:p>
    <w:p w14:paraId="7D7FA6A2" w14:textId="57D8FE04" w:rsidR="00736DC0" w:rsidRDefault="00736DC0" w:rsidP="00736DC0">
      <w:pPr>
        <w:pStyle w:val="BodyText"/>
      </w:pPr>
      <w:r>
        <w:t>In the determination of whether an asset or liability is current or non-current, consideration has been given to the time when each asset or liability is expected to be realised or paid. The asset or liability has been classified as current if it is expected to be turned over within the next 12 months, being the Corporation's operational cycle.</w:t>
      </w:r>
    </w:p>
    <w:p w14:paraId="4A524182" w14:textId="6CA5C1BA" w:rsidR="00736DC0" w:rsidRDefault="00736DC0" w:rsidP="00736DC0">
      <w:pPr>
        <w:pStyle w:val="BodyText"/>
      </w:pPr>
      <w:r>
        <w:t>Judgements, estimates and assumptions are required to be made about carrying values of assets and liabilities that are not readily apparent from other sources. The estimates and associated assumptions are based on professional judgements derived from historical experience and various other factors that are believed to be reasonable under the circumstances. Actual results may differ from these estimates. Revisions to accounting estimates are recognised in the period in which the estimate is revised and also in future periods that are affected by the revision. Judgements and assumptions made by management in applying Australian Accounting Standards that have significant effects on the financial statements and estimates relate to:</w:t>
      </w:r>
    </w:p>
    <w:p w14:paraId="56DB9DE3" w14:textId="6F182440" w:rsidR="00736DC0" w:rsidRDefault="00736DC0" w:rsidP="00C778D6">
      <w:pPr>
        <w:pStyle w:val="ListBullet"/>
      </w:pPr>
      <w:r>
        <w:t xml:space="preserve">the fair value of land, buildings, infrastructure, plant and equipment (refer to </w:t>
      </w:r>
      <w:r w:rsidR="003742AD">
        <w:fldChar w:fldCharType="begin"/>
      </w:r>
      <w:r w:rsidR="003742AD">
        <w:instrText xml:space="preserve"> REF Note412 \h </w:instrText>
      </w:r>
      <w:r w:rsidR="003742AD">
        <w:fldChar w:fldCharType="separate"/>
      </w:r>
      <w:r w:rsidR="00472151">
        <w:t xml:space="preserve">4.1.2 </w:t>
      </w:r>
      <w:r w:rsidR="003742AD">
        <w:fldChar w:fldCharType="end"/>
      </w:r>
      <w:r>
        <w:t>)</w:t>
      </w:r>
    </w:p>
    <w:p w14:paraId="424502CD" w14:textId="22DBEFB7" w:rsidR="00736DC0" w:rsidRDefault="00736DC0" w:rsidP="00736DC0">
      <w:pPr>
        <w:pStyle w:val="ListBullet"/>
      </w:pPr>
      <w:r>
        <w:t xml:space="preserve">the fair value of right to acquire assets (refer to </w:t>
      </w:r>
      <w:r w:rsidR="002B0B65">
        <w:fldChar w:fldCharType="begin"/>
      </w:r>
      <w:r w:rsidR="002B0B65">
        <w:instrText xml:space="preserve"> REF Note44 \h </w:instrText>
      </w:r>
      <w:r w:rsidR="002B0B65">
        <w:fldChar w:fldCharType="separate"/>
      </w:r>
      <w:r w:rsidR="00472151">
        <w:t xml:space="preserve">4.4 </w:t>
      </w:r>
      <w:r w:rsidR="002B0B65">
        <w:fldChar w:fldCharType="end"/>
      </w:r>
      <w:r>
        <w:t>)</w:t>
      </w:r>
    </w:p>
    <w:p w14:paraId="6C895D8B" w14:textId="0EF613EC" w:rsidR="00736DC0" w:rsidRDefault="00736DC0" w:rsidP="00736DC0">
      <w:pPr>
        <w:pStyle w:val="ListBullet"/>
      </w:pPr>
      <w:r>
        <w:t xml:space="preserve">defined benefit superannuation asset/liability (refer to </w:t>
      </w:r>
      <w:r w:rsidR="00450381">
        <w:fldChar w:fldCharType="begin"/>
      </w:r>
      <w:r w:rsidR="00450381">
        <w:instrText xml:space="preserve"> REF Note71 \h </w:instrText>
      </w:r>
      <w:r w:rsidR="00450381">
        <w:fldChar w:fldCharType="separate"/>
      </w:r>
      <w:r w:rsidR="00472151">
        <w:t xml:space="preserve">7.1 </w:t>
      </w:r>
      <w:r w:rsidR="00450381">
        <w:fldChar w:fldCharType="end"/>
      </w:r>
      <w:r>
        <w:t>)</w:t>
      </w:r>
    </w:p>
    <w:p w14:paraId="382A6449" w14:textId="0973F881" w:rsidR="00226E71" w:rsidRDefault="00736DC0" w:rsidP="00C778D6">
      <w:pPr>
        <w:pStyle w:val="ListBullet"/>
      </w:pPr>
      <w:r>
        <w:t xml:space="preserve">employee benefits expenses and provisions (refer to </w:t>
      </w:r>
      <w:r w:rsidR="00CC5254">
        <w:fldChar w:fldCharType="begin"/>
      </w:r>
      <w:r w:rsidR="00CC5254">
        <w:instrText xml:space="preserve"> REF Note32 \h </w:instrText>
      </w:r>
      <w:r w:rsidR="00CC5254">
        <w:fldChar w:fldCharType="separate"/>
      </w:r>
      <w:r w:rsidR="00472151" w:rsidRPr="00470F0A">
        <w:t>3</w:t>
      </w:r>
      <w:r w:rsidR="00472151">
        <w:t xml:space="preserve">.2 </w:t>
      </w:r>
      <w:r w:rsidR="00CC5254">
        <w:fldChar w:fldCharType="end"/>
      </w:r>
      <w:r>
        <w:t xml:space="preserve">and </w:t>
      </w:r>
      <w:r w:rsidR="00C9560B">
        <w:fldChar w:fldCharType="begin"/>
      </w:r>
      <w:r w:rsidR="00C9560B">
        <w:instrText xml:space="preserve"> REF Note312 \h </w:instrText>
      </w:r>
      <w:r w:rsidR="00C9560B">
        <w:fldChar w:fldCharType="separate"/>
      </w:r>
      <w:r w:rsidR="00472151">
        <w:t xml:space="preserve">3.12 </w:t>
      </w:r>
      <w:r w:rsidR="00C9560B">
        <w:fldChar w:fldCharType="end"/>
      </w:r>
      <w:r>
        <w:t>)</w:t>
      </w:r>
    </w:p>
    <w:p w14:paraId="4266C6B6" w14:textId="653C8FA8" w:rsidR="00736DC0" w:rsidRDefault="00736DC0" w:rsidP="00C778D6">
      <w:pPr>
        <w:pStyle w:val="ListBullet"/>
      </w:pPr>
      <w:r>
        <w:t xml:space="preserve">useful lives of non-current assets (refer to </w:t>
      </w:r>
      <w:r w:rsidR="003742AD">
        <w:fldChar w:fldCharType="begin"/>
      </w:r>
      <w:r w:rsidR="003742AD">
        <w:instrText xml:space="preserve"> REF Note413 \h </w:instrText>
      </w:r>
      <w:r w:rsidR="003742AD">
        <w:fldChar w:fldCharType="separate"/>
      </w:r>
      <w:r w:rsidR="00472151">
        <w:t>4.1.3</w:t>
      </w:r>
      <w:r w:rsidR="003742AD">
        <w:fldChar w:fldCharType="end"/>
      </w:r>
      <w:r>
        <w:t>)</w:t>
      </w:r>
    </w:p>
    <w:p w14:paraId="7BE21B24" w14:textId="31C87D8C" w:rsidR="00736DC0" w:rsidRDefault="00736DC0" w:rsidP="00736DC0">
      <w:pPr>
        <w:pStyle w:val="ListBullet"/>
      </w:pPr>
      <w:r>
        <w:t xml:space="preserve">recognition of deferred tax balances (refer to </w:t>
      </w:r>
      <w:r w:rsidR="00C9560B">
        <w:fldChar w:fldCharType="begin"/>
      </w:r>
      <w:r w:rsidR="00C9560B">
        <w:instrText xml:space="preserve"> REF Note38 \h </w:instrText>
      </w:r>
      <w:r w:rsidR="00C9560B">
        <w:fldChar w:fldCharType="separate"/>
      </w:r>
      <w:r w:rsidR="00472151">
        <w:t xml:space="preserve">3.8 </w:t>
      </w:r>
      <w:r w:rsidR="00C9560B">
        <w:fldChar w:fldCharType="end"/>
      </w:r>
      <w:r>
        <w:t>)</w:t>
      </w:r>
    </w:p>
    <w:p w14:paraId="2C382AEA" w14:textId="6957502B" w:rsidR="00736DC0" w:rsidRDefault="00736DC0" w:rsidP="00736DC0">
      <w:pPr>
        <w:pStyle w:val="ListBullet"/>
      </w:pPr>
      <w:r>
        <w:t>contingent assets and liabilities (refer to</w:t>
      </w:r>
      <w:r w:rsidR="00450381">
        <w:t xml:space="preserve"> </w:t>
      </w:r>
      <w:r w:rsidR="00450381">
        <w:fldChar w:fldCharType="begin"/>
      </w:r>
      <w:r w:rsidR="00450381">
        <w:instrText xml:space="preserve"> REF Note63 \h </w:instrText>
      </w:r>
      <w:r w:rsidR="00450381">
        <w:fldChar w:fldCharType="separate"/>
      </w:r>
      <w:r w:rsidR="00472151">
        <w:t xml:space="preserve">6.3 </w:t>
      </w:r>
      <w:r w:rsidR="00450381">
        <w:fldChar w:fldCharType="end"/>
      </w:r>
      <w:r>
        <w:t>)</w:t>
      </w:r>
    </w:p>
    <w:p w14:paraId="1DEACCD1" w14:textId="2BCADBDC" w:rsidR="00736DC0" w:rsidRDefault="00DC0A06" w:rsidP="00C778D6">
      <w:pPr>
        <w:pStyle w:val="ListBullet"/>
      </w:pPr>
      <w:r>
        <w:t>Victorian Desalination Plant</w:t>
      </w:r>
      <w:r w:rsidR="00736DC0">
        <w:t xml:space="preserve"> service concession asset and liability and operating commitments (refer to </w:t>
      </w:r>
      <w:r w:rsidR="00C9560B">
        <w:fldChar w:fldCharType="begin"/>
      </w:r>
      <w:r w:rsidR="00C9560B">
        <w:instrText xml:space="preserve"> REF Note41 \h </w:instrText>
      </w:r>
      <w:r w:rsidR="00C9560B">
        <w:fldChar w:fldCharType="separate"/>
      </w:r>
      <w:r w:rsidR="00472151">
        <w:t xml:space="preserve">4.1 </w:t>
      </w:r>
      <w:r w:rsidR="00C9560B">
        <w:fldChar w:fldCharType="end"/>
      </w:r>
      <w:r w:rsidR="00736DC0">
        <w:t xml:space="preserve">and </w:t>
      </w:r>
      <w:r w:rsidR="00A35389">
        <w:fldChar w:fldCharType="begin"/>
      </w:r>
      <w:r w:rsidR="00A35389">
        <w:instrText xml:space="preserve"> REF Note54 \h </w:instrText>
      </w:r>
      <w:r w:rsidR="00A35389">
        <w:fldChar w:fldCharType="separate"/>
      </w:r>
      <w:r w:rsidR="00472151">
        <w:t xml:space="preserve">5.4 </w:t>
      </w:r>
      <w:r w:rsidR="00A35389">
        <w:fldChar w:fldCharType="end"/>
      </w:r>
      <w:r w:rsidR="00736DC0">
        <w:t>)</w:t>
      </w:r>
    </w:p>
    <w:p w14:paraId="0E4F83C4" w14:textId="5BFB5E48" w:rsidR="00736DC0" w:rsidRDefault="00736DC0" w:rsidP="00C778D6">
      <w:pPr>
        <w:pStyle w:val="ListBullet"/>
      </w:pPr>
      <w:r>
        <w:lastRenderedPageBreak/>
        <w:t xml:space="preserve">timing of satisfaction of performance obligations (refer to </w:t>
      </w:r>
      <w:r w:rsidR="007E27A6">
        <w:fldChar w:fldCharType="begin"/>
      </w:r>
      <w:r w:rsidR="007E27A6">
        <w:instrText xml:space="preserve"> REF Note21 \h </w:instrText>
      </w:r>
      <w:r w:rsidR="007E27A6">
        <w:fldChar w:fldCharType="separate"/>
      </w:r>
      <w:r w:rsidR="00472151" w:rsidRPr="00D84113">
        <w:t xml:space="preserve">2.1 </w:t>
      </w:r>
      <w:r w:rsidR="007E27A6">
        <w:fldChar w:fldCharType="end"/>
      </w:r>
      <w:r>
        <w:t>)</w:t>
      </w:r>
    </w:p>
    <w:p w14:paraId="674E5237" w14:textId="7987E4DC" w:rsidR="00736DC0" w:rsidRDefault="00736DC0" w:rsidP="00C778D6">
      <w:pPr>
        <w:pStyle w:val="ListBullet"/>
      </w:pPr>
      <w:r>
        <w:t xml:space="preserve">determining transaction price and amounts allocated to performance obligations (refer to </w:t>
      </w:r>
      <w:r w:rsidR="00506A67">
        <w:fldChar w:fldCharType="begin"/>
      </w:r>
      <w:r w:rsidR="00506A67">
        <w:instrText xml:space="preserve"> REF Note21 \h </w:instrText>
      </w:r>
      <w:r w:rsidR="00506A67">
        <w:fldChar w:fldCharType="separate"/>
      </w:r>
      <w:r w:rsidR="00472151" w:rsidRPr="00D84113">
        <w:t xml:space="preserve">2.1 </w:t>
      </w:r>
      <w:r w:rsidR="00506A67">
        <w:fldChar w:fldCharType="end"/>
      </w:r>
      <w:r>
        <w:t>)</w:t>
      </w:r>
    </w:p>
    <w:p w14:paraId="1998A6F9" w14:textId="69E92738" w:rsidR="00736DC0" w:rsidRDefault="00736DC0" w:rsidP="00C778D6">
      <w:pPr>
        <w:pStyle w:val="ListBullet"/>
      </w:pPr>
      <w:r>
        <w:t xml:space="preserve">for leases, determining whether the arrangement is in substance a short-term arrangement and estimating discount rate when not implicit in the lease (refer to </w:t>
      </w:r>
      <w:r w:rsidR="002B0B65">
        <w:fldChar w:fldCharType="begin"/>
      </w:r>
      <w:r w:rsidR="002B0B65">
        <w:instrText xml:space="preserve"> REF Note44 \h </w:instrText>
      </w:r>
      <w:r w:rsidR="002B0B65">
        <w:fldChar w:fldCharType="separate"/>
      </w:r>
      <w:r w:rsidR="00472151">
        <w:t xml:space="preserve">4.4 </w:t>
      </w:r>
      <w:r w:rsidR="002B0B65">
        <w:fldChar w:fldCharType="end"/>
      </w:r>
      <w:r>
        <w:t>)</w:t>
      </w:r>
    </w:p>
    <w:p w14:paraId="0EE5679C" w14:textId="5F2B7326" w:rsidR="00736DC0" w:rsidRDefault="00736DC0" w:rsidP="00C778D6">
      <w:pPr>
        <w:pStyle w:val="ListBullet"/>
      </w:pPr>
      <w:r>
        <w:t xml:space="preserve">the impacts of </w:t>
      </w:r>
      <w:r w:rsidR="0030196D">
        <w:t>COVID</w:t>
      </w:r>
      <w:r w:rsidR="0030196D">
        <w:noBreakHyphen/>
        <w:t>19</w:t>
      </w:r>
      <w:r>
        <w:t xml:space="preserve"> on the financial report and going concern (refer below).</w:t>
      </w:r>
    </w:p>
    <w:p w14:paraId="11C48FDC" w14:textId="4C48ECF3" w:rsidR="00736DC0" w:rsidRDefault="0030196D" w:rsidP="00736DC0">
      <w:pPr>
        <w:pStyle w:val="Heading3"/>
      </w:pPr>
      <w:bookmarkStart w:id="823" w:name="_Toc89723107"/>
      <w:bookmarkStart w:id="824" w:name="_Toc90326052"/>
      <w:bookmarkStart w:id="825" w:name="_Toc93659458"/>
      <w:r>
        <w:t>COVID</w:t>
      </w:r>
      <w:r>
        <w:noBreakHyphen/>
        <w:t>19</w:t>
      </w:r>
      <w:r w:rsidR="00736DC0">
        <w:t xml:space="preserve"> and going concern</w:t>
      </w:r>
      <w:bookmarkEnd w:id="823"/>
      <w:bookmarkEnd w:id="824"/>
      <w:bookmarkEnd w:id="825"/>
    </w:p>
    <w:p w14:paraId="0678E865" w14:textId="5272AA95" w:rsidR="00736DC0" w:rsidRDefault="00736DC0" w:rsidP="00736DC0">
      <w:pPr>
        <w:pStyle w:val="BodyText"/>
      </w:pPr>
      <w:r>
        <w:t>The Novel Coronavirus (</w:t>
      </w:r>
      <w:r w:rsidR="0030196D">
        <w:t>COVID</w:t>
      </w:r>
      <w:r w:rsidR="0030196D">
        <w:noBreakHyphen/>
        <w:t>19</w:t>
      </w:r>
      <w:r>
        <w:t>) outbreak first reported in late 2019 is currently having an unprecedented health and economic impact both internationally and domestically. To reduce the spread of the virus, a series of public health measures were imposed across the world and in Australia, including travel restrictions, a nationwide call to work from home and significantly reduced levels of activity in both the economy and community. In response to the global health pandemic, the Federal and State governments have been providing a number of economic stimulus packages and policies in support of Victorian families and businesses.</w:t>
      </w:r>
    </w:p>
    <w:p w14:paraId="4F836E76" w14:textId="651C45B8" w:rsidR="00736DC0" w:rsidRDefault="00736DC0" w:rsidP="00736DC0">
      <w:pPr>
        <w:pStyle w:val="BodyText"/>
      </w:pPr>
      <w:r>
        <w:t xml:space="preserve">The Corporation adopted the Victorian State Government Direction in March 2020 to make our payments to suppliers earlier (note </w:t>
      </w:r>
      <w:r w:rsidR="00C9560B">
        <w:fldChar w:fldCharType="begin"/>
      </w:r>
      <w:r w:rsidR="00C9560B">
        <w:instrText xml:space="preserve"> REF Note39 \h </w:instrText>
      </w:r>
      <w:r w:rsidR="00C9560B">
        <w:fldChar w:fldCharType="separate"/>
      </w:r>
      <w:r w:rsidR="00472151">
        <w:t>3.9</w:t>
      </w:r>
      <w:r w:rsidR="00C9560B">
        <w:fldChar w:fldCharType="end"/>
      </w:r>
      <w:r>
        <w:t xml:space="preserve">) and to provide rent relief (note 7.6). In cooperation with the Victorian State Government's Working for Victoria the Corporation has also created in excess of 100 new jobs (commencing in 2020-21) for those in the community impacted by </w:t>
      </w:r>
      <w:r w:rsidR="0030196D">
        <w:t>COVID</w:t>
      </w:r>
      <w:r w:rsidR="0030196D">
        <w:noBreakHyphen/>
        <w:t>19</w:t>
      </w:r>
      <w:r>
        <w:t>.</w:t>
      </w:r>
    </w:p>
    <w:p w14:paraId="73499401" w14:textId="4EDDADD4" w:rsidR="00736DC0" w:rsidRDefault="00736DC0" w:rsidP="00736DC0">
      <w:pPr>
        <w:pStyle w:val="BodyText"/>
      </w:pPr>
      <w:r>
        <w:t>The Corporation has transitioned the workforce to a blended working arrangement from home and office. We have also implemented COVIDSafe Principles designed to keep our employees and business safe.</w:t>
      </w:r>
    </w:p>
    <w:p w14:paraId="7A2294BF" w14:textId="4E8E855B" w:rsidR="00226E71" w:rsidRDefault="00736DC0" w:rsidP="00736DC0">
      <w:pPr>
        <w:pStyle w:val="BodyText"/>
      </w:pPr>
      <w:r>
        <w:t xml:space="preserve">Other account balances affected by </w:t>
      </w:r>
      <w:r w:rsidR="0030196D">
        <w:t>COVID</w:t>
      </w:r>
      <w:r w:rsidR="0030196D">
        <w:noBreakHyphen/>
        <w:t>19</w:t>
      </w:r>
      <w:r>
        <w:t xml:space="preserve"> due to management's judgements and assumptions about the future and estimation uncertainty include: recoverability of receivables (note </w:t>
      </w:r>
      <w:r w:rsidR="003742AD">
        <w:fldChar w:fldCharType="begin"/>
      </w:r>
      <w:r w:rsidR="003742AD">
        <w:instrText xml:space="preserve"> REF Note23 \h </w:instrText>
      </w:r>
      <w:r w:rsidR="003742AD">
        <w:fldChar w:fldCharType="separate"/>
      </w:r>
      <w:r w:rsidR="00472151">
        <w:t xml:space="preserve">2.3 </w:t>
      </w:r>
      <w:r w:rsidR="003742AD">
        <w:fldChar w:fldCharType="end"/>
      </w:r>
      <w:r>
        <w:t xml:space="preserve">); asset valuations (note </w:t>
      </w:r>
      <w:r w:rsidR="003742AD">
        <w:fldChar w:fldCharType="begin"/>
      </w:r>
      <w:r w:rsidR="003742AD">
        <w:instrText xml:space="preserve"> REF Note4121 \h </w:instrText>
      </w:r>
      <w:r w:rsidR="003742AD">
        <w:fldChar w:fldCharType="separate"/>
      </w:r>
      <w:r w:rsidR="00472151">
        <w:t xml:space="preserve">4.1.2.1 </w:t>
      </w:r>
      <w:r w:rsidR="003742AD">
        <w:fldChar w:fldCharType="end"/>
      </w:r>
      <w:r>
        <w:t xml:space="preserve">); impairment (note </w:t>
      </w:r>
      <w:r w:rsidR="003742AD">
        <w:fldChar w:fldCharType="begin"/>
      </w:r>
      <w:r w:rsidR="003742AD">
        <w:instrText xml:space="preserve"> REF Note413 \h </w:instrText>
      </w:r>
      <w:r w:rsidR="003742AD">
        <w:fldChar w:fldCharType="separate"/>
      </w:r>
      <w:r w:rsidR="00472151">
        <w:t>4.1.3</w:t>
      </w:r>
      <w:r w:rsidR="003742AD">
        <w:fldChar w:fldCharType="end"/>
      </w:r>
      <w:r>
        <w:t xml:space="preserve">); and defined benefit plan actuarial valuation (note </w:t>
      </w:r>
      <w:r w:rsidR="00450381">
        <w:fldChar w:fldCharType="begin"/>
      </w:r>
      <w:r w:rsidR="00450381">
        <w:instrText xml:space="preserve"> REF Note71 \h </w:instrText>
      </w:r>
      <w:r w:rsidR="00450381">
        <w:fldChar w:fldCharType="separate"/>
      </w:r>
      <w:r w:rsidR="00472151">
        <w:t xml:space="preserve">7.1 </w:t>
      </w:r>
      <w:r w:rsidR="00450381">
        <w:fldChar w:fldCharType="end"/>
      </w:r>
      <w:r>
        <w:t>).</w:t>
      </w:r>
    </w:p>
    <w:p w14:paraId="4F014CFA" w14:textId="076E03B5" w:rsidR="00736DC0" w:rsidRDefault="00736DC0" w:rsidP="00736DC0">
      <w:pPr>
        <w:pStyle w:val="BodyText"/>
      </w:pPr>
      <w:r>
        <w:t xml:space="preserve">The Corporation has reviewed the 2021-22 forecasts to reflect expectations about the future. The Corporation does not anticipate any significant impact in our current or future operations or financial position as a result of </w:t>
      </w:r>
      <w:r w:rsidR="0030196D">
        <w:t>COVID</w:t>
      </w:r>
      <w:r w:rsidR="0030196D">
        <w:noBreakHyphen/>
        <w:t>19</w:t>
      </w:r>
      <w:r>
        <w:t>. Therefore it remains appropriate to prepare these financial statements on a going concern basis. The financial statements do not include any adjustments to the carrying amounts and classification of assets, liabilities and reported expenses that may otherwise be required if the going concern basis was not appropriate.</w:t>
      </w:r>
    </w:p>
    <w:p w14:paraId="69482782" w14:textId="2BF2710E" w:rsidR="00736DC0" w:rsidRDefault="00736DC0" w:rsidP="00736DC0">
      <w:pPr>
        <w:pStyle w:val="BodyText"/>
      </w:pPr>
      <w:r>
        <w:t xml:space="preserve">Further </w:t>
      </w:r>
      <w:r w:rsidR="0030196D">
        <w:t>COVID</w:t>
      </w:r>
      <w:r w:rsidR="0030196D">
        <w:noBreakHyphen/>
        <w:t>19</w:t>
      </w:r>
      <w:r>
        <w:t xml:space="preserve"> related disclosures have been added to the financial statements to reflect management's judgements and assessments. These can be found in the notes referenced above.</w:t>
      </w:r>
    </w:p>
    <w:p w14:paraId="10208850" w14:textId="77777777" w:rsidR="00736DC0" w:rsidRDefault="00736DC0" w:rsidP="00736DC0">
      <w:pPr>
        <w:pStyle w:val="Heading3"/>
      </w:pPr>
      <w:bookmarkStart w:id="826" w:name="_Toc89723108"/>
      <w:bookmarkStart w:id="827" w:name="_Ref89806165"/>
      <w:bookmarkStart w:id="828" w:name="_Ref89806367"/>
      <w:bookmarkStart w:id="829" w:name="_Toc90326053"/>
      <w:bookmarkStart w:id="830" w:name="_Toc93659459"/>
      <w:r>
        <w:t>Compliance</w:t>
      </w:r>
      <w:bookmarkEnd w:id="826"/>
      <w:bookmarkEnd w:id="827"/>
      <w:bookmarkEnd w:id="828"/>
      <w:bookmarkEnd w:id="829"/>
      <w:bookmarkEnd w:id="830"/>
    </w:p>
    <w:p w14:paraId="365C3B58" w14:textId="6BAEFE64" w:rsidR="00736DC0" w:rsidRDefault="00736DC0" w:rsidP="00736DC0">
      <w:pPr>
        <w:pStyle w:val="BodyText"/>
      </w:pPr>
      <w:r>
        <w:t xml:space="preserve">These general purpose financial statements have been prepared in accordance with the </w:t>
      </w:r>
      <w:r w:rsidRPr="00736DC0">
        <w:rPr>
          <w:rStyle w:val="ItalicText"/>
        </w:rPr>
        <w:t>Financial Management Act 1994</w:t>
      </w:r>
      <w:r>
        <w:t xml:space="preserve"> and applicable Australian Accounting Standards (AAS) which include Interpretations, issued by the Australian Accounting Standards Board (AASB). They have also been prepared in compliance with applicable Financial Reporting Directions and Standing Directions issued by the Assistant Treasurer.</w:t>
      </w:r>
    </w:p>
    <w:p w14:paraId="788083D3" w14:textId="6D71955B" w:rsidR="00736DC0" w:rsidRDefault="00736DC0" w:rsidP="00736DC0">
      <w:pPr>
        <w:pStyle w:val="BodyText"/>
      </w:pPr>
      <w:r>
        <w:t>In particular, they are presented consistent with the</w:t>
      </w:r>
      <w:r w:rsidR="00D84113">
        <w:t xml:space="preserve"> </w:t>
      </w:r>
      <w:r>
        <w:t xml:space="preserve">requirements of </w:t>
      </w:r>
      <w:r w:rsidRPr="00D84113">
        <w:rPr>
          <w:rStyle w:val="ItalicText"/>
        </w:rPr>
        <w:t>AASB 101 Presentation of Financial Statements</w:t>
      </w:r>
      <w:r>
        <w:t>.</w:t>
      </w:r>
      <w:r w:rsidR="00D84113">
        <w:t xml:space="preserve"> </w:t>
      </w:r>
      <w:r>
        <w:t>As defined in AASB 101 and explained further in the joint</w:t>
      </w:r>
      <w:r w:rsidR="00D84113">
        <w:t xml:space="preserve"> </w:t>
      </w:r>
      <w:r>
        <w:t>Australian Accounting Standards Board and Australian Auditing</w:t>
      </w:r>
      <w:r w:rsidR="00D84113">
        <w:t xml:space="preserve"> </w:t>
      </w:r>
      <w:r>
        <w:t xml:space="preserve">and Assurance Standards Board guidance </w:t>
      </w:r>
      <w:r w:rsidRPr="00D84113">
        <w:t xml:space="preserve">bulletin </w:t>
      </w:r>
      <w:r w:rsidRPr="00D84113">
        <w:rPr>
          <w:rStyle w:val="ItalicText"/>
        </w:rPr>
        <w:t>Climate</w:t>
      </w:r>
      <w:r w:rsidR="00D84113" w:rsidRPr="00D84113">
        <w:rPr>
          <w:rStyle w:val="ItalicText"/>
        </w:rPr>
        <w:t>-</w:t>
      </w:r>
      <w:r w:rsidRPr="00D84113">
        <w:rPr>
          <w:rStyle w:val="ItalicText"/>
        </w:rPr>
        <w:t>related and other</w:t>
      </w:r>
      <w:r w:rsidR="00D84113" w:rsidRPr="00D84113">
        <w:rPr>
          <w:rStyle w:val="ItalicText"/>
        </w:rPr>
        <w:t xml:space="preserve"> </w:t>
      </w:r>
      <w:r w:rsidRPr="00D84113">
        <w:rPr>
          <w:rStyle w:val="ItalicText"/>
        </w:rPr>
        <w:t>emerging</w:t>
      </w:r>
      <w:r w:rsidR="00D84113" w:rsidRPr="00D84113">
        <w:rPr>
          <w:rStyle w:val="ItalicText"/>
        </w:rPr>
        <w:t xml:space="preserve"> </w:t>
      </w:r>
      <w:r w:rsidRPr="00D84113">
        <w:rPr>
          <w:rStyle w:val="ItalicText"/>
        </w:rPr>
        <w:t>risks</w:t>
      </w:r>
      <w:r w:rsidR="00D84113" w:rsidRPr="00D84113">
        <w:rPr>
          <w:rStyle w:val="ItalicText"/>
        </w:rPr>
        <w:t xml:space="preserve"> </w:t>
      </w:r>
      <w:r w:rsidRPr="00D84113">
        <w:rPr>
          <w:rStyle w:val="ItalicText"/>
        </w:rPr>
        <w:t>disclosures: assessing</w:t>
      </w:r>
      <w:r w:rsidR="00D84113" w:rsidRPr="00D84113">
        <w:rPr>
          <w:rStyle w:val="ItalicText"/>
        </w:rPr>
        <w:t xml:space="preserve"> </w:t>
      </w:r>
      <w:r w:rsidRPr="00D84113">
        <w:rPr>
          <w:rStyle w:val="ItalicText"/>
        </w:rPr>
        <w:t>financial</w:t>
      </w:r>
      <w:r w:rsidR="00D84113" w:rsidRPr="00D84113">
        <w:rPr>
          <w:rStyle w:val="ItalicText"/>
        </w:rPr>
        <w:t xml:space="preserve"> </w:t>
      </w:r>
      <w:r w:rsidRPr="00D84113">
        <w:rPr>
          <w:rStyle w:val="ItalicText"/>
        </w:rPr>
        <w:t>statement materiality using</w:t>
      </w:r>
      <w:r w:rsidR="00D84113" w:rsidRPr="00D84113">
        <w:rPr>
          <w:rStyle w:val="ItalicText"/>
        </w:rPr>
        <w:t xml:space="preserve"> </w:t>
      </w:r>
      <w:r w:rsidRPr="00D84113">
        <w:rPr>
          <w:rStyle w:val="ItalicText"/>
        </w:rPr>
        <w:t>AASB/IASB</w:t>
      </w:r>
      <w:r w:rsidR="00D84113" w:rsidRPr="00D84113">
        <w:rPr>
          <w:rStyle w:val="ItalicText"/>
        </w:rPr>
        <w:t xml:space="preserve"> </w:t>
      </w:r>
      <w:r w:rsidRPr="00D84113">
        <w:rPr>
          <w:rStyle w:val="ItalicText"/>
        </w:rPr>
        <w:t>Practice Statement</w:t>
      </w:r>
      <w:r w:rsidR="00D84113" w:rsidRPr="00D84113">
        <w:rPr>
          <w:rStyle w:val="ItalicText"/>
        </w:rPr>
        <w:t xml:space="preserve"> </w:t>
      </w:r>
      <w:r w:rsidRPr="00D84113">
        <w:rPr>
          <w:rStyle w:val="ItalicText"/>
        </w:rPr>
        <w:t>2</w:t>
      </w:r>
      <w:r>
        <w:t>,</w:t>
      </w:r>
      <w:r w:rsidR="00D84113">
        <w:t xml:space="preserve"> </w:t>
      </w:r>
      <w:r>
        <w:t>information is material if</w:t>
      </w:r>
      <w:r w:rsidR="00D84113">
        <w:t xml:space="preserve"> </w:t>
      </w:r>
      <w:r>
        <w:t>omitting it</w:t>
      </w:r>
      <w:r w:rsidR="00D84113">
        <w:t xml:space="preserve"> </w:t>
      </w:r>
      <w:r>
        <w:t>or misstating it</w:t>
      </w:r>
      <w:r w:rsidR="00D84113">
        <w:t xml:space="preserve"> </w:t>
      </w:r>
      <w:r>
        <w:t>could</w:t>
      </w:r>
      <w:r w:rsidR="00D84113">
        <w:t xml:space="preserve"> </w:t>
      </w:r>
      <w:r>
        <w:t>influence decisions that</w:t>
      </w:r>
      <w:r w:rsidR="00D84113">
        <w:t xml:space="preserve"> </w:t>
      </w:r>
      <w:r>
        <w:t>users</w:t>
      </w:r>
      <w:r w:rsidR="00D84113">
        <w:t xml:space="preserve"> </w:t>
      </w:r>
      <w:r>
        <w:t>make on the</w:t>
      </w:r>
      <w:r w:rsidR="00D84113">
        <w:t xml:space="preserve"> </w:t>
      </w:r>
      <w:r>
        <w:t>basis of</w:t>
      </w:r>
      <w:r w:rsidR="00D84113">
        <w:t xml:space="preserve"> </w:t>
      </w:r>
      <w:r>
        <w:t>financial</w:t>
      </w:r>
      <w:r w:rsidR="00D84113">
        <w:t xml:space="preserve"> </w:t>
      </w:r>
      <w:r>
        <w:t>information about</w:t>
      </w:r>
      <w:r w:rsidR="00D84113">
        <w:t xml:space="preserve"> </w:t>
      </w:r>
      <w:r>
        <w:t>the</w:t>
      </w:r>
      <w:r w:rsidR="00D84113">
        <w:t xml:space="preserve"> </w:t>
      </w:r>
      <w:r>
        <w:t>Corporation.</w:t>
      </w:r>
      <w:r w:rsidR="00D84113">
        <w:t xml:space="preserve"> </w:t>
      </w:r>
      <w:r>
        <w:t>Climate-related risk is</w:t>
      </w:r>
      <w:r w:rsidR="00D84113">
        <w:t xml:space="preserve"> </w:t>
      </w:r>
      <w:r>
        <w:t>a</w:t>
      </w:r>
      <w:r w:rsidR="00D84113">
        <w:t xml:space="preserve"> </w:t>
      </w:r>
      <w:r>
        <w:t>risk</w:t>
      </w:r>
      <w:r w:rsidR="00D84113">
        <w:t xml:space="preserve"> </w:t>
      </w:r>
      <w:r>
        <w:t>for</w:t>
      </w:r>
      <w:r w:rsidR="00D84113">
        <w:t xml:space="preserve"> </w:t>
      </w:r>
      <w:r>
        <w:t>the</w:t>
      </w:r>
      <w:r w:rsidR="00D84113">
        <w:t xml:space="preserve"> </w:t>
      </w:r>
      <w:r>
        <w:t>Corporation.</w:t>
      </w:r>
      <w:r w:rsidR="00D84113">
        <w:t xml:space="preserve"> </w:t>
      </w:r>
      <w:r>
        <w:t>The impacts</w:t>
      </w:r>
      <w:r w:rsidR="00D84113">
        <w:t xml:space="preserve"> </w:t>
      </w:r>
      <w:r>
        <w:t>of climate change</w:t>
      </w:r>
      <w:r w:rsidR="00D84113">
        <w:t xml:space="preserve"> </w:t>
      </w:r>
      <w:r>
        <w:t>create</w:t>
      </w:r>
      <w:r w:rsidR="00D84113">
        <w:t xml:space="preserve"> </w:t>
      </w:r>
      <w:r>
        <w:t>resilience challenges</w:t>
      </w:r>
      <w:r w:rsidR="00D84113">
        <w:t xml:space="preserve"> </w:t>
      </w:r>
      <w:r>
        <w:t>for</w:t>
      </w:r>
      <w:r w:rsidR="00D84113">
        <w:t xml:space="preserve"> </w:t>
      </w:r>
      <w:r>
        <w:t>our services.</w:t>
      </w:r>
      <w:r w:rsidR="00D84113">
        <w:t xml:space="preserve"> </w:t>
      </w:r>
      <w:r>
        <w:t>Extreme</w:t>
      </w:r>
      <w:r w:rsidR="00D84113">
        <w:t xml:space="preserve"> </w:t>
      </w:r>
      <w:r>
        <w:t>weather</w:t>
      </w:r>
      <w:r w:rsidR="00D84113">
        <w:t xml:space="preserve"> </w:t>
      </w:r>
      <w:r>
        <w:t>events,</w:t>
      </w:r>
      <w:r w:rsidR="00D84113">
        <w:t xml:space="preserve"> </w:t>
      </w:r>
      <w:r>
        <w:t>rising sea</w:t>
      </w:r>
      <w:r w:rsidR="00D84113">
        <w:t xml:space="preserve"> </w:t>
      </w:r>
      <w:r>
        <w:t>levels,</w:t>
      </w:r>
      <w:r w:rsidR="00D84113">
        <w:t xml:space="preserve"> </w:t>
      </w:r>
      <w:r>
        <w:t>reduced</w:t>
      </w:r>
      <w:r w:rsidR="00D84113">
        <w:t xml:space="preserve"> </w:t>
      </w:r>
      <w:r>
        <w:t>rainfall and</w:t>
      </w:r>
      <w:r w:rsidR="00D84113">
        <w:t xml:space="preserve"> </w:t>
      </w:r>
      <w:r>
        <w:t>increasing</w:t>
      </w:r>
      <w:r w:rsidR="00D84113">
        <w:t xml:space="preserve"> </w:t>
      </w:r>
      <w:r>
        <w:t>temperatures</w:t>
      </w:r>
      <w:r w:rsidR="00D84113">
        <w:t xml:space="preserve"> </w:t>
      </w:r>
      <w:r>
        <w:t>are</w:t>
      </w:r>
      <w:r w:rsidR="00D84113">
        <w:t xml:space="preserve"> </w:t>
      </w:r>
      <w:r>
        <w:t>already affecting</w:t>
      </w:r>
      <w:r w:rsidR="00D84113">
        <w:t xml:space="preserve"> </w:t>
      </w:r>
      <w:r>
        <w:t>our</w:t>
      </w:r>
      <w:r w:rsidR="00D84113">
        <w:t xml:space="preserve"> </w:t>
      </w:r>
      <w:r>
        <w:t>infrastructure,</w:t>
      </w:r>
      <w:r w:rsidR="00D84113">
        <w:t xml:space="preserve"> </w:t>
      </w:r>
      <w:r>
        <w:t>natural</w:t>
      </w:r>
      <w:r w:rsidR="00D84113">
        <w:t xml:space="preserve"> </w:t>
      </w:r>
      <w:r>
        <w:t>environment</w:t>
      </w:r>
      <w:r w:rsidR="00D84113">
        <w:t xml:space="preserve"> </w:t>
      </w:r>
      <w:r>
        <w:lastRenderedPageBreak/>
        <w:t>and</w:t>
      </w:r>
      <w:r w:rsidR="00D84113">
        <w:t xml:space="preserve"> </w:t>
      </w:r>
      <w:r>
        <w:t>water supplies.</w:t>
      </w:r>
      <w:r w:rsidR="00D84113">
        <w:t xml:space="preserve"> </w:t>
      </w:r>
      <w:r>
        <w:t>We expect</w:t>
      </w:r>
      <w:r w:rsidR="00D84113">
        <w:t xml:space="preserve"> </w:t>
      </w:r>
      <w:r>
        <w:t>these changes</w:t>
      </w:r>
      <w:r w:rsidR="00D84113">
        <w:t xml:space="preserve"> </w:t>
      </w:r>
      <w:r>
        <w:t>to continue,</w:t>
      </w:r>
      <w:r w:rsidR="00D84113">
        <w:t xml:space="preserve"> </w:t>
      </w:r>
      <w:r>
        <w:t>and</w:t>
      </w:r>
      <w:r w:rsidR="00D84113">
        <w:t xml:space="preserve"> </w:t>
      </w:r>
      <w:r>
        <w:t>therefore</w:t>
      </w:r>
      <w:r w:rsidR="00D84113">
        <w:t xml:space="preserve"> </w:t>
      </w:r>
      <w:r>
        <w:t>we</w:t>
      </w:r>
      <w:r w:rsidR="00D84113">
        <w:t xml:space="preserve"> </w:t>
      </w:r>
      <w:r>
        <w:t>are</w:t>
      </w:r>
      <w:r w:rsidR="00D84113">
        <w:t xml:space="preserve"> </w:t>
      </w:r>
      <w:r>
        <w:t>taking action now</w:t>
      </w:r>
      <w:r w:rsidR="00D84113">
        <w:t xml:space="preserve"> </w:t>
      </w:r>
      <w:r>
        <w:t>to</w:t>
      </w:r>
      <w:r w:rsidR="00D84113">
        <w:t xml:space="preserve"> </w:t>
      </w:r>
      <w:r>
        <w:t>ensure</w:t>
      </w:r>
      <w:r w:rsidR="00D84113">
        <w:t xml:space="preserve"> </w:t>
      </w:r>
      <w:r>
        <w:t>we</w:t>
      </w:r>
      <w:r w:rsidR="00D84113">
        <w:t xml:space="preserve"> </w:t>
      </w:r>
      <w:r>
        <w:t>are</w:t>
      </w:r>
      <w:r w:rsidR="00D84113">
        <w:t xml:space="preserve"> </w:t>
      </w:r>
      <w:r>
        <w:t>prepared</w:t>
      </w:r>
      <w:r w:rsidR="00D84113">
        <w:t xml:space="preserve"> </w:t>
      </w:r>
      <w:r>
        <w:t>for</w:t>
      </w:r>
      <w:r w:rsidR="00D84113">
        <w:t xml:space="preserve"> </w:t>
      </w:r>
      <w:r>
        <w:t>the</w:t>
      </w:r>
      <w:r w:rsidR="00D84113">
        <w:t xml:space="preserve"> </w:t>
      </w:r>
      <w:r>
        <w:t>future.</w:t>
      </w:r>
    </w:p>
    <w:p w14:paraId="06B2E812" w14:textId="2EAE7395" w:rsidR="00736DC0" w:rsidRDefault="00736DC0" w:rsidP="00736DC0">
      <w:pPr>
        <w:pStyle w:val="BodyText"/>
      </w:pPr>
      <w:r>
        <w:t>We have considered the impact of climate-related risks and</w:t>
      </w:r>
      <w:r w:rsidR="00D84113">
        <w:t xml:space="preserve"> </w:t>
      </w:r>
      <w:r>
        <w:t>determined there is no material financial impact to the 2020</w:t>
      </w:r>
      <w:r w:rsidR="00D84113">
        <w:t>-</w:t>
      </w:r>
      <w:r>
        <w:t>21</w:t>
      </w:r>
      <w:r w:rsidR="00D84113">
        <w:t xml:space="preserve"> </w:t>
      </w:r>
      <w:r>
        <w:t>financial statements (consistent</w:t>
      </w:r>
      <w:r w:rsidR="00D84113">
        <w:t xml:space="preserve"> </w:t>
      </w:r>
      <w:r>
        <w:t>with</w:t>
      </w:r>
      <w:r w:rsidR="00D84113">
        <w:t xml:space="preserve"> </w:t>
      </w:r>
      <w:r>
        <w:t>our conclusion</w:t>
      </w:r>
      <w:r w:rsidR="00D84113">
        <w:t xml:space="preserve"> </w:t>
      </w:r>
      <w:r>
        <w:t>for</w:t>
      </w:r>
      <w:r w:rsidR="00D84113">
        <w:t xml:space="preserve"> </w:t>
      </w:r>
      <w:r>
        <w:t>2019-20) other than</w:t>
      </w:r>
      <w:r w:rsidR="00D84113">
        <w:t xml:space="preserve"> </w:t>
      </w:r>
      <w:r>
        <w:t>through</w:t>
      </w:r>
      <w:r w:rsidR="00D84113">
        <w:t xml:space="preserve"> </w:t>
      </w:r>
      <w:r>
        <w:t>uncertainty to</w:t>
      </w:r>
      <w:r w:rsidR="00D84113">
        <w:t xml:space="preserve"> </w:t>
      </w:r>
      <w:r>
        <w:t>significant</w:t>
      </w:r>
      <w:r w:rsidR="00D84113">
        <w:t xml:space="preserve"> </w:t>
      </w:r>
      <w:r>
        <w:t>future</w:t>
      </w:r>
      <w:r w:rsidR="00D84113">
        <w:t xml:space="preserve"> </w:t>
      </w:r>
      <w:r>
        <w:t xml:space="preserve">forecasting assumptions determining infrastructure asset fair value (note </w:t>
      </w:r>
      <w:r w:rsidR="003742AD">
        <w:fldChar w:fldCharType="begin"/>
      </w:r>
      <w:r w:rsidR="003742AD">
        <w:instrText xml:space="preserve"> REF Note4121 \h </w:instrText>
      </w:r>
      <w:r w:rsidR="003742AD">
        <w:fldChar w:fldCharType="separate"/>
      </w:r>
      <w:r w:rsidR="00472151">
        <w:t xml:space="preserve">4.1.2.1 </w:t>
      </w:r>
      <w:r w:rsidR="003742AD">
        <w:fldChar w:fldCharType="end"/>
      </w:r>
      <w:r>
        <w:t xml:space="preserve">) and asset impairment (note </w:t>
      </w:r>
      <w:r w:rsidR="003742AD">
        <w:fldChar w:fldCharType="begin"/>
      </w:r>
      <w:r w:rsidR="003742AD">
        <w:instrText xml:space="preserve"> REF Note413 \h </w:instrText>
      </w:r>
      <w:r w:rsidR="003742AD">
        <w:fldChar w:fldCharType="separate"/>
      </w:r>
      <w:r w:rsidR="00472151">
        <w:t>4.1.3</w:t>
      </w:r>
      <w:r w:rsidR="003742AD">
        <w:fldChar w:fldCharType="end"/>
      </w:r>
      <w:r>
        <w:t>). Climate</w:t>
      </w:r>
      <w:r w:rsidR="00D84113">
        <w:t xml:space="preserve"> </w:t>
      </w:r>
      <w:r>
        <w:t>change is also a consideration in determining asset useful life</w:t>
      </w:r>
      <w:r w:rsidR="00D84113">
        <w:t xml:space="preserve"> </w:t>
      </w:r>
      <w:r>
        <w:t xml:space="preserve">assumptions (note </w:t>
      </w:r>
      <w:r w:rsidR="003742AD">
        <w:fldChar w:fldCharType="begin"/>
      </w:r>
      <w:r w:rsidR="003742AD">
        <w:instrText xml:space="preserve"> REF Note413 \h </w:instrText>
      </w:r>
      <w:r w:rsidR="003742AD">
        <w:fldChar w:fldCharType="separate"/>
      </w:r>
      <w:r w:rsidR="00472151">
        <w:t>4.1.3</w:t>
      </w:r>
      <w:r w:rsidR="003742AD">
        <w:fldChar w:fldCharType="end"/>
      </w:r>
      <w:r>
        <w:t>), provisions (note 3.12) and contingent</w:t>
      </w:r>
      <w:r w:rsidR="00D84113">
        <w:t xml:space="preserve"> </w:t>
      </w:r>
      <w:r>
        <w:t>liabilities (note</w:t>
      </w:r>
      <w:r w:rsidR="00450381">
        <w:t xml:space="preserve"> </w:t>
      </w:r>
      <w:r w:rsidR="00450381">
        <w:fldChar w:fldCharType="begin"/>
      </w:r>
      <w:r w:rsidR="00450381">
        <w:instrText xml:space="preserve"> REF Note63 \h </w:instrText>
      </w:r>
      <w:r w:rsidR="00450381">
        <w:fldChar w:fldCharType="separate"/>
      </w:r>
      <w:r w:rsidR="00472151">
        <w:t xml:space="preserve">6.3 </w:t>
      </w:r>
      <w:r w:rsidR="00450381">
        <w:fldChar w:fldCharType="end"/>
      </w:r>
      <w:r>
        <w:t>).</w:t>
      </w:r>
    </w:p>
    <w:p w14:paraId="533110A9" w14:textId="77777777" w:rsidR="00D84113" w:rsidRDefault="00D84113" w:rsidP="00D84113">
      <w:pPr>
        <w:pStyle w:val="Heading3"/>
      </w:pPr>
      <w:bookmarkStart w:id="831" w:name="_Toc89723109"/>
      <w:bookmarkStart w:id="832" w:name="_Toc90326054"/>
      <w:bookmarkStart w:id="833" w:name="_Toc93659460"/>
      <w:r>
        <w:t>Accounting policies</w:t>
      </w:r>
      <w:bookmarkEnd w:id="831"/>
      <w:bookmarkEnd w:id="832"/>
      <w:bookmarkEnd w:id="833"/>
    </w:p>
    <w:p w14:paraId="1D613645" w14:textId="30A62C0C" w:rsidR="00D84113" w:rsidRDefault="00D84113" w:rsidP="00D84113">
      <w:pPr>
        <w:pStyle w:val="BodyText"/>
      </w:pPr>
      <w:r>
        <w:t>All accounting policies applied are consistent with those of the prior year. There have been no changes to accounting policies for the 2020-21 financial year.</w:t>
      </w:r>
    </w:p>
    <w:p w14:paraId="356BC1A5" w14:textId="77777777" w:rsidR="00D84113" w:rsidRDefault="00D84113" w:rsidP="00D84113">
      <w:pPr>
        <w:pStyle w:val="Heading3"/>
      </w:pPr>
      <w:bookmarkStart w:id="834" w:name="_Toc89723110"/>
      <w:bookmarkStart w:id="835" w:name="_Toc90326055"/>
      <w:bookmarkStart w:id="836" w:name="_Toc93659461"/>
      <w:r>
        <w:t>Significant event</w:t>
      </w:r>
      <w:bookmarkEnd w:id="834"/>
      <w:bookmarkEnd w:id="835"/>
      <w:bookmarkEnd w:id="836"/>
    </w:p>
    <w:p w14:paraId="07A41263" w14:textId="1797D5D1" w:rsidR="00D84113" w:rsidRDefault="00D84113" w:rsidP="00D84113">
      <w:pPr>
        <w:pStyle w:val="Heading4"/>
      </w:pPr>
      <w:r>
        <w:t>Port Phillip and Westernport Catchment Management Authority (PPWCMA) integration</w:t>
      </w:r>
    </w:p>
    <w:p w14:paraId="2AFE28B9" w14:textId="6FE01133" w:rsidR="00D84113" w:rsidRDefault="00D84113" w:rsidP="00D84113">
      <w:pPr>
        <w:pStyle w:val="BodyText"/>
      </w:pPr>
      <w:r>
        <w:t xml:space="preserve">On 8 February 2021, the Victorian Government announced the decision to integrate the functions of the </w:t>
      </w:r>
      <w:r w:rsidR="00A52F94">
        <w:t>Port Phillip and Western Port Catchment Management Authority</w:t>
      </w:r>
      <w:r>
        <w:t xml:space="preserve"> into Melbourne Water (the Corporation), commencing from 1 January 2022. This will mean that, for the Port Phillip and Westernport (PPW) region, catchment management and waterway management functions will be brought together under one entity, the Corporation.</w:t>
      </w:r>
    </w:p>
    <w:p w14:paraId="78EBB207" w14:textId="72256D29" w:rsidR="00D84113" w:rsidRDefault="00A52F94" w:rsidP="00D84113">
      <w:pPr>
        <w:pStyle w:val="BodyText"/>
      </w:pPr>
      <w:r>
        <w:t>Port Phillip and Western Port Catchment Management Authority</w:t>
      </w:r>
      <w:r w:rsidR="00D84113">
        <w:t xml:space="preserve">, the Corporation and </w:t>
      </w:r>
      <w:r w:rsidR="0030196D">
        <w:t>Department of Environment, Land, Water and Planning</w:t>
      </w:r>
      <w:r w:rsidR="00D84113">
        <w:t xml:space="preserve"> are working together during 2021 to prepare for the integration. The integration will involve transferring </w:t>
      </w:r>
      <w:r>
        <w:t>Port Phillip and Western Port Catchment Management Authority</w:t>
      </w:r>
      <w:r w:rsidR="00D84113">
        <w:t xml:space="preserve">’s functions, powers, duties, assets, liabilities and staff to the Corporation. This includes legislative reform being coordinated by </w:t>
      </w:r>
      <w:r w:rsidR="0030196D">
        <w:t>Department of Environment, Land, Water and Planning</w:t>
      </w:r>
      <w:r w:rsidR="00D84113">
        <w:t xml:space="preserve">. Until the integration takes effect, the performance of the </w:t>
      </w:r>
      <w:r>
        <w:t>Port Phillip and Western Port Catchment Management Authority</w:t>
      </w:r>
      <w:r w:rsidR="00D84113">
        <w:t xml:space="preserve"> will continue to be led by the </w:t>
      </w:r>
      <w:r>
        <w:t>Port Phillip and Western Port Catchment Management Authority</w:t>
      </w:r>
      <w:r w:rsidR="00D84113">
        <w:t xml:space="preserve"> Board.</w:t>
      </w:r>
    </w:p>
    <w:p w14:paraId="29D9F1FF" w14:textId="551E1814" w:rsidR="00736DC0" w:rsidRDefault="00D84113" w:rsidP="00D84113">
      <w:pPr>
        <w:pStyle w:val="BodyText"/>
      </w:pPr>
      <w:r>
        <w:t xml:space="preserve">It is expected that </w:t>
      </w:r>
      <w:r w:rsidR="00A52F94">
        <w:t>Port Phillip and Western Port Catchment Management Authority</w:t>
      </w:r>
      <w:r>
        <w:t xml:space="preserve"> will officially wind up on 31 December 2021 and all </w:t>
      </w:r>
      <w:r w:rsidR="00A52F94">
        <w:t>Port Phillip and Western Port Catchment Management Authority</w:t>
      </w:r>
      <w:r>
        <w:t xml:space="preserve"> functions, powers, duties, assets, liabilities and existing employees will transfer to the Corporation from 1 January 2022. It is expected that the integration will be accounted for as a transfer of contributed equity as per FRD 119A. The financial impacts of the integration will be disclosed in the 2021-22 financial statements for the Corporation and are not expected to be material.</w:t>
      </w:r>
    </w:p>
    <w:p w14:paraId="68470A4E" w14:textId="279C6E5D" w:rsidR="00D84113" w:rsidRDefault="00D84113" w:rsidP="00D84113">
      <w:pPr>
        <w:pStyle w:val="Heading2"/>
      </w:pPr>
      <w:bookmarkStart w:id="837" w:name="_Toc89723111"/>
      <w:bookmarkStart w:id="838" w:name="_Toc89723242"/>
      <w:bookmarkStart w:id="839" w:name="_Toc89723302"/>
      <w:bookmarkStart w:id="840" w:name="_Ref89843425"/>
      <w:bookmarkStart w:id="841" w:name="_Ref89843429"/>
      <w:bookmarkStart w:id="842" w:name="_Toc89860568"/>
      <w:bookmarkStart w:id="843" w:name="_Toc89860712"/>
      <w:bookmarkStart w:id="844" w:name="_Toc90326056"/>
      <w:bookmarkStart w:id="845" w:name="_Toc93659462"/>
      <w:r>
        <w:t>Funding Delivery of Our Services</w:t>
      </w:r>
      <w:bookmarkEnd w:id="837"/>
      <w:bookmarkEnd w:id="838"/>
      <w:bookmarkEnd w:id="839"/>
      <w:bookmarkEnd w:id="840"/>
      <w:bookmarkEnd w:id="841"/>
      <w:bookmarkEnd w:id="842"/>
      <w:bookmarkEnd w:id="843"/>
      <w:bookmarkEnd w:id="844"/>
      <w:bookmarkEnd w:id="845"/>
    </w:p>
    <w:p w14:paraId="08634B93" w14:textId="37429EA8" w:rsidR="00D84113" w:rsidRDefault="00D84113" w:rsidP="00D84113">
      <w:pPr>
        <w:pStyle w:val="Heading3"/>
      </w:pPr>
      <w:bookmarkStart w:id="846" w:name="_Toc89723112"/>
      <w:bookmarkStart w:id="847" w:name="_Toc90326057"/>
      <w:bookmarkStart w:id="848" w:name="_Toc93659463"/>
      <w:r>
        <w:t>Introduction</w:t>
      </w:r>
      <w:bookmarkEnd w:id="846"/>
      <w:bookmarkEnd w:id="847"/>
      <w:bookmarkEnd w:id="848"/>
    </w:p>
    <w:p w14:paraId="659E8570" w14:textId="2EBF32B9" w:rsidR="00D84113" w:rsidRDefault="00D84113" w:rsidP="00D84113">
      <w:pPr>
        <w:pStyle w:val="BodyText"/>
      </w:pPr>
      <w:r>
        <w:t>This section provides additional information about how the Corporation is funded and the accounting policies that are relevant for an understanding of the items recognised in the financial statements. The Corporation's vision is to enhance life and liveability within Melbourne and it achieves this through providing water, sewerage services, flood mitigation and environmental protection.</w:t>
      </w:r>
    </w:p>
    <w:p w14:paraId="0D71FA20" w14:textId="77777777" w:rsidR="00D84113" w:rsidRPr="004D79F1" w:rsidRDefault="00D84113" w:rsidP="00D84113">
      <w:pPr>
        <w:pStyle w:val="BodyText"/>
        <w:rPr>
          <w:rStyle w:val="Bold"/>
        </w:rPr>
      </w:pPr>
      <w:r w:rsidRPr="004D79F1">
        <w:rPr>
          <w:rStyle w:val="Bold"/>
        </w:rPr>
        <w:t>Structure</w:t>
      </w:r>
    </w:p>
    <w:p w14:paraId="4204D340" w14:textId="2EF86710" w:rsidR="00D84113" w:rsidRPr="00CF70F9" w:rsidRDefault="004D79F1" w:rsidP="00D346CA">
      <w:pPr>
        <w:pStyle w:val="NoSpacing"/>
        <w:spacing w:line="288" w:lineRule="auto"/>
      </w:pPr>
      <w:r w:rsidRPr="004D79F1">
        <w:rPr>
          <w:color w:val="0000FF"/>
          <w:u w:val="single"/>
        </w:rPr>
        <w:fldChar w:fldCharType="begin"/>
      </w:r>
      <w:r w:rsidRPr="004D79F1">
        <w:rPr>
          <w:color w:val="0000FF"/>
          <w:u w:val="single"/>
        </w:rPr>
        <w:instrText xml:space="preserve"> REF _Ref89845058 \h </w:instrText>
      </w:r>
      <w:r w:rsidR="00CF70F9">
        <w:rPr>
          <w:color w:val="0000FF"/>
          <w:u w:val="single"/>
        </w:rPr>
        <w:instrText xml:space="preserve"> \* MERGEFORMAT </w:instrText>
      </w:r>
      <w:r w:rsidRPr="004D79F1">
        <w:rPr>
          <w:color w:val="0000FF"/>
          <w:u w:val="single"/>
        </w:rPr>
      </w:r>
      <w:r w:rsidRPr="004D79F1">
        <w:rPr>
          <w:color w:val="0000FF"/>
          <w:u w:val="single"/>
        </w:rPr>
        <w:fldChar w:fldCharType="separate"/>
      </w:r>
      <w:r w:rsidR="00472151" w:rsidRPr="00D84113">
        <w:t xml:space="preserve">2.1 </w:t>
      </w:r>
      <w:r w:rsidR="00472151" w:rsidRPr="00472151">
        <w:rPr>
          <w:rStyle w:val="HyperlinkFaux"/>
        </w:rPr>
        <w:t>Revenue from contracts with customers</w:t>
      </w:r>
      <w:r w:rsidRPr="004D79F1">
        <w:rPr>
          <w:color w:val="0000FF"/>
          <w:u w:val="single"/>
        </w:rPr>
        <w:fldChar w:fldCharType="end"/>
      </w:r>
    </w:p>
    <w:p w14:paraId="2E9A8CC1" w14:textId="095CE602" w:rsidR="00D84113" w:rsidRPr="00CF70F9" w:rsidRDefault="004D79F1" w:rsidP="00D346CA">
      <w:pPr>
        <w:pStyle w:val="NoSpacing"/>
        <w:spacing w:line="288" w:lineRule="auto"/>
      </w:pPr>
      <w:r w:rsidRPr="004D79F1">
        <w:rPr>
          <w:color w:val="0000FF"/>
          <w:u w:val="single"/>
        </w:rPr>
        <w:fldChar w:fldCharType="begin"/>
      </w:r>
      <w:r w:rsidRPr="004D79F1">
        <w:rPr>
          <w:color w:val="0000FF"/>
          <w:u w:val="single"/>
        </w:rPr>
        <w:instrText xml:space="preserve"> REF _Ref89845116 \h </w:instrText>
      </w:r>
      <w:r w:rsidR="00CF70F9">
        <w:rPr>
          <w:color w:val="0000FF"/>
          <w:u w:val="single"/>
        </w:rPr>
        <w:instrText xml:space="preserve"> \* MERGEFORMAT </w:instrText>
      </w:r>
      <w:r w:rsidRPr="004D79F1">
        <w:rPr>
          <w:color w:val="0000FF"/>
          <w:u w:val="single"/>
        </w:rPr>
      </w:r>
      <w:r w:rsidRPr="004D79F1">
        <w:rPr>
          <w:color w:val="0000FF"/>
          <w:u w:val="single"/>
        </w:rPr>
        <w:fldChar w:fldCharType="separate"/>
      </w:r>
      <w:r w:rsidR="00472151">
        <w:t xml:space="preserve">2.2 </w:t>
      </w:r>
      <w:r w:rsidR="00472151" w:rsidRPr="00472151">
        <w:rPr>
          <w:rStyle w:val="HyperlinkFaux"/>
        </w:rPr>
        <w:t>Other income</w:t>
      </w:r>
      <w:r w:rsidRPr="004D79F1">
        <w:rPr>
          <w:color w:val="0000FF"/>
          <w:u w:val="single"/>
        </w:rPr>
        <w:fldChar w:fldCharType="end"/>
      </w:r>
    </w:p>
    <w:p w14:paraId="215806D3" w14:textId="04C3E443" w:rsidR="004D79F1" w:rsidRPr="00CF70F9" w:rsidRDefault="004D79F1" w:rsidP="00D346CA">
      <w:pPr>
        <w:pStyle w:val="NoSpacing"/>
        <w:spacing w:line="288" w:lineRule="auto"/>
      </w:pPr>
      <w:r w:rsidRPr="00CF70F9">
        <w:fldChar w:fldCharType="begin"/>
      </w:r>
      <w:r w:rsidRPr="00CF70F9">
        <w:instrText xml:space="preserve"> REF _Ref89845131 \h </w:instrText>
      </w:r>
      <w:r w:rsidR="00CF70F9">
        <w:instrText xml:space="preserve"> \* MERGEFORMAT </w:instrText>
      </w:r>
      <w:r w:rsidRPr="00CF70F9">
        <w:fldChar w:fldCharType="separate"/>
      </w:r>
      <w:r w:rsidR="00472151">
        <w:t xml:space="preserve">2.3 </w:t>
      </w:r>
      <w:r w:rsidR="00472151" w:rsidRPr="00472151">
        <w:rPr>
          <w:rStyle w:val="HyperlinkFaux"/>
        </w:rPr>
        <w:t>Receivables</w:t>
      </w:r>
      <w:r w:rsidRPr="00CF70F9">
        <w:fldChar w:fldCharType="end"/>
      </w:r>
    </w:p>
    <w:p w14:paraId="22079F32" w14:textId="4BE18864" w:rsidR="00D84113" w:rsidRDefault="00D84113" w:rsidP="0011520C">
      <w:pPr>
        <w:pStyle w:val="Heading3"/>
      </w:pPr>
      <w:bookmarkStart w:id="849" w:name="Note21"/>
      <w:bookmarkStart w:id="850" w:name="_Toc89723113"/>
      <w:bookmarkStart w:id="851" w:name="_Ref89843459"/>
      <w:bookmarkStart w:id="852" w:name="_Ref89843462"/>
      <w:bookmarkStart w:id="853" w:name="_Ref89845058"/>
      <w:bookmarkStart w:id="854" w:name="_Toc90326058"/>
      <w:bookmarkStart w:id="855" w:name="_Toc93659464"/>
      <w:r w:rsidRPr="00D84113">
        <w:lastRenderedPageBreak/>
        <w:t xml:space="preserve">2.1 </w:t>
      </w:r>
      <w:bookmarkEnd w:id="849"/>
      <w:r w:rsidRPr="00D84113">
        <w:t>Revenue from contracts with customers</w:t>
      </w:r>
      <w:bookmarkEnd w:id="850"/>
      <w:bookmarkEnd w:id="851"/>
      <w:bookmarkEnd w:id="852"/>
      <w:bookmarkEnd w:id="853"/>
      <w:bookmarkEnd w:id="854"/>
      <w:bookmarkEnd w:id="855"/>
    </w:p>
    <w:tbl>
      <w:tblPr>
        <w:tblStyle w:val="Style1"/>
        <w:tblW w:w="5000" w:type="pct"/>
        <w:tblLook w:val="04A0" w:firstRow="1" w:lastRow="0" w:firstColumn="1" w:lastColumn="0" w:noHBand="0" w:noVBand="1"/>
      </w:tblPr>
      <w:tblGrid>
        <w:gridCol w:w="5671"/>
        <w:gridCol w:w="1986"/>
        <w:gridCol w:w="1974"/>
      </w:tblGrid>
      <w:tr w:rsidR="00D84113" w:rsidRPr="00AA3C93" w14:paraId="344400DC"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tcBorders>
            <w:vAlign w:val="bottom"/>
          </w:tcPr>
          <w:p w14:paraId="5A13FB1B" w14:textId="507B1972" w:rsidR="00D84113" w:rsidRPr="00AA3C93" w:rsidRDefault="00965CBA" w:rsidP="0011520C">
            <w:pPr>
              <w:keepNext/>
              <w:keepLines/>
            </w:pPr>
            <w:bookmarkStart w:id="856" w:name="ColumnTitle_35"/>
            <w:r w:rsidRPr="00AA3C93">
              <w:t>Item</w:t>
            </w:r>
          </w:p>
        </w:tc>
        <w:tc>
          <w:tcPr>
            <w:tcW w:w="1031" w:type="pct"/>
            <w:tcBorders>
              <w:top w:val="single" w:sz="4" w:space="0" w:color="auto"/>
            </w:tcBorders>
            <w:vAlign w:val="bottom"/>
          </w:tcPr>
          <w:p w14:paraId="68B56FD4" w14:textId="77777777" w:rsidR="00D84113" w:rsidRPr="00AA3C93" w:rsidRDefault="00965CBA" w:rsidP="0011520C">
            <w:pPr>
              <w:keepNext/>
              <w:keepLines/>
              <w:cnfStyle w:val="100000000000" w:firstRow="1" w:lastRow="0" w:firstColumn="0" w:lastColumn="0" w:oddVBand="0" w:evenVBand="0" w:oddHBand="0" w:evenHBand="0" w:firstRowFirstColumn="0" w:firstRowLastColumn="0" w:lastRowFirstColumn="0" w:lastRowLastColumn="0"/>
            </w:pPr>
            <w:r w:rsidRPr="00AA3C93">
              <w:t>2021</w:t>
            </w:r>
          </w:p>
          <w:p w14:paraId="4B9526B4" w14:textId="5286016F" w:rsidR="00965CBA" w:rsidRPr="00AA3C93" w:rsidRDefault="00965CBA" w:rsidP="0011520C">
            <w:pPr>
              <w:keepNext/>
              <w:keepLines/>
              <w:cnfStyle w:val="100000000000" w:firstRow="1" w:lastRow="0" w:firstColumn="0" w:lastColumn="0" w:oddVBand="0" w:evenVBand="0" w:oddHBand="0" w:evenHBand="0" w:firstRowFirstColumn="0" w:firstRowLastColumn="0" w:lastRowFirstColumn="0" w:lastRowLastColumn="0"/>
            </w:pPr>
            <w:r w:rsidRPr="00AA3C93">
              <w:t>($ thousands)</w:t>
            </w:r>
          </w:p>
        </w:tc>
        <w:tc>
          <w:tcPr>
            <w:tcW w:w="1025" w:type="pct"/>
            <w:tcBorders>
              <w:top w:val="single" w:sz="4" w:space="0" w:color="auto"/>
            </w:tcBorders>
            <w:vAlign w:val="bottom"/>
          </w:tcPr>
          <w:p w14:paraId="0EAC371A" w14:textId="77777777" w:rsidR="00D84113" w:rsidRPr="00AA3C93" w:rsidRDefault="00965CBA" w:rsidP="0011520C">
            <w:pPr>
              <w:keepNext/>
              <w:keepLines/>
              <w:cnfStyle w:val="100000000000" w:firstRow="1" w:lastRow="0" w:firstColumn="0" w:lastColumn="0" w:oddVBand="0" w:evenVBand="0" w:oddHBand="0" w:evenHBand="0" w:firstRowFirstColumn="0" w:firstRowLastColumn="0" w:lastRowFirstColumn="0" w:lastRowLastColumn="0"/>
            </w:pPr>
            <w:r w:rsidRPr="00AA3C93">
              <w:t>2020</w:t>
            </w:r>
          </w:p>
          <w:p w14:paraId="33FAB6CF" w14:textId="4035F699" w:rsidR="00965CBA" w:rsidRPr="00AA3C93" w:rsidRDefault="00965CBA" w:rsidP="0011520C">
            <w:pPr>
              <w:keepNext/>
              <w:keepLines/>
              <w:cnfStyle w:val="100000000000" w:firstRow="1" w:lastRow="0" w:firstColumn="0" w:lastColumn="0" w:oddVBand="0" w:evenVBand="0" w:oddHBand="0" w:evenHBand="0" w:firstRowFirstColumn="0" w:firstRowLastColumn="0" w:lastRowFirstColumn="0" w:lastRowLastColumn="0"/>
            </w:pPr>
            <w:r w:rsidRPr="00AA3C93">
              <w:t>($ thousands)</w:t>
            </w:r>
          </w:p>
        </w:tc>
      </w:tr>
      <w:bookmarkEnd w:id="856"/>
      <w:tr w:rsidR="00D84113" w:rsidRPr="00D84113" w14:paraId="0EEFD1AF"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2FE1D3B6" w14:textId="599AC9BC" w:rsidR="00D84113" w:rsidRPr="00D84113" w:rsidRDefault="00965CBA" w:rsidP="0011520C">
            <w:pPr>
              <w:pStyle w:val="TableBodyText"/>
              <w:keepNext/>
              <w:keepLines/>
            </w:pPr>
            <w:r>
              <w:t>Bulk water services</w:t>
            </w:r>
          </w:p>
        </w:tc>
        <w:tc>
          <w:tcPr>
            <w:tcW w:w="1031" w:type="pct"/>
            <w:vAlign w:val="top"/>
          </w:tcPr>
          <w:p w14:paraId="0583B427" w14:textId="6483BCE5" w:rsidR="00D84113" w:rsidRPr="00D84113" w:rsidRDefault="00965CBA"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964,351</w:t>
            </w:r>
          </w:p>
        </w:tc>
        <w:tc>
          <w:tcPr>
            <w:tcW w:w="1025" w:type="pct"/>
            <w:vAlign w:val="top"/>
          </w:tcPr>
          <w:p w14:paraId="28A2F723" w14:textId="4E53CB4C" w:rsidR="00D84113" w:rsidRPr="00D84113" w:rsidRDefault="00965CBA"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996,467</w:t>
            </w:r>
          </w:p>
        </w:tc>
      </w:tr>
      <w:tr w:rsidR="00D84113" w:rsidRPr="00D84113" w14:paraId="33491F7B"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214BE37E" w14:textId="516D3B9F" w:rsidR="00D84113" w:rsidRPr="00D84113" w:rsidRDefault="00965CBA" w:rsidP="0011520C">
            <w:pPr>
              <w:pStyle w:val="TableBodyText"/>
              <w:keepNext/>
              <w:keepLines/>
            </w:pPr>
            <w:r>
              <w:t>Bulk sewerage services</w:t>
            </w:r>
          </w:p>
        </w:tc>
        <w:tc>
          <w:tcPr>
            <w:tcW w:w="1031" w:type="pct"/>
            <w:vAlign w:val="top"/>
          </w:tcPr>
          <w:p w14:paraId="77632619" w14:textId="7CE59D66" w:rsidR="00D84113" w:rsidRPr="00D84113" w:rsidRDefault="00965CBA"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455,874</w:t>
            </w:r>
          </w:p>
        </w:tc>
        <w:tc>
          <w:tcPr>
            <w:tcW w:w="1025" w:type="pct"/>
            <w:vAlign w:val="top"/>
          </w:tcPr>
          <w:p w14:paraId="31B9784E" w14:textId="6175075E" w:rsidR="00D84113" w:rsidRPr="00D84113" w:rsidRDefault="00965CBA"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452,045</w:t>
            </w:r>
          </w:p>
        </w:tc>
      </w:tr>
      <w:tr w:rsidR="00965CBA" w:rsidRPr="00D84113" w14:paraId="5A962921"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25D31A06" w14:textId="0EF3C9EE" w:rsidR="00965CBA" w:rsidRPr="00D84113" w:rsidRDefault="00965CBA" w:rsidP="00AA3C93">
            <w:pPr>
              <w:pStyle w:val="TableBodyText"/>
            </w:pPr>
            <w:r>
              <w:t>Waterways and drainage charges</w:t>
            </w:r>
          </w:p>
        </w:tc>
        <w:tc>
          <w:tcPr>
            <w:tcW w:w="1031" w:type="pct"/>
            <w:vAlign w:val="top"/>
          </w:tcPr>
          <w:p w14:paraId="2E9A15B2" w14:textId="63D7FB66"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263,930</w:t>
            </w:r>
          </w:p>
        </w:tc>
        <w:tc>
          <w:tcPr>
            <w:tcW w:w="1025" w:type="pct"/>
            <w:vAlign w:val="top"/>
          </w:tcPr>
          <w:p w14:paraId="683F2C5F" w14:textId="41D4C249"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250,896</w:t>
            </w:r>
          </w:p>
        </w:tc>
      </w:tr>
      <w:tr w:rsidR="00965CBA" w:rsidRPr="00D84113" w14:paraId="5186CD69"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3D7B4059" w14:textId="45A988B2" w:rsidR="00965CBA" w:rsidRPr="00D84113" w:rsidRDefault="00965CBA" w:rsidP="00AA3C93">
            <w:pPr>
              <w:pStyle w:val="TableBodyText"/>
            </w:pPr>
            <w:r>
              <w:t>Developer contributions</w:t>
            </w:r>
          </w:p>
        </w:tc>
        <w:tc>
          <w:tcPr>
            <w:tcW w:w="1031" w:type="pct"/>
            <w:vAlign w:val="top"/>
          </w:tcPr>
          <w:p w14:paraId="3C607DE2" w14:textId="227B3A06"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186,723</w:t>
            </w:r>
          </w:p>
        </w:tc>
        <w:tc>
          <w:tcPr>
            <w:tcW w:w="1025" w:type="pct"/>
            <w:vAlign w:val="top"/>
          </w:tcPr>
          <w:p w14:paraId="5CCA21FD" w14:textId="036422D1"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192,232</w:t>
            </w:r>
          </w:p>
        </w:tc>
      </w:tr>
      <w:tr w:rsidR="00965CBA" w:rsidRPr="00D84113" w14:paraId="4CD26529"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3F1318CF" w14:textId="74A44887" w:rsidR="00965CBA" w:rsidRPr="00D84113" w:rsidRDefault="00965CBA" w:rsidP="00AA3C93">
            <w:pPr>
              <w:pStyle w:val="TableBodyText"/>
            </w:pPr>
            <w:r>
              <w:t>Developer contributed assets</w:t>
            </w:r>
          </w:p>
        </w:tc>
        <w:tc>
          <w:tcPr>
            <w:tcW w:w="1031" w:type="pct"/>
            <w:vAlign w:val="top"/>
          </w:tcPr>
          <w:p w14:paraId="5AAB91F1" w14:textId="04D4F87B"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38,484</w:t>
            </w:r>
          </w:p>
        </w:tc>
        <w:tc>
          <w:tcPr>
            <w:tcW w:w="1025" w:type="pct"/>
            <w:vAlign w:val="top"/>
          </w:tcPr>
          <w:p w14:paraId="030AB51A" w14:textId="3109EA2B"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38,512</w:t>
            </w:r>
          </w:p>
        </w:tc>
      </w:tr>
      <w:tr w:rsidR="00965CBA" w:rsidRPr="00D84113" w14:paraId="20C5D062"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6E6CDA26" w14:textId="61CC3F74" w:rsidR="00965CBA" w:rsidRPr="00D84113" w:rsidRDefault="00965CBA" w:rsidP="00AA3C93">
            <w:pPr>
              <w:pStyle w:val="TableBodyText"/>
            </w:pPr>
            <w:r>
              <w:t>Net gain on disposal of property, plant, equipment and intangibles</w:t>
            </w:r>
          </w:p>
        </w:tc>
        <w:tc>
          <w:tcPr>
            <w:tcW w:w="1031" w:type="pct"/>
            <w:vAlign w:val="top"/>
          </w:tcPr>
          <w:p w14:paraId="60F9E6B4" w14:textId="61B09401"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16,554</w:t>
            </w:r>
          </w:p>
        </w:tc>
        <w:tc>
          <w:tcPr>
            <w:tcW w:w="1025" w:type="pct"/>
            <w:vAlign w:val="top"/>
          </w:tcPr>
          <w:p w14:paraId="6E146DD1" w14:textId="5F1F0EAA"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15,207</w:t>
            </w:r>
          </w:p>
        </w:tc>
      </w:tr>
      <w:tr w:rsidR="00965CBA" w:rsidRPr="00D84113" w14:paraId="43D55114" w14:textId="77777777" w:rsidTr="00AA3C93">
        <w:tc>
          <w:tcPr>
            <w:cnfStyle w:val="001000000000" w:firstRow="0" w:lastRow="0" w:firstColumn="1" w:lastColumn="0" w:oddVBand="0" w:evenVBand="0" w:oddHBand="0" w:evenHBand="0" w:firstRowFirstColumn="0" w:firstRowLastColumn="0" w:lastRowFirstColumn="0" w:lastRowLastColumn="0"/>
            <w:tcW w:w="2944" w:type="pct"/>
            <w:tcBorders>
              <w:bottom w:val="single" w:sz="4" w:space="0" w:color="auto"/>
            </w:tcBorders>
            <w:vAlign w:val="top"/>
          </w:tcPr>
          <w:p w14:paraId="586FD563" w14:textId="7035AF58" w:rsidR="00965CBA" w:rsidRPr="00D84113" w:rsidRDefault="00965CBA" w:rsidP="00AA3C93">
            <w:pPr>
              <w:pStyle w:val="TableBodyText"/>
            </w:pPr>
            <w:r>
              <w:t>Other revenue</w:t>
            </w:r>
          </w:p>
        </w:tc>
        <w:tc>
          <w:tcPr>
            <w:tcW w:w="1031" w:type="pct"/>
            <w:tcBorders>
              <w:bottom w:val="single" w:sz="4" w:space="0" w:color="auto"/>
            </w:tcBorders>
            <w:vAlign w:val="top"/>
          </w:tcPr>
          <w:p w14:paraId="555A1F90" w14:textId="133D2C60"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13,588</w:t>
            </w:r>
          </w:p>
        </w:tc>
        <w:tc>
          <w:tcPr>
            <w:tcW w:w="1025" w:type="pct"/>
            <w:tcBorders>
              <w:bottom w:val="single" w:sz="4" w:space="0" w:color="auto"/>
            </w:tcBorders>
            <w:vAlign w:val="top"/>
          </w:tcPr>
          <w:p w14:paraId="7D79C707" w14:textId="6A4773B6" w:rsidR="00965CBA" w:rsidRPr="00D84113" w:rsidRDefault="00965CBA" w:rsidP="00AA3C93">
            <w:pPr>
              <w:pStyle w:val="TableBodyText"/>
              <w:cnfStyle w:val="000000000000" w:firstRow="0" w:lastRow="0" w:firstColumn="0" w:lastColumn="0" w:oddVBand="0" w:evenVBand="0" w:oddHBand="0" w:evenHBand="0" w:firstRowFirstColumn="0" w:firstRowLastColumn="0" w:lastRowFirstColumn="0" w:lastRowLastColumn="0"/>
            </w:pPr>
            <w:r>
              <w:t>9,603</w:t>
            </w:r>
          </w:p>
        </w:tc>
      </w:tr>
      <w:tr w:rsidR="00965CBA" w:rsidRPr="00965CBA" w14:paraId="1807036F" w14:textId="77777777" w:rsidTr="00AA3C93">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bottom w:val="single" w:sz="4" w:space="0" w:color="auto"/>
            </w:tcBorders>
            <w:vAlign w:val="top"/>
          </w:tcPr>
          <w:p w14:paraId="4FDC8B45" w14:textId="223A1255" w:rsidR="00965CBA" w:rsidRPr="00965CBA" w:rsidRDefault="00965CBA" w:rsidP="00AA3C93">
            <w:pPr>
              <w:pStyle w:val="TableBodyText"/>
              <w:rPr>
                <w:rStyle w:val="Bold"/>
              </w:rPr>
            </w:pPr>
            <w:r w:rsidRPr="00965CBA">
              <w:rPr>
                <w:rStyle w:val="Bold"/>
              </w:rPr>
              <w:t>Total revenue from contracts with customers</w:t>
            </w:r>
          </w:p>
        </w:tc>
        <w:tc>
          <w:tcPr>
            <w:tcW w:w="1031" w:type="pct"/>
            <w:tcBorders>
              <w:top w:val="single" w:sz="4" w:space="0" w:color="auto"/>
              <w:bottom w:val="single" w:sz="4" w:space="0" w:color="auto"/>
            </w:tcBorders>
            <w:vAlign w:val="top"/>
          </w:tcPr>
          <w:p w14:paraId="5AD7C0C3" w14:textId="00E55B0A" w:rsidR="00965CBA" w:rsidRPr="00965CBA" w:rsidRDefault="00965CBA"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965CBA">
              <w:rPr>
                <w:rStyle w:val="Bold"/>
              </w:rPr>
              <w:t>1,939,504</w:t>
            </w:r>
          </w:p>
        </w:tc>
        <w:tc>
          <w:tcPr>
            <w:tcW w:w="1025" w:type="pct"/>
            <w:tcBorders>
              <w:top w:val="single" w:sz="4" w:space="0" w:color="auto"/>
              <w:bottom w:val="single" w:sz="4" w:space="0" w:color="auto"/>
            </w:tcBorders>
            <w:vAlign w:val="top"/>
          </w:tcPr>
          <w:p w14:paraId="220AEBDB" w14:textId="6C181797" w:rsidR="00965CBA" w:rsidRPr="00965CBA" w:rsidRDefault="00965CBA"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965CBA">
              <w:rPr>
                <w:rStyle w:val="Bold"/>
              </w:rPr>
              <w:t>1,954,962</w:t>
            </w:r>
          </w:p>
        </w:tc>
      </w:tr>
    </w:tbl>
    <w:p w14:paraId="70199F61" w14:textId="65635DA6" w:rsidR="00965CBA" w:rsidRDefault="00965CBA" w:rsidP="00965CBA">
      <w:pPr>
        <w:pStyle w:val="BodyText"/>
      </w:pPr>
      <w:r>
        <w:t xml:space="preserve">The Corporation collects </w:t>
      </w:r>
      <w:r w:rsidRPr="00965CBA">
        <w:rPr>
          <w:rStyle w:val="Bold"/>
        </w:rPr>
        <w:t>bulk water and sewerage services</w:t>
      </w:r>
      <w:r>
        <w:t xml:space="preserve"> revenue for providing storage operator services and bulk water and sewerage services to retail metropolitan and regional water businesses.</w:t>
      </w:r>
    </w:p>
    <w:p w14:paraId="35C016B7" w14:textId="38179F4B" w:rsidR="00965CBA" w:rsidRDefault="00965CBA" w:rsidP="00965CBA">
      <w:pPr>
        <w:pStyle w:val="BodyText"/>
      </w:pPr>
      <w:r>
        <w:t>Bulk water and sewerage services revenues consist of a variable metered component (based on volumes of usage) and a fixed fee (for service availability). The usage charge is invoiced weekly with payment required within 7 days. The availability charge is invoiced in advance monthly with payment required within 14 days.</w:t>
      </w:r>
    </w:p>
    <w:p w14:paraId="36F592C3" w14:textId="40E1A7FB" w:rsidR="00736DC0" w:rsidRDefault="00965CBA" w:rsidP="00965CBA">
      <w:pPr>
        <w:pStyle w:val="BodyText"/>
      </w:pPr>
      <w:r>
        <w:t xml:space="preserve">Revenue is recognised in line with the Corporation meeting its performance obligations over time as the customer simultaneously receives and consumes the services provided. An estimate is made at the end of the accounting period for unbilled revenue (refer to receivables note </w:t>
      </w:r>
      <w:r w:rsidR="00506A67">
        <w:fldChar w:fldCharType="begin"/>
      </w:r>
      <w:r w:rsidR="00506A67">
        <w:instrText xml:space="preserve"> REF Note23 \h </w:instrText>
      </w:r>
      <w:r w:rsidR="00506A67">
        <w:fldChar w:fldCharType="separate"/>
      </w:r>
      <w:r w:rsidR="00472151">
        <w:t xml:space="preserve">2.3 </w:t>
      </w:r>
      <w:r w:rsidR="00506A67">
        <w:fldChar w:fldCharType="end"/>
      </w:r>
      <w:r>
        <w:t>).</w:t>
      </w:r>
    </w:p>
    <w:p w14:paraId="263938A3" w14:textId="70C8B28B" w:rsidR="00965CBA" w:rsidRDefault="00965CBA" w:rsidP="00965CBA">
      <w:pPr>
        <w:pStyle w:val="BodyText"/>
      </w:pPr>
      <w:r>
        <w:t xml:space="preserve">The Corporation provides </w:t>
      </w:r>
      <w:r w:rsidRPr="00965CBA">
        <w:rPr>
          <w:rStyle w:val="Bold"/>
        </w:rPr>
        <w:t>waterways and drainage services</w:t>
      </w:r>
      <w:r>
        <w:t xml:space="preserve"> to residential, non residential, rural and special area customers. The charges are recognised in the year for which the charge is levied and are billed either quarterly or annually in advance and are collected by various retail water businesses on behalf of the Corporation. A lien is held over each property to ensure that any outstanding amounts are recovered upon sale of the property.</w:t>
      </w:r>
    </w:p>
    <w:p w14:paraId="12433C37" w14:textId="725E5F77" w:rsidR="00965CBA" w:rsidRDefault="00965CBA" w:rsidP="00965CBA">
      <w:pPr>
        <w:pStyle w:val="BodyText"/>
      </w:pPr>
      <w:r>
        <w:t xml:space="preserve">Revenue is recognised in line with the Corporation meeting its performance obligations over time as the customer simultaneously receives and consumes the services provided. An estimate is made at the end of the accounting period for unbilled revenue (refer to receivables </w:t>
      </w:r>
      <w:r w:rsidR="00506A67">
        <w:t xml:space="preserve">note </w:t>
      </w:r>
      <w:r w:rsidR="00506A67">
        <w:fldChar w:fldCharType="begin"/>
      </w:r>
      <w:r w:rsidR="00506A67">
        <w:instrText xml:space="preserve"> REF Note23 \h </w:instrText>
      </w:r>
      <w:r w:rsidR="00506A67">
        <w:fldChar w:fldCharType="separate"/>
      </w:r>
      <w:r w:rsidR="00472151">
        <w:t xml:space="preserve">2.3 </w:t>
      </w:r>
      <w:r w:rsidR="00506A67">
        <w:fldChar w:fldCharType="end"/>
      </w:r>
      <w:r>
        <w:t>).</w:t>
      </w:r>
    </w:p>
    <w:p w14:paraId="2DB33FEC" w14:textId="3F98D1D4" w:rsidR="00965CBA" w:rsidRDefault="00965CBA" w:rsidP="00965CBA">
      <w:pPr>
        <w:pStyle w:val="BodyText"/>
      </w:pPr>
      <w:r w:rsidRPr="00822EED">
        <w:rPr>
          <w:rStyle w:val="Bold"/>
        </w:rPr>
        <w:t>Developer contributions</w:t>
      </w:r>
      <w:r>
        <w:t xml:space="preserve"> are collected from developers in order to fund drainage scheme infrastructure (constructed catchment assets) and stormwater quality treatment works.</w:t>
      </w:r>
    </w:p>
    <w:p w14:paraId="72078A07" w14:textId="76945820" w:rsidR="00965CBA" w:rsidRDefault="00965CBA" w:rsidP="00965CBA">
      <w:pPr>
        <w:pStyle w:val="BodyText"/>
      </w:pPr>
      <w:r>
        <w:t xml:space="preserve">The Corporation has a performance obligation in relation to developer contributions, which is to assess whether all the requirements for the issue of a Statement of Compliance (SOC) have been met by the developer and to provide consent to the local council to issue the </w:t>
      </w:r>
      <w:r w:rsidR="00DC0A06">
        <w:t>Statement of Compliance</w:t>
      </w:r>
      <w:r>
        <w:t xml:space="preserve"> if the requirements have been met.</w:t>
      </w:r>
    </w:p>
    <w:p w14:paraId="213DAB7B" w14:textId="5A1A0613" w:rsidR="00965CBA" w:rsidRDefault="00965CBA" w:rsidP="00965CBA">
      <w:pPr>
        <w:pStyle w:val="BodyText"/>
      </w:pPr>
      <w:r>
        <w:t xml:space="preserve">The Corporation recognises developer contribution revenue at a point in time as the performance obligation is satisfied (that is, upon provision of consent to the local council to issue the </w:t>
      </w:r>
      <w:r w:rsidR="00DC0A06">
        <w:t>Statement of Compliance</w:t>
      </w:r>
      <w:r>
        <w:t>). The transaction price is the total amount of cash contributions from the developer for the applicable contract, unless the transaction price is adjusted by differences between the assessed fair value of the constructed catchment assets and reimbursements to the developer for construction of those assets (see developer contributed assets policy below).</w:t>
      </w:r>
    </w:p>
    <w:p w14:paraId="21A8B885" w14:textId="518C45FC" w:rsidR="00965CBA" w:rsidRDefault="00965CBA" w:rsidP="00965CBA">
      <w:pPr>
        <w:pStyle w:val="BodyText"/>
      </w:pPr>
      <w:r>
        <w:lastRenderedPageBreak/>
        <w:t>Developer contributions received in advance of the performance obligation being satisfied are recorded as contract liabilities from contracts with customers (included in note 3.10) and then recognised as revenue as the performance obligation is satisfied for each contract.</w:t>
      </w:r>
    </w:p>
    <w:p w14:paraId="6BC670F3" w14:textId="7BF46EE9" w:rsidR="00965CBA" w:rsidRDefault="00965CBA" w:rsidP="00965CBA">
      <w:pPr>
        <w:pStyle w:val="BodyText"/>
      </w:pPr>
      <w:r>
        <w:t xml:space="preserve">A significant financing component is deemed to exist within a contract when developer contributions revenue is received greater than 12 months before the performance obligation is satisfied. The Corporation assesses the balance of unearned revenue from developer contributions at balance date. If a significant financing component exists then the Corporation adjusts the revenue transaction price (within unearned revenue) and recognises an interest expense (see note </w:t>
      </w:r>
      <w:r w:rsidR="002B0B65">
        <w:fldChar w:fldCharType="begin"/>
      </w:r>
      <w:r w:rsidR="002B0B65">
        <w:instrText xml:space="preserve"> REF Note51 \h </w:instrText>
      </w:r>
      <w:r w:rsidR="002B0B65">
        <w:fldChar w:fldCharType="separate"/>
      </w:r>
      <w:r w:rsidR="00472151" w:rsidRPr="00300324">
        <w:t xml:space="preserve">5.1 </w:t>
      </w:r>
      <w:r w:rsidR="002B0B65">
        <w:fldChar w:fldCharType="end"/>
      </w:r>
      <w:r>
        <w:t>) to reflect the time value of money using prevailing interest rates. When the performance obligation is satisfied the revenue is recognised based on the adjusted transaction price.</w:t>
      </w:r>
    </w:p>
    <w:p w14:paraId="25574004" w14:textId="353F3283" w:rsidR="00965CBA" w:rsidRDefault="00965CBA" w:rsidP="00965CBA">
      <w:pPr>
        <w:pStyle w:val="BodyText"/>
      </w:pPr>
      <w:r w:rsidRPr="00965CBA">
        <w:rPr>
          <w:rStyle w:val="Bold"/>
        </w:rPr>
        <w:t>Developer contributed assets (DCA)</w:t>
      </w:r>
      <w:r>
        <w:t xml:space="preserve"> consist of developer constructed catchment assets transferred to the Corporation to maintain in perpetuity. Under a drainage scheme, developers may be required to undertake capital works in relation to the construction of drainage infrastructure required for their stage of development and other developers in the drainage catchment. This will be included in contracts between the Corporation and the developer as a condition of consent for an </w:t>
      </w:r>
      <w:r w:rsidR="00DC0A06">
        <w:t>Statement of Compliance</w:t>
      </w:r>
      <w:r>
        <w:t>. Upon completion of the works, these constructed catchment assets become the property of the Corporation. The developer will either be reimbursed by the Corporation for the construction costs at an agreed reimbursable amount (funded through developer contributions for that catchment) or the developer will fully fund the construction costs (in arrangements where there are no developer contributions).</w:t>
      </w:r>
    </w:p>
    <w:p w14:paraId="1846DD2E" w14:textId="748F0FEA" w:rsidR="00822EED" w:rsidRDefault="00822EED" w:rsidP="00822EED">
      <w:pPr>
        <w:pStyle w:val="BodyText"/>
      </w:pPr>
      <w:r>
        <w:t xml:space="preserve">The Corporation has a performance obligation in relation to </w:t>
      </w:r>
      <w:r w:rsidR="00DC0A06">
        <w:t>developer contributed asset</w:t>
      </w:r>
      <w:r>
        <w:t xml:space="preserve">s, which is to assess whether all the requirements (including construction of catchment assets) for the issue of an </w:t>
      </w:r>
      <w:r w:rsidR="00DC0A06">
        <w:t>Statement of Compliance</w:t>
      </w:r>
      <w:r>
        <w:t xml:space="preserve"> have been met and to provide consent to the local council to issue the </w:t>
      </w:r>
      <w:r w:rsidR="00DC0A06">
        <w:t>Statement of Compliance</w:t>
      </w:r>
      <w:r>
        <w:t xml:space="preserve"> if the requirements have been met.</w:t>
      </w:r>
    </w:p>
    <w:p w14:paraId="58A2454D" w14:textId="6F0ACC23" w:rsidR="00822EED" w:rsidRDefault="00822EED" w:rsidP="00822EED">
      <w:pPr>
        <w:pStyle w:val="BodyText"/>
      </w:pPr>
      <w:r>
        <w:t xml:space="preserve">The transaction price for </w:t>
      </w:r>
      <w:r w:rsidR="00DC0A06">
        <w:t>developer contributed assets</w:t>
      </w:r>
      <w:r>
        <w:t xml:space="preserve"> revenue is determined based on any difference between the assessed fair value of the constructed catchment assets and the reimbursements made to the developer (where reimbursements are applicable depending on the arrangement).</w:t>
      </w:r>
    </w:p>
    <w:p w14:paraId="6735F333" w14:textId="219B84B0" w:rsidR="00822EED" w:rsidRDefault="00822EED" w:rsidP="00822EED">
      <w:pPr>
        <w:pStyle w:val="BodyText"/>
      </w:pPr>
      <w:r>
        <w:t>The transaction price is uncertain until the date of practical completion of the assets, which usually occurs after the performance obligation is met. Therefore, at the time the performance obligation is met any revenue associated with the constructed catchment assets to be received is considered to be variable consideration.</w:t>
      </w:r>
    </w:p>
    <w:p w14:paraId="364E84DA" w14:textId="02B8D415" w:rsidR="00822EED" w:rsidRDefault="00DC0A06" w:rsidP="00822EED">
      <w:pPr>
        <w:pStyle w:val="BodyText"/>
      </w:pPr>
      <w:r>
        <w:t>Developer contributed assets</w:t>
      </w:r>
      <w:r w:rsidR="00822EED">
        <w:t xml:space="preserve"> revenue (and associated infrastructure assets) are therefore recognised at the date of practical completion of the works (and their acceptance by the Corporation) when the uncertainty regarding the fair value of the assets is resolved.</w:t>
      </w:r>
    </w:p>
    <w:p w14:paraId="61CEC220" w14:textId="780E2A65" w:rsidR="00822EED" w:rsidRDefault="00822EED" w:rsidP="00822EED">
      <w:pPr>
        <w:pStyle w:val="BodyText"/>
      </w:pPr>
      <w:r>
        <w:t xml:space="preserve">Land parcels are also voluntarily transferred from developers to the Corporation (for nil consideration). These transfers relate to land set aside by developers as reserves at the point of subdivision. The transfers are made voluntarily on the basis of the Corporation being the relevant authority to hold and maintain such land for public benefit, rather than being transferred in the context of a contract with a customer. There is no exchange of goods or services from the Corporation to the developers for this land and contracts between the Corporation and the developers do not include these transfers of land. Accordingly, the transfer of land is not considered to form part of the transaction price for revenue recognition. As the transferred land satisfies the definition of property, plant and equipment under </w:t>
      </w:r>
      <w:r w:rsidRPr="00822EED">
        <w:rPr>
          <w:rStyle w:val="ItalicText"/>
        </w:rPr>
        <w:t>AASB 116 Property, Plant and Equipment</w:t>
      </w:r>
      <w:r>
        <w:t>, the initial measurement and subsequent measurement of such land is within the scope of AASB 116, that is, the land is recognised initially at cost (being nil) and subsequently revalued in accordance with the land class of assets.</w:t>
      </w:r>
    </w:p>
    <w:p w14:paraId="798D6275" w14:textId="74FAF2F6" w:rsidR="00822EED" w:rsidRDefault="00822EED" w:rsidP="00822EED">
      <w:pPr>
        <w:pStyle w:val="BodyText"/>
      </w:pPr>
      <w:r>
        <w:t xml:space="preserve">The </w:t>
      </w:r>
      <w:r w:rsidRPr="00822EED">
        <w:rPr>
          <w:rStyle w:val="Bold"/>
        </w:rPr>
        <w:t>net gain on disposal of property, plant, equipment and intangibles</w:t>
      </w:r>
      <w:r>
        <w:t xml:space="preserve"> from sales is recognised as revenue when control over the asset has been transferred to the customer at a point in time. This is the point when the Corporation has performed its performance obligation.</w:t>
      </w:r>
    </w:p>
    <w:p w14:paraId="1CC03388" w14:textId="78F649D9" w:rsidR="00822EED" w:rsidRDefault="00822EED" w:rsidP="00822EED">
      <w:pPr>
        <w:pStyle w:val="BodyText"/>
      </w:pPr>
      <w:r>
        <w:lastRenderedPageBreak/>
        <w:t>Revenue is measured at the transaction price agreed under the contract. For property sales the consideration is due when it settles.</w:t>
      </w:r>
    </w:p>
    <w:p w14:paraId="191CB7BD" w14:textId="15EF24AC" w:rsidR="00736DC0" w:rsidRDefault="00822EED" w:rsidP="00822EED">
      <w:pPr>
        <w:pStyle w:val="BodyText"/>
      </w:pPr>
      <w:r>
        <w:t>Property sales are recognised in the Statement of Profit or Loss and Other Comprehensive Income on a net basis of sale proceeds less costs.</w:t>
      </w:r>
    </w:p>
    <w:p w14:paraId="36A4D2CF" w14:textId="415A05AB" w:rsidR="00822EED" w:rsidRDefault="00822EED" w:rsidP="00822EED">
      <w:pPr>
        <w:pStyle w:val="BodyText"/>
      </w:pPr>
      <w:r w:rsidRPr="00AA3C93">
        <w:rPr>
          <w:rStyle w:val="Bold"/>
        </w:rPr>
        <w:t>Other revenue</w:t>
      </w:r>
      <w:r>
        <w:t xml:space="preserve"> includes fees and charges and other miscellaneous revenue which are all recognised at a point in time when the Corporation meets the required performance obligations under the contract.</w:t>
      </w:r>
    </w:p>
    <w:p w14:paraId="35983F92" w14:textId="28A65BF1" w:rsidR="00822EED" w:rsidRDefault="00822EED" w:rsidP="00822EED">
      <w:pPr>
        <w:pStyle w:val="Heading3"/>
      </w:pPr>
      <w:bookmarkStart w:id="857" w:name="Note22"/>
      <w:bookmarkStart w:id="858" w:name="_Toc89723114"/>
      <w:bookmarkStart w:id="859" w:name="_Ref89843488"/>
      <w:bookmarkStart w:id="860" w:name="_Ref89845116"/>
      <w:bookmarkStart w:id="861" w:name="_Toc90326059"/>
      <w:bookmarkStart w:id="862" w:name="_Toc93659465"/>
      <w:r>
        <w:t xml:space="preserve">2.2 </w:t>
      </w:r>
      <w:bookmarkEnd w:id="857"/>
      <w:r>
        <w:t>Other income</w:t>
      </w:r>
      <w:bookmarkEnd w:id="858"/>
      <w:bookmarkEnd w:id="859"/>
      <w:bookmarkEnd w:id="860"/>
      <w:bookmarkEnd w:id="861"/>
      <w:bookmarkEnd w:id="862"/>
    </w:p>
    <w:tbl>
      <w:tblPr>
        <w:tblStyle w:val="Style1"/>
        <w:tblW w:w="5000" w:type="pct"/>
        <w:tblLook w:val="04A0" w:firstRow="1" w:lastRow="0" w:firstColumn="1" w:lastColumn="0" w:noHBand="0" w:noVBand="1"/>
      </w:tblPr>
      <w:tblGrid>
        <w:gridCol w:w="5671"/>
        <w:gridCol w:w="1986"/>
        <w:gridCol w:w="1974"/>
      </w:tblGrid>
      <w:tr w:rsidR="00822EED" w:rsidRPr="00AA3C93" w14:paraId="511C0212"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tcBorders>
            <w:vAlign w:val="bottom"/>
          </w:tcPr>
          <w:p w14:paraId="452E27D8" w14:textId="77777777" w:rsidR="00822EED" w:rsidRPr="00AA3C93" w:rsidRDefault="00822EED" w:rsidP="00AA3C93">
            <w:bookmarkStart w:id="863" w:name="ColumnTitle_36"/>
            <w:r w:rsidRPr="00AA3C93">
              <w:t>Item</w:t>
            </w:r>
          </w:p>
        </w:tc>
        <w:tc>
          <w:tcPr>
            <w:tcW w:w="1031" w:type="pct"/>
            <w:tcBorders>
              <w:top w:val="single" w:sz="4" w:space="0" w:color="auto"/>
            </w:tcBorders>
            <w:vAlign w:val="bottom"/>
          </w:tcPr>
          <w:p w14:paraId="16BB59F2"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2021</w:t>
            </w:r>
          </w:p>
          <w:p w14:paraId="2C764F8A"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 thousands)</w:t>
            </w:r>
          </w:p>
        </w:tc>
        <w:tc>
          <w:tcPr>
            <w:tcW w:w="1025" w:type="pct"/>
            <w:tcBorders>
              <w:top w:val="single" w:sz="4" w:space="0" w:color="auto"/>
            </w:tcBorders>
            <w:vAlign w:val="bottom"/>
          </w:tcPr>
          <w:p w14:paraId="51D62491"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2020</w:t>
            </w:r>
          </w:p>
          <w:p w14:paraId="1F45BACD"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 thousands)</w:t>
            </w:r>
          </w:p>
        </w:tc>
      </w:tr>
      <w:bookmarkEnd w:id="863"/>
      <w:tr w:rsidR="00822EED" w:rsidRPr="00D84113" w14:paraId="07C9AC62"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3A883DD6" w14:textId="07CEB415" w:rsidR="00822EED" w:rsidRPr="00D84113" w:rsidRDefault="00822EED" w:rsidP="00AA3C93">
            <w:pPr>
              <w:pStyle w:val="TableBodyText"/>
            </w:pPr>
            <w:r>
              <w:t>Interest revenue</w:t>
            </w:r>
          </w:p>
        </w:tc>
        <w:tc>
          <w:tcPr>
            <w:tcW w:w="1031" w:type="pct"/>
            <w:vAlign w:val="top"/>
          </w:tcPr>
          <w:p w14:paraId="17B917A8" w14:textId="3140A7FC"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110</w:t>
            </w:r>
          </w:p>
        </w:tc>
        <w:tc>
          <w:tcPr>
            <w:tcW w:w="1025" w:type="pct"/>
            <w:vAlign w:val="top"/>
          </w:tcPr>
          <w:p w14:paraId="32CD4480" w14:textId="23D6BE40"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79</w:t>
            </w:r>
          </w:p>
        </w:tc>
      </w:tr>
      <w:tr w:rsidR="00822EED" w:rsidRPr="00D84113" w14:paraId="015AE122"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5EE6E2D2" w14:textId="438ACB45" w:rsidR="00822EED" w:rsidRPr="00D84113" w:rsidRDefault="00822EED" w:rsidP="00AA3C93">
            <w:pPr>
              <w:pStyle w:val="TableBodyText"/>
            </w:pPr>
            <w:r>
              <w:t>Rental income</w:t>
            </w:r>
          </w:p>
        </w:tc>
        <w:tc>
          <w:tcPr>
            <w:tcW w:w="1031" w:type="pct"/>
            <w:vAlign w:val="top"/>
          </w:tcPr>
          <w:p w14:paraId="5A988D78" w14:textId="7144A6C3"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2,920</w:t>
            </w:r>
          </w:p>
        </w:tc>
        <w:tc>
          <w:tcPr>
            <w:tcW w:w="1025" w:type="pct"/>
            <w:vAlign w:val="top"/>
          </w:tcPr>
          <w:p w14:paraId="2978261D" w14:textId="70E8A71C"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3,012</w:t>
            </w:r>
          </w:p>
        </w:tc>
      </w:tr>
      <w:tr w:rsidR="00822EED" w:rsidRPr="00D84113" w14:paraId="4A80A85A"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167B8A7B" w14:textId="7A8F711E" w:rsidR="00822EED" w:rsidRPr="00D84113" w:rsidRDefault="00822EED" w:rsidP="00AA3C93">
            <w:pPr>
              <w:pStyle w:val="TableBodyText"/>
            </w:pPr>
            <w:r>
              <w:t>Government grants</w:t>
            </w:r>
          </w:p>
        </w:tc>
        <w:tc>
          <w:tcPr>
            <w:tcW w:w="1031" w:type="pct"/>
            <w:vAlign w:val="top"/>
          </w:tcPr>
          <w:p w14:paraId="1C7C3BD9" w14:textId="1454C3A9"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6,991</w:t>
            </w:r>
          </w:p>
        </w:tc>
        <w:tc>
          <w:tcPr>
            <w:tcW w:w="1025" w:type="pct"/>
            <w:vAlign w:val="top"/>
          </w:tcPr>
          <w:p w14:paraId="6510A46C" w14:textId="2E854EC2"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1,425</w:t>
            </w:r>
          </w:p>
        </w:tc>
      </w:tr>
      <w:tr w:rsidR="00822EED" w:rsidRPr="00965CBA" w14:paraId="7DBB31D8" w14:textId="77777777" w:rsidTr="00AA3C93">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bottom w:val="single" w:sz="4" w:space="0" w:color="auto"/>
            </w:tcBorders>
            <w:vAlign w:val="top"/>
          </w:tcPr>
          <w:p w14:paraId="152952AE" w14:textId="39181F5C" w:rsidR="00822EED" w:rsidRPr="00965CBA" w:rsidRDefault="00822EED" w:rsidP="00AA3C93">
            <w:pPr>
              <w:pStyle w:val="TableBodyText"/>
              <w:rPr>
                <w:rStyle w:val="Bold"/>
              </w:rPr>
            </w:pPr>
            <w:r>
              <w:rPr>
                <w:rStyle w:val="Bold"/>
              </w:rPr>
              <w:t>Total other income</w:t>
            </w:r>
          </w:p>
        </w:tc>
        <w:tc>
          <w:tcPr>
            <w:tcW w:w="1031" w:type="pct"/>
            <w:tcBorders>
              <w:top w:val="single" w:sz="4" w:space="0" w:color="auto"/>
              <w:bottom w:val="single" w:sz="4" w:space="0" w:color="auto"/>
            </w:tcBorders>
            <w:vAlign w:val="top"/>
          </w:tcPr>
          <w:p w14:paraId="6D55A0A5" w14:textId="45E954D1" w:rsidR="00822EED" w:rsidRPr="00965CBA" w:rsidRDefault="00822EED"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10,021</w:t>
            </w:r>
          </w:p>
        </w:tc>
        <w:tc>
          <w:tcPr>
            <w:tcW w:w="1025" w:type="pct"/>
            <w:tcBorders>
              <w:top w:val="single" w:sz="4" w:space="0" w:color="auto"/>
              <w:bottom w:val="single" w:sz="4" w:space="0" w:color="auto"/>
            </w:tcBorders>
            <w:vAlign w:val="top"/>
          </w:tcPr>
          <w:p w14:paraId="0900C611" w14:textId="7FB9341F" w:rsidR="00822EED" w:rsidRPr="00965CBA" w:rsidRDefault="00822EED"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4,516</w:t>
            </w:r>
          </w:p>
        </w:tc>
      </w:tr>
    </w:tbl>
    <w:p w14:paraId="032BE27A" w14:textId="4BE4664B" w:rsidR="00822EED" w:rsidRDefault="00822EED" w:rsidP="00822EED">
      <w:pPr>
        <w:pStyle w:val="BodyText"/>
      </w:pPr>
      <w:r w:rsidRPr="00822EED">
        <w:rPr>
          <w:rStyle w:val="Bold"/>
        </w:rPr>
        <w:t>Interest revenue</w:t>
      </w:r>
      <w:r>
        <w:t xml:space="preserve"> is recognised when earned and is accrued in accordance with the terms and conditions of the underlying financial instrument or other contract.</w:t>
      </w:r>
    </w:p>
    <w:p w14:paraId="3BC5ED5C" w14:textId="6AAE87C0" w:rsidR="00822EED" w:rsidRDefault="00822EED" w:rsidP="00822EED">
      <w:pPr>
        <w:pStyle w:val="BodyText"/>
      </w:pPr>
      <w:r w:rsidRPr="00822EED">
        <w:rPr>
          <w:rStyle w:val="Bold"/>
        </w:rPr>
        <w:t>Rental income</w:t>
      </w:r>
      <w:r>
        <w:t xml:space="preserve"> is recognised when earned and accrued in accordance with the terms and conditions implicit in the leasing contract.</w:t>
      </w:r>
    </w:p>
    <w:p w14:paraId="36769E00" w14:textId="424A01DC" w:rsidR="00822EED" w:rsidRDefault="00822EED" w:rsidP="00822EED">
      <w:pPr>
        <w:pStyle w:val="BodyText"/>
      </w:pPr>
      <w:r w:rsidRPr="00822EED">
        <w:rPr>
          <w:rStyle w:val="Bold"/>
        </w:rPr>
        <w:t>Government grants</w:t>
      </w:r>
      <w:r>
        <w:t xml:space="preserve"> are recognised as operating revenue when the Corporation obtains control of the contribution. Control is obtained when the Corporation receives the grant or contribution and they meet certain other criteria as outlined by </w:t>
      </w:r>
      <w:r w:rsidRPr="00822EED">
        <w:rPr>
          <w:rStyle w:val="ItalicText"/>
        </w:rPr>
        <w:t>AASB 120 Accounting for Government Grants and Disclosure of Government Assistance</w:t>
      </w:r>
      <w:r>
        <w:t xml:space="preserve"> (that is, when there is a reasonable assurance that the grant will be received and the Corporation will comply with all required conditions). All conditions attached to government grants have been satisfied prior to their recognition in the Statement of Profit or Loss and Other Comprehensive Income. Government grants with unfulfilled conditions have been recognised as other unearned revenue (included in Trade and other payables note </w:t>
      </w:r>
      <w:r w:rsidR="00C9560B">
        <w:fldChar w:fldCharType="begin"/>
      </w:r>
      <w:r w:rsidR="00C9560B">
        <w:instrText xml:space="preserve"> REF Note39 \h </w:instrText>
      </w:r>
      <w:r w:rsidR="00C9560B">
        <w:fldChar w:fldCharType="separate"/>
      </w:r>
      <w:r w:rsidR="00472151">
        <w:t>3.9</w:t>
      </w:r>
      <w:r w:rsidR="00C9560B">
        <w:fldChar w:fldCharType="end"/>
      </w:r>
      <w:r>
        <w:t>) in the Statement of Financial Position. Any grants relating to assets that meet the conditions attached are recorded against the asset.</w:t>
      </w:r>
    </w:p>
    <w:p w14:paraId="56C717ED" w14:textId="696CAB3D" w:rsidR="00822EED" w:rsidRDefault="00822EED" w:rsidP="00822EED">
      <w:pPr>
        <w:pStyle w:val="Heading3"/>
      </w:pPr>
      <w:bookmarkStart w:id="864" w:name="Note23"/>
      <w:bookmarkStart w:id="865" w:name="_Toc89723115"/>
      <w:bookmarkStart w:id="866" w:name="_Ref89843502"/>
      <w:bookmarkStart w:id="867" w:name="_Ref89845131"/>
      <w:bookmarkStart w:id="868" w:name="_Toc90326060"/>
      <w:bookmarkStart w:id="869" w:name="_Toc93659466"/>
      <w:r>
        <w:t>2.</w:t>
      </w:r>
      <w:r w:rsidR="00AA3C93">
        <w:t>3</w:t>
      </w:r>
      <w:r>
        <w:t xml:space="preserve"> </w:t>
      </w:r>
      <w:bookmarkEnd w:id="864"/>
      <w:r>
        <w:t>Receivables</w:t>
      </w:r>
      <w:bookmarkEnd w:id="865"/>
      <w:bookmarkEnd w:id="866"/>
      <w:bookmarkEnd w:id="867"/>
      <w:bookmarkEnd w:id="868"/>
      <w:bookmarkEnd w:id="869"/>
    </w:p>
    <w:tbl>
      <w:tblPr>
        <w:tblStyle w:val="Style1"/>
        <w:tblW w:w="5000" w:type="pct"/>
        <w:tblLook w:val="04A0" w:firstRow="1" w:lastRow="0" w:firstColumn="1" w:lastColumn="0" w:noHBand="0" w:noVBand="1"/>
      </w:tblPr>
      <w:tblGrid>
        <w:gridCol w:w="5671"/>
        <w:gridCol w:w="1986"/>
        <w:gridCol w:w="1974"/>
      </w:tblGrid>
      <w:tr w:rsidR="00822EED" w:rsidRPr="00AA3C93" w14:paraId="32EC8301"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tcBorders>
            <w:vAlign w:val="bottom"/>
          </w:tcPr>
          <w:p w14:paraId="2EEDCA9F" w14:textId="5634A374" w:rsidR="00822EED" w:rsidRPr="00AA3C93" w:rsidRDefault="00822EED" w:rsidP="00AA3C93">
            <w:bookmarkStart w:id="870" w:name="ColumnTitle_37"/>
            <w:r w:rsidRPr="00AA3C93">
              <w:t>Contractual receivables</w:t>
            </w:r>
          </w:p>
        </w:tc>
        <w:tc>
          <w:tcPr>
            <w:tcW w:w="1031" w:type="pct"/>
            <w:tcBorders>
              <w:top w:val="single" w:sz="4" w:space="0" w:color="auto"/>
            </w:tcBorders>
            <w:vAlign w:val="bottom"/>
          </w:tcPr>
          <w:p w14:paraId="73830256"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2021</w:t>
            </w:r>
          </w:p>
          <w:p w14:paraId="03FD8F83"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 thousands)</w:t>
            </w:r>
          </w:p>
        </w:tc>
        <w:tc>
          <w:tcPr>
            <w:tcW w:w="1025" w:type="pct"/>
            <w:tcBorders>
              <w:top w:val="single" w:sz="4" w:space="0" w:color="auto"/>
            </w:tcBorders>
            <w:vAlign w:val="bottom"/>
          </w:tcPr>
          <w:p w14:paraId="31774837"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2020</w:t>
            </w:r>
          </w:p>
          <w:p w14:paraId="481A4597" w14:textId="77777777" w:rsidR="00822EED" w:rsidRPr="00AA3C93" w:rsidRDefault="00822EED" w:rsidP="00AA3C93">
            <w:pPr>
              <w:cnfStyle w:val="100000000000" w:firstRow="1" w:lastRow="0" w:firstColumn="0" w:lastColumn="0" w:oddVBand="0" w:evenVBand="0" w:oddHBand="0" w:evenHBand="0" w:firstRowFirstColumn="0" w:firstRowLastColumn="0" w:lastRowFirstColumn="0" w:lastRowLastColumn="0"/>
            </w:pPr>
            <w:r w:rsidRPr="00AA3C93">
              <w:t>($ thousands)</w:t>
            </w:r>
          </w:p>
        </w:tc>
      </w:tr>
      <w:bookmarkEnd w:id="870"/>
      <w:tr w:rsidR="00822EED" w:rsidRPr="00D84113" w14:paraId="5E056237"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366A8C57" w14:textId="72797E25" w:rsidR="00822EED" w:rsidRPr="00D84113" w:rsidRDefault="00822EED" w:rsidP="00AA3C93">
            <w:pPr>
              <w:pStyle w:val="TableBodyText"/>
            </w:pPr>
            <w:r>
              <w:t>Trade debtors</w:t>
            </w:r>
          </w:p>
        </w:tc>
        <w:tc>
          <w:tcPr>
            <w:tcW w:w="1031" w:type="pct"/>
            <w:vAlign w:val="top"/>
          </w:tcPr>
          <w:p w14:paraId="3096AA51" w14:textId="00BF3CCB"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43,707</w:t>
            </w:r>
          </w:p>
        </w:tc>
        <w:tc>
          <w:tcPr>
            <w:tcW w:w="1025" w:type="pct"/>
            <w:vAlign w:val="top"/>
          </w:tcPr>
          <w:p w14:paraId="1F10AE8F" w14:textId="3AE46EA1"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40,983</w:t>
            </w:r>
          </w:p>
        </w:tc>
      </w:tr>
      <w:tr w:rsidR="00822EED" w:rsidRPr="00D84113" w14:paraId="1F76AED3"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0F95AFA6" w14:textId="6058FF22" w:rsidR="00822EED" w:rsidRPr="00D84113" w:rsidRDefault="00822EED" w:rsidP="00AA3C93">
            <w:pPr>
              <w:pStyle w:val="TableBodyText"/>
            </w:pPr>
            <w:r>
              <w:t>Other receivables (including contract assets)</w:t>
            </w:r>
          </w:p>
        </w:tc>
        <w:tc>
          <w:tcPr>
            <w:tcW w:w="1031" w:type="pct"/>
            <w:vAlign w:val="top"/>
          </w:tcPr>
          <w:p w14:paraId="7C803AB5" w14:textId="192EF260"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42,673</w:t>
            </w:r>
          </w:p>
        </w:tc>
        <w:tc>
          <w:tcPr>
            <w:tcW w:w="1025" w:type="pct"/>
            <w:vAlign w:val="top"/>
          </w:tcPr>
          <w:p w14:paraId="5E5935ED" w14:textId="645AE0F2"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47,397</w:t>
            </w:r>
          </w:p>
        </w:tc>
      </w:tr>
      <w:tr w:rsidR="00822EED" w:rsidRPr="00D84113" w14:paraId="5D50FADC" w14:textId="77777777" w:rsidTr="00AA3C93">
        <w:tc>
          <w:tcPr>
            <w:cnfStyle w:val="001000000000" w:firstRow="0" w:lastRow="0" w:firstColumn="1" w:lastColumn="0" w:oddVBand="0" w:evenVBand="0" w:oddHBand="0" w:evenHBand="0" w:firstRowFirstColumn="0" w:firstRowLastColumn="0" w:lastRowFirstColumn="0" w:lastRowLastColumn="0"/>
            <w:tcW w:w="2944" w:type="pct"/>
            <w:vAlign w:val="top"/>
          </w:tcPr>
          <w:p w14:paraId="271D9372" w14:textId="6F20B195" w:rsidR="00822EED" w:rsidRPr="00D84113" w:rsidRDefault="00822EED" w:rsidP="00AA3C93">
            <w:pPr>
              <w:pStyle w:val="TableBodyText"/>
            </w:pPr>
            <w:r>
              <w:t>Less: allowance for expected credit losses</w:t>
            </w:r>
          </w:p>
        </w:tc>
        <w:tc>
          <w:tcPr>
            <w:tcW w:w="1031" w:type="pct"/>
            <w:vAlign w:val="top"/>
          </w:tcPr>
          <w:p w14:paraId="34AE3822" w14:textId="1A18A8B9"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025" w:type="pct"/>
            <w:vAlign w:val="top"/>
          </w:tcPr>
          <w:p w14:paraId="1AAC4147" w14:textId="2C911D24" w:rsidR="00822EED" w:rsidRPr="00D84113"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N/A</w:t>
            </w:r>
          </w:p>
        </w:tc>
      </w:tr>
      <w:tr w:rsidR="00822EED" w:rsidRPr="00965CBA" w14:paraId="4C1D8680" w14:textId="77777777" w:rsidTr="00AA3C93">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bottom w:val="single" w:sz="4" w:space="0" w:color="auto"/>
            </w:tcBorders>
            <w:vAlign w:val="top"/>
          </w:tcPr>
          <w:p w14:paraId="06B4C15D" w14:textId="3C2120C2" w:rsidR="00822EED" w:rsidRPr="00965CBA" w:rsidRDefault="00822EED" w:rsidP="00AA3C93">
            <w:pPr>
              <w:pStyle w:val="TableBodyText"/>
              <w:rPr>
                <w:rStyle w:val="Bold"/>
              </w:rPr>
            </w:pPr>
            <w:r>
              <w:rPr>
                <w:rStyle w:val="Bold"/>
              </w:rPr>
              <w:t>Total contractual receivables</w:t>
            </w:r>
          </w:p>
        </w:tc>
        <w:tc>
          <w:tcPr>
            <w:tcW w:w="1031" w:type="pct"/>
            <w:tcBorders>
              <w:top w:val="single" w:sz="4" w:space="0" w:color="auto"/>
              <w:bottom w:val="single" w:sz="4" w:space="0" w:color="auto"/>
            </w:tcBorders>
            <w:vAlign w:val="top"/>
          </w:tcPr>
          <w:p w14:paraId="5F6AAE6D" w14:textId="7E6349FB" w:rsidR="00822EED" w:rsidRPr="00965CBA" w:rsidRDefault="00822EED"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86,380</w:t>
            </w:r>
          </w:p>
        </w:tc>
        <w:tc>
          <w:tcPr>
            <w:tcW w:w="1025" w:type="pct"/>
            <w:tcBorders>
              <w:top w:val="single" w:sz="4" w:space="0" w:color="auto"/>
              <w:bottom w:val="single" w:sz="4" w:space="0" w:color="auto"/>
            </w:tcBorders>
            <w:vAlign w:val="top"/>
          </w:tcPr>
          <w:p w14:paraId="1AB27ACB" w14:textId="165B7209" w:rsidR="00822EED" w:rsidRPr="00965CBA" w:rsidRDefault="00822EED"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88,380</w:t>
            </w:r>
          </w:p>
        </w:tc>
      </w:tr>
      <w:tr w:rsidR="00822EED" w:rsidRPr="00965CBA" w14:paraId="4262BF99" w14:textId="77777777" w:rsidTr="00AA3C93">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tcBorders>
            <w:vAlign w:val="top"/>
          </w:tcPr>
          <w:p w14:paraId="26F8AE9F" w14:textId="652EAB26" w:rsidR="00822EED" w:rsidRPr="00822EED" w:rsidRDefault="00822EED" w:rsidP="00AA3C93">
            <w:pPr>
              <w:pStyle w:val="TableBodyText"/>
              <w:rPr>
                <w:rStyle w:val="Bold"/>
              </w:rPr>
            </w:pPr>
            <w:r w:rsidRPr="00822EED">
              <w:rPr>
                <w:rStyle w:val="Bold"/>
              </w:rPr>
              <w:t>Statutory receivables</w:t>
            </w:r>
          </w:p>
        </w:tc>
        <w:tc>
          <w:tcPr>
            <w:tcW w:w="1031" w:type="pct"/>
            <w:tcBorders>
              <w:top w:val="single" w:sz="4" w:space="0" w:color="auto"/>
            </w:tcBorders>
            <w:vAlign w:val="top"/>
          </w:tcPr>
          <w:p w14:paraId="2D4FE04E" w14:textId="6A5BF0A6" w:rsidR="00822EED"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025" w:type="pct"/>
            <w:tcBorders>
              <w:top w:val="single" w:sz="4" w:space="0" w:color="auto"/>
            </w:tcBorders>
            <w:vAlign w:val="top"/>
          </w:tcPr>
          <w:p w14:paraId="6C5CE24E" w14:textId="3A9EC3FC" w:rsidR="00822EED"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N/A</w:t>
            </w:r>
          </w:p>
        </w:tc>
      </w:tr>
      <w:tr w:rsidR="00822EED" w:rsidRPr="00965CBA" w14:paraId="20B62DF4" w14:textId="77777777" w:rsidTr="00AA3C93">
        <w:tc>
          <w:tcPr>
            <w:cnfStyle w:val="001000000000" w:firstRow="0" w:lastRow="0" w:firstColumn="1" w:lastColumn="0" w:oddVBand="0" w:evenVBand="0" w:oddHBand="0" w:evenHBand="0" w:firstRowFirstColumn="0" w:firstRowLastColumn="0" w:lastRowFirstColumn="0" w:lastRowLastColumn="0"/>
            <w:tcW w:w="2944" w:type="pct"/>
            <w:tcBorders>
              <w:bottom w:val="single" w:sz="4" w:space="0" w:color="auto"/>
            </w:tcBorders>
            <w:vAlign w:val="top"/>
          </w:tcPr>
          <w:p w14:paraId="538A2150" w14:textId="42D0E6AD" w:rsidR="00822EED" w:rsidRDefault="00822EED" w:rsidP="00AA3C93">
            <w:pPr>
              <w:pStyle w:val="TableBodyText"/>
            </w:pPr>
            <w:r>
              <w:t>Net GST receivable from the ATO</w:t>
            </w:r>
          </w:p>
        </w:tc>
        <w:tc>
          <w:tcPr>
            <w:tcW w:w="1031" w:type="pct"/>
            <w:tcBorders>
              <w:bottom w:val="single" w:sz="4" w:space="0" w:color="auto"/>
            </w:tcBorders>
            <w:vAlign w:val="top"/>
          </w:tcPr>
          <w:p w14:paraId="752CCA9C" w14:textId="12FD0EC7" w:rsidR="00822EED"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18,279</w:t>
            </w:r>
          </w:p>
        </w:tc>
        <w:tc>
          <w:tcPr>
            <w:tcW w:w="1025" w:type="pct"/>
            <w:tcBorders>
              <w:bottom w:val="single" w:sz="4" w:space="0" w:color="auto"/>
            </w:tcBorders>
            <w:vAlign w:val="top"/>
          </w:tcPr>
          <w:p w14:paraId="5265A6A0" w14:textId="4A5D6FAB" w:rsidR="00822EED" w:rsidRDefault="00822EED" w:rsidP="00AA3C93">
            <w:pPr>
              <w:pStyle w:val="TableBodyText"/>
              <w:cnfStyle w:val="000000000000" w:firstRow="0" w:lastRow="0" w:firstColumn="0" w:lastColumn="0" w:oddVBand="0" w:evenVBand="0" w:oddHBand="0" w:evenHBand="0" w:firstRowFirstColumn="0" w:firstRowLastColumn="0" w:lastRowFirstColumn="0" w:lastRowLastColumn="0"/>
            </w:pPr>
            <w:r>
              <w:t>13,369</w:t>
            </w:r>
          </w:p>
        </w:tc>
      </w:tr>
      <w:tr w:rsidR="00822EED" w:rsidRPr="00822EED" w14:paraId="2898B593" w14:textId="77777777" w:rsidTr="00AA3C93">
        <w:tc>
          <w:tcPr>
            <w:cnfStyle w:val="001000000000" w:firstRow="0" w:lastRow="0" w:firstColumn="1" w:lastColumn="0" w:oddVBand="0" w:evenVBand="0" w:oddHBand="0" w:evenHBand="0" w:firstRowFirstColumn="0" w:firstRowLastColumn="0" w:lastRowFirstColumn="0" w:lastRowLastColumn="0"/>
            <w:tcW w:w="2944" w:type="pct"/>
            <w:tcBorders>
              <w:top w:val="single" w:sz="4" w:space="0" w:color="auto"/>
              <w:bottom w:val="single" w:sz="4" w:space="0" w:color="auto"/>
            </w:tcBorders>
            <w:vAlign w:val="top"/>
          </w:tcPr>
          <w:p w14:paraId="60340F05" w14:textId="06AC1054" w:rsidR="00822EED" w:rsidRPr="00822EED" w:rsidRDefault="00822EED" w:rsidP="00AA3C93">
            <w:pPr>
              <w:pStyle w:val="TableBodyText"/>
              <w:rPr>
                <w:rStyle w:val="Bold"/>
              </w:rPr>
            </w:pPr>
            <w:r w:rsidRPr="00822EED">
              <w:rPr>
                <w:rStyle w:val="Bold"/>
              </w:rPr>
              <w:t>Total current receivables</w:t>
            </w:r>
          </w:p>
        </w:tc>
        <w:tc>
          <w:tcPr>
            <w:tcW w:w="1031" w:type="pct"/>
            <w:tcBorders>
              <w:top w:val="single" w:sz="4" w:space="0" w:color="auto"/>
              <w:bottom w:val="single" w:sz="4" w:space="0" w:color="auto"/>
            </w:tcBorders>
            <w:vAlign w:val="top"/>
          </w:tcPr>
          <w:p w14:paraId="483124C8" w14:textId="42BEEE8C" w:rsidR="00822EED" w:rsidRPr="00822EED" w:rsidRDefault="00822EED"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22EED">
              <w:rPr>
                <w:rStyle w:val="Bold"/>
              </w:rPr>
              <w:t>104,659</w:t>
            </w:r>
          </w:p>
        </w:tc>
        <w:tc>
          <w:tcPr>
            <w:tcW w:w="1025" w:type="pct"/>
            <w:tcBorders>
              <w:top w:val="single" w:sz="4" w:space="0" w:color="auto"/>
              <w:bottom w:val="single" w:sz="4" w:space="0" w:color="auto"/>
            </w:tcBorders>
            <w:vAlign w:val="top"/>
          </w:tcPr>
          <w:p w14:paraId="205CF110" w14:textId="0E346A39" w:rsidR="00822EED" w:rsidRPr="00822EED" w:rsidRDefault="00822EED" w:rsidP="00AA3C93">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22EED">
              <w:rPr>
                <w:rStyle w:val="Bold"/>
              </w:rPr>
              <w:t>101,749</w:t>
            </w:r>
          </w:p>
        </w:tc>
      </w:tr>
    </w:tbl>
    <w:p w14:paraId="228A719D" w14:textId="51CD455B" w:rsidR="00DA71F3" w:rsidRDefault="00DA71F3" w:rsidP="00DA71F3">
      <w:pPr>
        <w:pStyle w:val="BodyText"/>
      </w:pPr>
      <w:r w:rsidRPr="00DA71F3">
        <w:rPr>
          <w:rStyle w:val="Bold"/>
        </w:rPr>
        <w:lastRenderedPageBreak/>
        <w:t>Trade debtors</w:t>
      </w:r>
      <w:r>
        <w:t xml:space="preserve"> and </w:t>
      </w:r>
      <w:r w:rsidRPr="00DA71F3">
        <w:rPr>
          <w:rStyle w:val="Bold"/>
        </w:rPr>
        <w:t xml:space="preserve">other receivables </w:t>
      </w:r>
      <w:r>
        <w:t>(including contract assets) are recognised at the amounts receivable less any allowance for expected credit losses. Receivables are reviewed on an ongoing basis to identify any receivables which cannot be collected. Debts which cannot be collected are written off when identified.</w:t>
      </w:r>
    </w:p>
    <w:p w14:paraId="29E35561" w14:textId="74EA7D6C" w:rsidR="00822EED" w:rsidRDefault="00DA71F3" w:rsidP="00DA71F3">
      <w:pPr>
        <w:pStyle w:val="BodyText"/>
      </w:pPr>
      <w:r>
        <w:t xml:space="preserve">The Corporation applies the </w:t>
      </w:r>
      <w:r w:rsidRPr="00DA71F3">
        <w:rPr>
          <w:rStyle w:val="ItalicText"/>
        </w:rPr>
        <w:t>AASB 9 Financial Instruments</w:t>
      </w:r>
      <w:r>
        <w:t xml:space="preserve"> simplified approach to measuring expected credit losses which uses a lifetime expected loss allowance for contractual receivables. On this basis, an assessment undertaken by management has identified that historical debt write-offs and future expected losses are immaterial. This assessment took into consideration </w:t>
      </w:r>
      <w:r w:rsidR="0030196D">
        <w:t>COVID</w:t>
      </w:r>
      <w:r w:rsidR="0030196D">
        <w:noBreakHyphen/>
        <w:t>19</w:t>
      </w:r>
      <w:r>
        <w:t xml:space="preserve"> with no expected material impact on the future recoverability of debtors. As such, there is no allowance for expected credit losses as at 30 June 2021 (2019-20: nil).</w:t>
      </w:r>
    </w:p>
    <w:p w14:paraId="1FD4489D" w14:textId="071125B0" w:rsidR="00822EED" w:rsidRDefault="00DA71F3" w:rsidP="00DA71F3">
      <w:pPr>
        <w:pStyle w:val="BodyText"/>
      </w:pPr>
      <w:r w:rsidRPr="00DA71F3">
        <w:rPr>
          <w:rStyle w:val="Bold"/>
        </w:rPr>
        <w:t>Net Goods and Services Tax (GST) receivable from the Australian Taxation Office (ATO)</w:t>
      </w:r>
      <w:r>
        <w:t xml:space="preserve"> is the gross amount of GST recoverable from the taxation authority and is included as part of the receivables balance. </w:t>
      </w:r>
      <w:r w:rsidRPr="00DA71F3">
        <w:rPr>
          <w:rStyle w:val="ItalicText"/>
        </w:rPr>
        <w:t>AASB Interpretation 1031</w:t>
      </w:r>
      <w:r>
        <w:t xml:space="preserve"> provides that revenue, expenses and assets must be recognised, net of the amount of GST, except where GST relating to the expenditure items is not recoverable from the taxation authority, in which case the item is recognised as GST inclusive.</w:t>
      </w:r>
    </w:p>
    <w:p w14:paraId="4971ADF7" w14:textId="62581D2E" w:rsidR="00822EED" w:rsidRDefault="00DA71F3" w:rsidP="00DA71F3">
      <w:pPr>
        <w:pStyle w:val="Heading4"/>
      </w:pPr>
      <w:r w:rsidRPr="00DA71F3">
        <w:t>Ageing analysis of contractual receivables</w:t>
      </w:r>
    </w:p>
    <w:p w14:paraId="696454A9" w14:textId="4887B6B9" w:rsidR="00DA71F3" w:rsidRPr="00DA71F3" w:rsidRDefault="00DA71F3" w:rsidP="00DA71F3">
      <w:pPr>
        <w:pStyle w:val="BodyText"/>
        <w:rPr>
          <w:rStyle w:val="Bold"/>
          <w:lang w:eastAsia="en-US"/>
        </w:rPr>
      </w:pPr>
      <w:r w:rsidRPr="00DA71F3">
        <w:rPr>
          <w:rStyle w:val="Bold"/>
        </w:rPr>
        <w:t>30 June 2021</w:t>
      </w:r>
    </w:p>
    <w:tbl>
      <w:tblPr>
        <w:tblStyle w:val="Style1"/>
        <w:tblW w:w="5000" w:type="pct"/>
        <w:tblLayout w:type="fixed"/>
        <w:tblLook w:val="04A0" w:firstRow="1" w:lastRow="0" w:firstColumn="1" w:lastColumn="0" w:noHBand="0" w:noVBand="1"/>
      </w:tblPr>
      <w:tblGrid>
        <w:gridCol w:w="2552"/>
        <w:gridCol w:w="1416"/>
        <w:gridCol w:w="1418"/>
        <w:gridCol w:w="1464"/>
        <w:gridCol w:w="1396"/>
        <w:gridCol w:w="1385"/>
      </w:tblGrid>
      <w:tr w:rsidR="00DA71F3" w:rsidRPr="00DF41D7" w14:paraId="376493E5" w14:textId="44CD00A8"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tcBorders>
            <w:vAlign w:val="bottom"/>
          </w:tcPr>
          <w:p w14:paraId="54F71425" w14:textId="40790946" w:rsidR="00DA71F3" w:rsidRPr="00DF41D7" w:rsidRDefault="00DA71F3" w:rsidP="00DF41D7">
            <w:bookmarkStart w:id="871" w:name="ColumnTitle_38"/>
            <w:r w:rsidRPr="00DF41D7">
              <w:t>Item</w:t>
            </w:r>
          </w:p>
        </w:tc>
        <w:tc>
          <w:tcPr>
            <w:tcW w:w="735" w:type="pct"/>
            <w:tcBorders>
              <w:top w:val="single" w:sz="4" w:space="0" w:color="auto"/>
            </w:tcBorders>
            <w:vAlign w:val="bottom"/>
          </w:tcPr>
          <w:p w14:paraId="51B558B8" w14:textId="77777777" w:rsidR="00470F0A"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Curren</w:t>
            </w:r>
            <w:r w:rsidR="00470F0A" w:rsidRPr="00DF41D7">
              <w:t>t</w:t>
            </w:r>
          </w:p>
          <w:p w14:paraId="065CE2C0" w14:textId="6D694D4D"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0-30 day</w:t>
            </w:r>
            <w:r w:rsidR="00470F0A" w:rsidRPr="00DF41D7">
              <w:t>s</w:t>
            </w:r>
          </w:p>
          <w:p w14:paraId="3A7DDEB0" w14:textId="29291CC9"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36" w:type="pct"/>
            <w:tcBorders>
              <w:top w:val="single" w:sz="4" w:space="0" w:color="auto"/>
            </w:tcBorders>
            <w:vAlign w:val="bottom"/>
          </w:tcPr>
          <w:p w14:paraId="0A76BF68" w14:textId="77777777" w:rsidR="00470F0A"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Current</w:t>
            </w:r>
          </w:p>
          <w:p w14:paraId="67CF51A3" w14:textId="1DBA2DAB"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31-60 days</w:t>
            </w:r>
          </w:p>
          <w:p w14:paraId="44777F89" w14:textId="51F6C0D1"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60" w:type="pct"/>
            <w:tcBorders>
              <w:top w:val="single" w:sz="4" w:space="0" w:color="auto"/>
            </w:tcBorders>
            <w:vAlign w:val="bottom"/>
          </w:tcPr>
          <w:p w14:paraId="4AF721DE" w14:textId="4D736276"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Past due but not impaired</w:t>
            </w:r>
          </w:p>
          <w:p w14:paraId="521F8CD4" w14:textId="77777777"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61-90 days</w:t>
            </w:r>
          </w:p>
          <w:p w14:paraId="6208E67B" w14:textId="2CFAF9E1"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25" w:type="pct"/>
            <w:tcBorders>
              <w:top w:val="single" w:sz="4" w:space="0" w:color="auto"/>
            </w:tcBorders>
            <w:vAlign w:val="bottom"/>
          </w:tcPr>
          <w:p w14:paraId="42545D08" w14:textId="77777777"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Past due but not impaired 91 days+</w:t>
            </w:r>
          </w:p>
          <w:p w14:paraId="069A456B" w14:textId="7A21941C"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19" w:type="pct"/>
            <w:tcBorders>
              <w:top w:val="single" w:sz="4" w:space="0" w:color="auto"/>
            </w:tcBorders>
            <w:vAlign w:val="bottom"/>
          </w:tcPr>
          <w:p w14:paraId="5B7DCAB8" w14:textId="77777777"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Total</w:t>
            </w:r>
          </w:p>
          <w:p w14:paraId="079F05E6" w14:textId="5031C4A7" w:rsidR="00DA71F3" w:rsidRPr="00DF41D7" w:rsidRDefault="00DA71F3" w:rsidP="00DF41D7">
            <w:pPr>
              <w:cnfStyle w:val="100000000000" w:firstRow="1" w:lastRow="0" w:firstColumn="0" w:lastColumn="0" w:oddVBand="0" w:evenVBand="0" w:oddHBand="0" w:evenHBand="0" w:firstRowFirstColumn="0" w:firstRowLastColumn="0" w:lastRowFirstColumn="0" w:lastRowLastColumn="0"/>
            </w:pPr>
            <w:r w:rsidRPr="00DF41D7">
              <w:t>($ thousands)</w:t>
            </w:r>
          </w:p>
        </w:tc>
      </w:tr>
      <w:bookmarkEnd w:id="871"/>
      <w:tr w:rsidR="00DA71F3" w:rsidRPr="00D84113" w14:paraId="146AF556" w14:textId="2C938352" w:rsidTr="00DA71F3">
        <w:tc>
          <w:tcPr>
            <w:cnfStyle w:val="001000000000" w:firstRow="0" w:lastRow="0" w:firstColumn="1" w:lastColumn="0" w:oddVBand="0" w:evenVBand="0" w:oddHBand="0" w:evenHBand="0" w:firstRowFirstColumn="0" w:firstRowLastColumn="0" w:lastRowFirstColumn="0" w:lastRowLastColumn="0"/>
            <w:tcW w:w="1325" w:type="pct"/>
            <w:vAlign w:val="top"/>
          </w:tcPr>
          <w:p w14:paraId="288A8BF7" w14:textId="5F5F83CE" w:rsidR="00DA71F3" w:rsidRPr="00470F0A" w:rsidRDefault="00DA71F3" w:rsidP="00DF41D7">
            <w:pPr>
              <w:pStyle w:val="TableBodyText"/>
              <w:rPr>
                <w:rStyle w:val="Bold"/>
              </w:rPr>
            </w:pPr>
            <w:r w:rsidRPr="00470F0A">
              <w:rPr>
                <w:rStyle w:val="Bold"/>
              </w:rPr>
              <w:t>Receivables</w:t>
            </w:r>
          </w:p>
        </w:tc>
        <w:tc>
          <w:tcPr>
            <w:tcW w:w="735" w:type="pct"/>
            <w:vAlign w:val="top"/>
          </w:tcPr>
          <w:p w14:paraId="6628390D" w14:textId="0D5189CC" w:rsidR="00DA71F3" w:rsidRPr="00D8411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30219C03" w14:textId="4CAC0EC3" w:rsidR="00DA71F3" w:rsidRPr="00D8411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60" w:type="pct"/>
            <w:vAlign w:val="top"/>
          </w:tcPr>
          <w:p w14:paraId="55FE9C54" w14:textId="09F71444"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5" w:type="pct"/>
            <w:vAlign w:val="top"/>
          </w:tcPr>
          <w:p w14:paraId="66DDBF18" w14:textId="61594CB7"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19" w:type="pct"/>
            <w:vAlign w:val="top"/>
          </w:tcPr>
          <w:p w14:paraId="3221B3F6" w14:textId="451538E5"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r>
      <w:tr w:rsidR="00DA71F3" w:rsidRPr="00D84113" w14:paraId="7C68E94A" w14:textId="63CEC6B2" w:rsidTr="00DA71F3">
        <w:tc>
          <w:tcPr>
            <w:cnfStyle w:val="001000000000" w:firstRow="0" w:lastRow="0" w:firstColumn="1" w:lastColumn="0" w:oddVBand="0" w:evenVBand="0" w:oddHBand="0" w:evenHBand="0" w:firstRowFirstColumn="0" w:firstRowLastColumn="0" w:lastRowFirstColumn="0" w:lastRowLastColumn="0"/>
            <w:tcW w:w="1325" w:type="pct"/>
            <w:vAlign w:val="top"/>
          </w:tcPr>
          <w:p w14:paraId="66529A57" w14:textId="76625DC0" w:rsidR="00470F0A" w:rsidRPr="00DF41D7" w:rsidRDefault="00DA71F3" w:rsidP="00DF41D7">
            <w:pPr>
              <w:pStyle w:val="TableBodyText"/>
            </w:pPr>
            <w:r w:rsidRPr="00DF41D7">
              <w:t>Trade debtors</w:t>
            </w:r>
            <w:r w:rsidR="00470F0A" w:rsidRPr="00DF41D7">
              <w:t xml:space="preserve"> </w:t>
            </w:r>
            <w:hyperlink w:anchor="NoteaAgeingAnalysis" w:history="1">
              <w:r w:rsidR="00470F0A" w:rsidRPr="00DF41D7">
                <w:rPr>
                  <w:rStyle w:val="Hyperlink"/>
                </w:rPr>
                <w:t>refer note a</w:t>
              </w:r>
            </w:hyperlink>
          </w:p>
        </w:tc>
        <w:tc>
          <w:tcPr>
            <w:tcW w:w="735" w:type="pct"/>
            <w:vAlign w:val="top"/>
          </w:tcPr>
          <w:p w14:paraId="09F7DAFE" w14:textId="640E898E" w:rsidR="00DA71F3" w:rsidRPr="00D8411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25,500</w:t>
            </w:r>
          </w:p>
        </w:tc>
        <w:tc>
          <w:tcPr>
            <w:tcW w:w="736" w:type="pct"/>
            <w:vAlign w:val="top"/>
          </w:tcPr>
          <w:p w14:paraId="0498FE85" w14:textId="67776CFF" w:rsidR="00DA71F3" w:rsidRPr="00D8411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6,436</w:t>
            </w:r>
          </w:p>
        </w:tc>
        <w:tc>
          <w:tcPr>
            <w:tcW w:w="760" w:type="pct"/>
            <w:vAlign w:val="top"/>
          </w:tcPr>
          <w:p w14:paraId="0E914DF4" w14:textId="2955F624"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1,394</w:t>
            </w:r>
          </w:p>
        </w:tc>
        <w:tc>
          <w:tcPr>
            <w:tcW w:w="725" w:type="pct"/>
            <w:vAlign w:val="top"/>
          </w:tcPr>
          <w:p w14:paraId="1C774241" w14:textId="3F825D63"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10,377</w:t>
            </w:r>
          </w:p>
        </w:tc>
        <w:tc>
          <w:tcPr>
            <w:tcW w:w="719" w:type="pct"/>
            <w:vAlign w:val="top"/>
          </w:tcPr>
          <w:p w14:paraId="0EA9934D" w14:textId="7C6B0DF4" w:rsidR="00DA71F3" w:rsidRPr="00DF41D7" w:rsidRDefault="00DA71F3"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DF41D7">
              <w:rPr>
                <w:rStyle w:val="Bold"/>
              </w:rPr>
              <w:t>43,707</w:t>
            </w:r>
          </w:p>
        </w:tc>
      </w:tr>
      <w:tr w:rsidR="00DA71F3" w:rsidRPr="00D84113" w14:paraId="2F39DFBE" w14:textId="60590D74" w:rsidTr="00DA71F3">
        <w:tc>
          <w:tcPr>
            <w:cnfStyle w:val="001000000000" w:firstRow="0" w:lastRow="0" w:firstColumn="1" w:lastColumn="0" w:oddVBand="0" w:evenVBand="0" w:oddHBand="0" w:evenHBand="0" w:firstRowFirstColumn="0" w:firstRowLastColumn="0" w:lastRowFirstColumn="0" w:lastRowLastColumn="0"/>
            <w:tcW w:w="1325" w:type="pct"/>
            <w:vAlign w:val="top"/>
          </w:tcPr>
          <w:p w14:paraId="5FCAA5D4" w14:textId="495D7D8D" w:rsidR="00DA71F3" w:rsidRPr="00D84113" w:rsidRDefault="00DA71F3" w:rsidP="00DF41D7">
            <w:pPr>
              <w:pStyle w:val="TableBodyText"/>
            </w:pPr>
            <w:r>
              <w:t>Other receivables</w:t>
            </w:r>
          </w:p>
        </w:tc>
        <w:tc>
          <w:tcPr>
            <w:tcW w:w="735" w:type="pct"/>
            <w:vAlign w:val="top"/>
          </w:tcPr>
          <w:p w14:paraId="7C48B038" w14:textId="4EAA018C" w:rsidR="00DA71F3" w:rsidRPr="00D8411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42,673</w:t>
            </w:r>
          </w:p>
        </w:tc>
        <w:tc>
          <w:tcPr>
            <w:tcW w:w="736" w:type="pct"/>
            <w:vAlign w:val="top"/>
          </w:tcPr>
          <w:p w14:paraId="0B9D5E5D" w14:textId="77777777" w:rsidR="00DA71F3" w:rsidRPr="00D8411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60" w:type="pct"/>
            <w:vAlign w:val="top"/>
          </w:tcPr>
          <w:p w14:paraId="7FBE772D" w14:textId="0E75F974"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5" w:type="pct"/>
            <w:vAlign w:val="top"/>
          </w:tcPr>
          <w:p w14:paraId="4A72A522" w14:textId="5D9D53C8"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19" w:type="pct"/>
            <w:vAlign w:val="top"/>
          </w:tcPr>
          <w:p w14:paraId="536617BF" w14:textId="7CC240B7" w:rsidR="00DA71F3" w:rsidRPr="00DF41D7" w:rsidRDefault="00DA71F3"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DF41D7">
              <w:rPr>
                <w:rStyle w:val="Bold"/>
              </w:rPr>
              <w:t>42,673</w:t>
            </w:r>
          </w:p>
        </w:tc>
      </w:tr>
      <w:tr w:rsidR="00DA71F3" w:rsidRPr="00965CBA" w14:paraId="44D7F619" w14:textId="47C17A96" w:rsidTr="00DA71F3">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bottom w:val="single" w:sz="4" w:space="0" w:color="auto"/>
            </w:tcBorders>
            <w:vAlign w:val="top"/>
          </w:tcPr>
          <w:p w14:paraId="5A493A36" w14:textId="77777777" w:rsidR="00DA71F3" w:rsidRPr="00965CBA" w:rsidRDefault="00DA71F3" w:rsidP="00DF41D7">
            <w:pPr>
              <w:pStyle w:val="TableBodyText"/>
              <w:rPr>
                <w:rStyle w:val="Bold"/>
              </w:rPr>
            </w:pPr>
            <w:r>
              <w:rPr>
                <w:rStyle w:val="Bold"/>
              </w:rPr>
              <w:t>Total contractual receivables</w:t>
            </w:r>
          </w:p>
        </w:tc>
        <w:tc>
          <w:tcPr>
            <w:tcW w:w="735" w:type="pct"/>
            <w:tcBorders>
              <w:top w:val="single" w:sz="4" w:space="0" w:color="auto"/>
              <w:bottom w:val="single" w:sz="4" w:space="0" w:color="auto"/>
            </w:tcBorders>
            <w:vAlign w:val="top"/>
          </w:tcPr>
          <w:p w14:paraId="464B20AE" w14:textId="77E7FF11" w:rsidR="00DA71F3" w:rsidRPr="00965CBA" w:rsidRDefault="00DA71F3"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68,173</w:t>
            </w:r>
          </w:p>
        </w:tc>
        <w:tc>
          <w:tcPr>
            <w:tcW w:w="736" w:type="pct"/>
            <w:tcBorders>
              <w:top w:val="single" w:sz="4" w:space="0" w:color="auto"/>
              <w:bottom w:val="single" w:sz="4" w:space="0" w:color="auto"/>
            </w:tcBorders>
            <w:vAlign w:val="top"/>
          </w:tcPr>
          <w:p w14:paraId="4B317EBD" w14:textId="0AA2E61C" w:rsidR="00DA71F3" w:rsidRPr="00965CBA" w:rsidRDefault="00DA71F3"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6,436</w:t>
            </w:r>
          </w:p>
        </w:tc>
        <w:tc>
          <w:tcPr>
            <w:tcW w:w="760" w:type="pct"/>
            <w:tcBorders>
              <w:top w:val="single" w:sz="4" w:space="0" w:color="auto"/>
              <w:bottom w:val="single" w:sz="4" w:space="0" w:color="auto"/>
            </w:tcBorders>
            <w:vAlign w:val="top"/>
          </w:tcPr>
          <w:p w14:paraId="44B0DA53" w14:textId="00A236F0"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1,394</w:t>
            </w:r>
          </w:p>
        </w:tc>
        <w:tc>
          <w:tcPr>
            <w:tcW w:w="725" w:type="pct"/>
            <w:tcBorders>
              <w:top w:val="single" w:sz="4" w:space="0" w:color="auto"/>
              <w:bottom w:val="single" w:sz="4" w:space="0" w:color="auto"/>
            </w:tcBorders>
            <w:vAlign w:val="top"/>
          </w:tcPr>
          <w:p w14:paraId="1E1FD744" w14:textId="5819EF63"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10,377</w:t>
            </w:r>
          </w:p>
        </w:tc>
        <w:tc>
          <w:tcPr>
            <w:tcW w:w="719" w:type="pct"/>
            <w:tcBorders>
              <w:top w:val="single" w:sz="4" w:space="0" w:color="auto"/>
              <w:bottom w:val="single" w:sz="4" w:space="0" w:color="auto"/>
            </w:tcBorders>
            <w:vAlign w:val="top"/>
          </w:tcPr>
          <w:p w14:paraId="6488A7D4" w14:textId="125E50C3" w:rsidR="00DA71F3" w:rsidRDefault="00DA71F3"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86,380</w:t>
            </w:r>
          </w:p>
        </w:tc>
      </w:tr>
    </w:tbl>
    <w:p w14:paraId="5160BB71" w14:textId="459B75F4" w:rsidR="00DA71F3" w:rsidRPr="00470F0A" w:rsidRDefault="00470F0A" w:rsidP="00226E71">
      <w:pPr>
        <w:pStyle w:val="BodyText"/>
        <w:rPr>
          <w:rStyle w:val="Bold"/>
        </w:rPr>
      </w:pPr>
      <w:r w:rsidRPr="00470F0A">
        <w:rPr>
          <w:rStyle w:val="Bold"/>
        </w:rPr>
        <w:t>30 June 2020</w:t>
      </w:r>
    </w:p>
    <w:tbl>
      <w:tblPr>
        <w:tblStyle w:val="Style1"/>
        <w:tblW w:w="5000" w:type="pct"/>
        <w:tblLayout w:type="fixed"/>
        <w:tblLook w:val="04A0" w:firstRow="1" w:lastRow="0" w:firstColumn="1" w:lastColumn="0" w:noHBand="0" w:noVBand="1"/>
      </w:tblPr>
      <w:tblGrid>
        <w:gridCol w:w="2552"/>
        <w:gridCol w:w="1416"/>
        <w:gridCol w:w="1418"/>
        <w:gridCol w:w="1464"/>
        <w:gridCol w:w="1396"/>
        <w:gridCol w:w="1385"/>
      </w:tblGrid>
      <w:tr w:rsidR="00470F0A" w:rsidRPr="00DF41D7" w14:paraId="072F38BB"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tcBorders>
            <w:vAlign w:val="bottom"/>
          </w:tcPr>
          <w:p w14:paraId="482B0C02" w14:textId="77777777" w:rsidR="00470F0A" w:rsidRPr="00DF41D7" w:rsidRDefault="00470F0A" w:rsidP="00DF41D7">
            <w:bookmarkStart w:id="872" w:name="ColumnTitle_39"/>
            <w:r w:rsidRPr="00DF41D7">
              <w:t>Item</w:t>
            </w:r>
          </w:p>
        </w:tc>
        <w:tc>
          <w:tcPr>
            <w:tcW w:w="735" w:type="pct"/>
            <w:tcBorders>
              <w:top w:val="single" w:sz="4" w:space="0" w:color="auto"/>
            </w:tcBorders>
            <w:vAlign w:val="bottom"/>
          </w:tcPr>
          <w:p w14:paraId="49C8343E" w14:textId="69CA16D5"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Current</w:t>
            </w:r>
            <w:r w:rsidR="00DF41D7">
              <w:br/>
            </w:r>
            <w:r w:rsidRPr="00DF41D7">
              <w:t>0-30 days</w:t>
            </w:r>
          </w:p>
          <w:p w14:paraId="2089066B" w14:textId="77777777"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36" w:type="pct"/>
            <w:tcBorders>
              <w:top w:val="single" w:sz="4" w:space="0" w:color="auto"/>
            </w:tcBorders>
            <w:vAlign w:val="bottom"/>
          </w:tcPr>
          <w:p w14:paraId="7696DAEF" w14:textId="36B37A46" w:rsidR="00DF41D7" w:rsidRPr="00DF41D7" w:rsidRDefault="00DF41D7" w:rsidP="00DF41D7">
            <w:pPr>
              <w:cnfStyle w:val="100000000000" w:firstRow="1" w:lastRow="0" w:firstColumn="0" w:lastColumn="0" w:oddVBand="0" w:evenVBand="0" w:oddHBand="0" w:evenHBand="0" w:firstRowFirstColumn="0" w:firstRowLastColumn="0" w:lastRowFirstColumn="0" w:lastRowLastColumn="0"/>
            </w:pPr>
            <w:r>
              <w:t xml:space="preserve">Past due but not impaired </w:t>
            </w:r>
            <w:hyperlink w:anchor="NotebAgeingAnalysis" w:history="1">
              <w:r w:rsidRPr="00DF41D7">
                <w:rPr>
                  <w:rStyle w:val="Hyperlink"/>
                </w:rPr>
                <w:t>refer note b</w:t>
              </w:r>
            </w:hyperlink>
          </w:p>
          <w:p w14:paraId="43C7ECD2" w14:textId="5A2D8C91" w:rsidR="00470F0A" w:rsidRDefault="00470F0A" w:rsidP="00DF41D7">
            <w:pPr>
              <w:cnfStyle w:val="100000000000" w:firstRow="1" w:lastRow="0" w:firstColumn="0" w:lastColumn="0" w:oddVBand="0" w:evenVBand="0" w:oddHBand="0" w:evenHBand="0" w:firstRowFirstColumn="0" w:firstRowLastColumn="0" w:lastRowFirstColumn="0" w:lastRowLastColumn="0"/>
              <w:rPr>
                <w:b w:val="0"/>
              </w:rPr>
            </w:pPr>
            <w:r w:rsidRPr="00DF41D7">
              <w:t>31-60 days</w:t>
            </w:r>
          </w:p>
          <w:p w14:paraId="67D505BC" w14:textId="77777777"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60" w:type="pct"/>
            <w:tcBorders>
              <w:top w:val="single" w:sz="4" w:space="0" w:color="auto"/>
            </w:tcBorders>
            <w:vAlign w:val="bottom"/>
          </w:tcPr>
          <w:p w14:paraId="185BAE08" w14:textId="1E669C15"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Past due but not impaired</w:t>
            </w:r>
            <w:r w:rsidR="00DF41D7">
              <w:t xml:space="preserve"> </w:t>
            </w:r>
            <w:hyperlink w:anchor="NotebAgeingAnalysis" w:history="1">
              <w:r w:rsidRPr="00DF41D7">
                <w:rPr>
                  <w:rStyle w:val="Hyperlink"/>
                </w:rPr>
                <w:t>refer note b</w:t>
              </w:r>
            </w:hyperlink>
            <w:r w:rsidR="00DF41D7">
              <w:t xml:space="preserve"> </w:t>
            </w:r>
            <w:r w:rsidRPr="00DF41D7">
              <w:t>61-90 days</w:t>
            </w:r>
          </w:p>
          <w:p w14:paraId="1030339D" w14:textId="77777777"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25" w:type="pct"/>
            <w:tcBorders>
              <w:top w:val="single" w:sz="4" w:space="0" w:color="auto"/>
            </w:tcBorders>
            <w:vAlign w:val="bottom"/>
          </w:tcPr>
          <w:p w14:paraId="2438C52F" w14:textId="617EA47F"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 xml:space="preserve">Past due but not impaired </w:t>
            </w:r>
            <w:r w:rsidR="00DF41D7">
              <w:t xml:space="preserve"> </w:t>
            </w:r>
            <w:hyperlink w:anchor="NotebAgeingAnalysis" w:history="1">
              <w:r w:rsidR="00DF41D7" w:rsidRPr="00DF41D7">
                <w:rPr>
                  <w:rStyle w:val="Hyperlink"/>
                </w:rPr>
                <w:t>refer note b</w:t>
              </w:r>
            </w:hyperlink>
            <w:r w:rsidR="00DF41D7">
              <w:t xml:space="preserve"> </w:t>
            </w:r>
            <w:r w:rsidRPr="00DF41D7">
              <w:t>91 days+</w:t>
            </w:r>
          </w:p>
          <w:p w14:paraId="30F169ED" w14:textId="77777777"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 thousands)</w:t>
            </w:r>
          </w:p>
        </w:tc>
        <w:tc>
          <w:tcPr>
            <w:tcW w:w="719" w:type="pct"/>
            <w:tcBorders>
              <w:top w:val="single" w:sz="4" w:space="0" w:color="auto"/>
            </w:tcBorders>
            <w:vAlign w:val="bottom"/>
          </w:tcPr>
          <w:p w14:paraId="3879785F" w14:textId="77777777"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Total</w:t>
            </w:r>
          </w:p>
          <w:p w14:paraId="270BB519" w14:textId="77777777" w:rsidR="00470F0A" w:rsidRPr="00DF41D7" w:rsidRDefault="00470F0A" w:rsidP="00DF41D7">
            <w:pPr>
              <w:cnfStyle w:val="100000000000" w:firstRow="1" w:lastRow="0" w:firstColumn="0" w:lastColumn="0" w:oddVBand="0" w:evenVBand="0" w:oddHBand="0" w:evenHBand="0" w:firstRowFirstColumn="0" w:firstRowLastColumn="0" w:lastRowFirstColumn="0" w:lastRowLastColumn="0"/>
            </w:pPr>
            <w:r w:rsidRPr="00DF41D7">
              <w:t>($ thousands)</w:t>
            </w:r>
          </w:p>
        </w:tc>
      </w:tr>
      <w:bookmarkEnd w:id="872"/>
      <w:tr w:rsidR="00470F0A" w:rsidRPr="00D84113" w14:paraId="6B7224D4" w14:textId="77777777" w:rsidTr="00C778D6">
        <w:tc>
          <w:tcPr>
            <w:cnfStyle w:val="001000000000" w:firstRow="0" w:lastRow="0" w:firstColumn="1" w:lastColumn="0" w:oddVBand="0" w:evenVBand="0" w:oddHBand="0" w:evenHBand="0" w:firstRowFirstColumn="0" w:firstRowLastColumn="0" w:lastRowFirstColumn="0" w:lastRowLastColumn="0"/>
            <w:tcW w:w="1325" w:type="pct"/>
            <w:vAlign w:val="top"/>
          </w:tcPr>
          <w:p w14:paraId="39A01DB3" w14:textId="77777777" w:rsidR="00470F0A" w:rsidRPr="00470F0A" w:rsidRDefault="00470F0A" w:rsidP="00DF41D7">
            <w:pPr>
              <w:pStyle w:val="TableBodyText"/>
              <w:rPr>
                <w:rStyle w:val="Bold"/>
              </w:rPr>
            </w:pPr>
            <w:r w:rsidRPr="00470F0A">
              <w:rPr>
                <w:rStyle w:val="Bold"/>
              </w:rPr>
              <w:t>Receivables</w:t>
            </w:r>
          </w:p>
        </w:tc>
        <w:tc>
          <w:tcPr>
            <w:tcW w:w="735" w:type="pct"/>
            <w:vAlign w:val="top"/>
          </w:tcPr>
          <w:p w14:paraId="4EA0259B" w14:textId="77777777" w:rsidR="00470F0A" w:rsidRPr="00D84113"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70CF9362" w14:textId="77777777" w:rsidR="00470F0A" w:rsidRPr="00D84113"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60" w:type="pct"/>
            <w:vAlign w:val="top"/>
          </w:tcPr>
          <w:p w14:paraId="6655FBE7" w14:textId="77777777"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5" w:type="pct"/>
            <w:vAlign w:val="top"/>
          </w:tcPr>
          <w:p w14:paraId="0BADBCF0" w14:textId="77777777"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19" w:type="pct"/>
            <w:vAlign w:val="top"/>
          </w:tcPr>
          <w:p w14:paraId="23360BDF" w14:textId="77777777"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r>
      <w:tr w:rsidR="00470F0A" w:rsidRPr="00D84113" w14:paraId="60E65E1F" w14:textId="77777777" w:rsidTr="00C778D6">
        <w:tc>
          <w:tcPr>
            <w:cnfStyle w:val="001000000000" w:firstRow="0" w:lastRow="0" w:firstColumn="1" w:lastColumn="0" w:oddVBand="0" w:evenVBand="0" w:oddHBand="0" w:evenHBand="0" w:firstRowFirstColumn="0" w:firstRowLastColumn="0" w:lastRowFirstColumn="0" w:lastRowLastColumn="0"/>
            <w:tcW w:w="1325" w:type="pct"/>
            <w:vAlign w:val="top"/>
          </w:tcPr>
          <w:p w14:paraId="14FBC969" w14:textId="5279984B" w:rsidR="00470F0A" w:rsidRPr="00D84113" w:rsidRDefault="00470F0A" w:rsidP="00DF41D7">
            <w:pPr>
              <w:pStyle w:val="TableBodyText"/>
            </w:pPr>
            <w:r>
              <w:t xml:space="preserve">Trade debtors </w:t>
            </w:r>
            <w:hyperlink w:anchor="NoteaAgeingAnalysis" w:history="1">
              <w:r w:rsidRPr="00470F0A">
                <w:rPr>
                  <w:rStyle w:val="Hyperlink"/>
                </w:rPr>
                <w:t>refer note a</w:t>
              </w:r>
            </w:hyperlink>
          </w:p>
        </w:tc>
        <w:tc>
          <w:tcPr>
            <w:tcW w:w="735" w:type="pct"/>
            <w:vAlign w:val="top"/>
          </w:tcPr>
          <w:p w14:paraId="1A6A864E" w14:textId="56FFD6F0" w:rsidR="00470F0A" w:rsidRPr="00D84113"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24,017</w:t>
            </w:r>
          </w:p>
        </w:tc>
        <w:tc>
          <w:tcPr>
            <w:tcW w:w="736" w:type="pct"/>
            <w:vAlign w:val="top"/>
          </w:tcPr>
          <w:p w14:paraId="03AF2AEB" w14:textId="69458E1C" w:rsidR="00470F0A" w:rsidRPr="00D84113"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7,023</w:t>
            </w:r>
          </w:p>
        </w:tc>
        <w:tc>
          <w:tcPr>
            <w:tcW w:w="760" w:type="pct"/>
            <w:vAlign w:val="top"/>
          </w:tcPr>
          <w:p w14:paraId="720E1EE8" w14:textId="3AF04386"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1,475</w:t>
            </w:r>
          </w:p>
        </w:tc>
        <w:tc>
          <w:tcPr>
            <w:tcW w:w="725" w:type="pct"/>
            <w:vAlign w:val="top"/>
          </w:tcPr>
          <w:p w14:paraId="22C4AA90" w14:textId="2EACF8EE"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8,468</w:t>
            </w:r>
          </w:p>
        </w:tc>
        <w:tc>
          <w:tcPr>
            <w:tcW w:w="719" w:type="pct"/>
            <w:vAlign w:val="top"/>
          </w:tcPr>
          <w:p w14:paraId="6DD00896" w14:textId="0898FD2A" w:rsidR="00470F0A" w:rsidRPr="00DF41D7" w:rsidRDefault="00470F0A"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DF41D7">
              <w:rPr>
                <w:rStyle w:val="Bold"/>
              </w:rPr>
              <w:t>40,983</w:t>
            </w:r>
          </w:p>
        </w:tc>
      </w:tr>
      <w:tr w:rsidR="00470F0A" w:rsidRPr="00D84113" w14:paraId="3A9AD8EC" w14:textId="77777777" w:rsidTr="00C778D6">
        <w:tc>
          <w:tcPr>
            <w:cnfStyle w:val="001000000000" w:firstRow="0" w:lastRow="0" w:firstColumn="1" w:lastColumn="0" w:oddVBand="0" w:evenVBand="0" w:oddHBand="0" w:evenHBand="0" w:firstRowFirstColumn="0" w:firstRowLastColumn="0" w:lastRowFirstColumn="0" w:lastRowLastColumn="0"/>
            <w:tcW w:w="1325" w:type="pct"/>
            <w:vAlign w:val="top"/>
          </w:tcPr>
          <w:p w14:paraId="00B5C061" w14:textId="77777777" w:rsidR="00470F0A" w:rsidRPr="00D84113" w:rsidRDefault="00470F0A" w:rsidP="00DF41D7">
            <w:pPr>
              <w:pStyle w:val="TableBodyText"/>
            </w:pPr>
            <w:r>
              <w:t>Other receivables</w:t>
            </w:r>
          </w:p>
        </w:tc>
        <w:tc>
          <w:tcPr>
            <w:tcW w:w="735" w:type="pct"/>
            <w:vAlign w:val="top"/>
          </w:tcPr>
          <w:p w14:paraId="57A1F90B" w14:textId="365E6A09" w:rsidR="00470F0A" w:rsidRPr="00D84113"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47,397</w:t>
            </w:r>
          </w:p>
        </w:tc>
        <w:tc>
          <w:tcPr>
            <w:tcW w:w="736" w:type="pct"/>
            <w:vAlign w:val="top"/>
          </w:tcPr>
          <w:p w14:paraId="7BDBF07D" w14:textId="77777777" w:rsidR="00470F0A" w:rsidRPr="00D84113"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60" w:type="pct"/>
            <w:vAlign w:val="top"/>
          </w:tcPr>
          <w:p w14:paraId="3FA5DA61" w14:textId="77777777"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5" w:type="pct"/>
            <w:vAlign w:val="top"/>
          </w:tcPr>
          <w:p w14:paraId="58B79587" w14:textId="77777777"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19" w:type="pct"/>
            <w:vAlign w:val="top"/>
          </w:tcPr>
          <w:p w14:paraId="15F0312A" w14:textId="23AC004B" w:rsidR="00470F0A" w:rsidRPr="00DF41D7" w:rsidRDefault="00470F0A"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DF41D7">
              <w:rPr>
                <w:rStyle w:val="Bold"/>
              </w:rPr>
              <w:t>47,397</w:t>
            </w:r>
          </w:p>
        </w:tc>
      </w:tr>
      <w:tr w:rsidR="00470F0A" w:rsidRPr="00965CBA" w14:paraId="708F342F" w14:textId="77777777" w:rsidTr="00C778D6">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bottom w:val="single" w:sz="4" w:space="0" w:color="auto"/>
            </w:tcBorders>
            <w:vAlign w:val="top"/>
          </w:tcPr>
          <w:p w14:paraId="6180A635" w14:textId="77777777" w:rsidR="00470F0A" w:rsidRPr="00965CBA" w:rsidRDefault="00470F0A" w:rsidP="00DF41D7">
            <w:pPr>
              <w:pStyle w:val="TableBodyText"/>
              <w:rPr>
                <w:rStyle w:val="Bold"/>
              </w:rPr>
            </w:pPr>
            <w:r>
              <w:rPr>
                <w:rStyle w:val="Bold"/>
              </w:rPr>
              <w:t>Total contractual receivables</w:t>
            </w:r>
          </w:p>
        </w:tc>
        <w:tc>
          <w:tcPr>
            <w:tcW w:w="735" w:type="pct"/>
            <w:tcBorders>
              <w:top w:val="single" w:sz="4" w:space="0" w:color="auto"/>
              <w:bottom w:val="single" w:sz="4" w:space="0" w:color="auto"/>
            </w:tcBorders>
            <w:vAlign w:val="top"/>
          </w:tcPr>
          <w:p w14:paraId="1F751C3E" w14:textId="309F8D97" w:rsidR="00470F0A" w:rsidRPr="00965CBA" w:rsidRDefault="00470F0A"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71,414</w:t>
            </w:r>
          </w:p>
        </w:tc>
        <w:tc>
          <w:tcPr>
            <w:tcW w:w="736" w:type="pct"/>
            <w:tcBorders>
              <w:top w:val="single" w:sz="4" w:space="0" w:color="auto"/>
              <w:bottom w:val="single" w:sz="4" w:space="0" w:color="auto"/>
            </w:tcBorders>
            <w:vAlign w:val="top"/>
          </w:tcPr>
          <w:p w14:paraId="6AC939F5" w14:textId="71E995F9" w:rsidR="00470F0A" w:rsidRPr="00965CBA" w:rsidRDefault="00470F0A"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7,023</w:t>
            </w:r>
          </w:p>
        </w:tc>
        <w:tc>
          <w:tcPr>
            <w:tcW w:w="760" w:type="pct"/>
            <w:tcBorders>
              <w:top w:val="single" w:sz="4" w:space="0" w:color="auto"/>
              <w:bottom w:val="single" w:sz="4" w:space="0" w:color="auto"/>
            </w:tcBorders>
            <w:vAlign w:val="top"/>
          </w:tcPr>
          <w:p w14:paraId="44C15820" w14:textId="6A844828"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1,475</w:t>
            </w:r>
          </w:p>
        </w:tc>
        <w:tc>
          <w:tcPr>
            <w:tcW w:w="725" w:type="pct"/>
            <w:tcBorders>
              <w:top w:val="single" w:sz="4" w:space="0" w:color="auto"/>
              <w:bottom w:val="single" w:sz="4" w:space="0" w:color="auto"/>
            </w:tcBorders>
            <w:vAlign w:val="top"/>
          </w:tcPr>
          <w:p w14:paraId="485EA1A9" w14:textId="7E56C491"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8,468</w:t>
            </w:r>
          </w:p>
        </w:tc>
        <w:tc>
          <w:tcPr>
            <w:tcW w:w="719" w:type="pct"/>
            <w:tcBorders>
              <w:top w:val="single" w:sz="4" w:space="0" w:color="auto"/>
              <w:bottom w:val="single" w:sz="4" w:space="0" w:color="auto"/>
            </w:tcBorders>
            <w:vAlign w:val="top"/>
          </w:tcPr>
          <w:p w14:paraId="716CA8A8" w14:textId="4F016B7E" w:rsidR="00470F0A" w:rsidRDefault="00470F0A" w:rsidP="00DF41D7">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88,380</w:t>
            </w:r>
          </w:p>
        </w:tc>
      </w:tr>
    </w:tbl>
    <w:p w14:paraId="49EDBBA4" w14:textId="476C771A" w:rsidR="00470F0A" w:rsidRDefault="00470F0A" w:rsidP="00470F0A">
      <w:pPr>
        <w:pStyle w:val="BodyText"/>
      </w:pPr>
      <w:bookmarkStart w:id="873" w:name="NoteaAgeingAnalysis"/>
      <w:r>
        <w:t xml:space="preserve">(a) </w:t>
      </w:r>
      <w:bookmarkEnd w:id="873"/>
      <w:r>
        <w:t>The majority of the aged receivables relate to waterways and drainage charges guaranteed by a lien on a property to ensure that any outstanding amounts are recovered upon sale of the property.</w:t>
      </w:r>
    </w:p>
    <w:p w14:paraId="7808EB1A" w14:textId="4044566C" w:rsidR="00470F0A" w:rsidRDefault="00470F0A" w:rsidP="00470F0A">
      <w:pPr>
        <w:pStyle w:val="BodyText"/>
      </w:pPr>
      <w:bookmarkStart w:id="874" w:name="NotebAgeingAnalysis"/>
      <w:r>
        <w:t xml:space="preserve">(b) </w:t>
      </w:r>
      <w:bookmarkEnd w:id="874"/>
      <w:r>
        <w:t>Ageing profile for 2019-20 trade debtors has been re-classified for comparative purposes, with no impact on total trade debtors.</w:t>
      </w:r>
    </w:p>
    <w:p w14:paraId="59ED1993" w14:textId="0E56EAC0" w:rsidR="00470F0A" w:rsidRDefault="00470F0A" w:rsidP="00470F0A">
      <w:pPr>
        <w:pStyle w:val="Heading2"/>
      </w:pPr>
      <w:bookmarkStart w:id="875" w:name="_Toc89723116"/>
      <w:bookmarkStart w:id="876" w:name="_Toc89723243"/>
      <w:bookmarkStart w:id="877" w:name="_Toc89723303"/>
      <w:bookmarkStart w:id="878" w:name="_Ref89843510"/>
      <w:bookmarkStart w:id="879" w:name="_Toc89860569"/>
      <w:bookmarkStart w:id="880" w:name="_Toc89860713"/>
      <w:bookmarkStart w:id="881" w:name="_Toc90326061"/>
      <w:bookmarkStart w:id="882" w:name="_Toc93659467"/>
      <w:r>
        <w:lastRenderedPageBreak/>
        <w:t>The Cost of Delivering Our Services</w:t>
      </w:r>
      <w:bookmarkEnd w:id="875"/>
      <w:bookmarkEnd w:id="876"/>
      <w:bookmarkEnd w:id="877"/>
      <w:bookmarkEnd w:id="878"/>
      <w:bookmarkEnd w:id="879"/>
      <w:bookmarkEnd w:id="880"/>
      <w:bookmarkEnd w:id="881"/>
      <w:bookmarkEnd w:id="882"/>
    </w:p>
    <w:p w14:paraId="77FB08D2" w14:textId="37788E42" w:rsidR="00470F0A" w:rsidRDefault="00470F0A" w:rsidP="00470F0A">
      <w:pPr>
        <w:pStyle w:val="Heading3"/>
      </w:pPr>
      <w:bookmarkStart w:id="883" w:name="_Toc89723117"/>
      <w:bookmarkStart w:id="884" w:name="_Toc90326062"/>
      <w:bookmarkStart w:id="885" w:name="_Toc93659468"/>
      <w:r>
        <w:t>Introduction</w:t>
      </w:r>
      <w:bookmarkEnd w:id="883"/>
      <w:bookmarkEnd w:id="884"/>
      <w:bookmarkEnd w:id="885"/>
    </w:p>
    <w:p w14:paraId="14243E97" w14:textId="7A90F279" w:rsidR="00470F0A" w:rsidRDefault="00470F0A" w:rsidP="00470F0A">
      <w:pPr>
        <w:pStyle w:val="BodyText"/>
      </w:pPr>
      <w:r>
        <w:t>This section provides additional information about the major components of expenditure incurred by the Corporation in relation to delivering our services during the year, as well as any related obligations outstanding as at 30 June 2021.</w:t>
      </w:r>
    </w:p>
    <w:p w14:paraId="3564AF7C" w14:textId="4D81ECEA" w:rsidR="00DA71F3" w:rsidRPr="00470F0A" w:rsidRDefault="00470F0A" w:rsidP="00470F0A">
      <w:pPr>
        <w:pStyle w:val="BodyText"/>
        <w:rPr>
          <w:rStyle w:val="Bold"/>
        </w:rPr>
      </w:pPr>
      <w:r w:rsidRPr="00470F0A">
        <w:rPr>
          <w:rStyle w:val="Bold"/>
        </w:rPr>
        <w:t>Structure</w:t>
      </w:r>
    </w:p>
    <w:p w14:paraId="3B62B4AE" w14:textId="6A0210D6"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_Ref89845182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rsidRPr="00470F0A">
        <w:t>3</w:t>
      </w:r>
      <w:r w:rsidR="00472151">
        <w:t xml:space="preserve">.1 </w:t>
      </w:r>
      <w:r w:rsidR="00472151" w:rsidRPr="00472151">
        <w:rPr>
          <w:rStyle w:val="HyperlinkFaux"/>
        </w:rPr>
        <w:t>Operational expenses</w:t>
      </w:r>
      <w:r w:rsidRPr="00D346CA">
        <w:rPr>
          <w:color w:val="0000FF"/>
          <w:u w:val="single"/>
        </w:rPr>
        <w:fldChar w:fldCharType="end"/>
      </w:r>
    </w:p>
    <w:p w14:paraId="0AFACEF1" w14:textId="21844F2C"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_Ref89845191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rsidRPr="00470F0A">
        <w:t>3</w:t>
      </w:r>
      <w:r w:rsidR="00472151">
        <w:t xml:space="preserve">.2 </w:t>
      </w:r>
      <w:r w:rsidR="00472151" w:rsidRPr="00472151">
        <w:rPr>
          <w:rStyle w:val="HyperlinkFaux"/>
        </w:rPr>
        <w:t>Employee benefits expenses and employee benefits provision</w:t>
      </w:r>
      <w:r w:rsidRPr="00D346CA">
        <w:rPr>
          <w:color w:val="0000FF"/>
          <w:u w:val="single"/>
        </w:rPr>
        <w:fldChar w:fldCharType="end"/>
      </w:r>
    </w:p>
    <w:p w14:paraId="3249E7ED" w14:textId="3DC8ACDD"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_Ref89845196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3.3 </w:t>
      </w:r>
      <w:r w:rsidR="00472151" w:rsidRPr="00472151">
        <w:rPr>
          <w:rStyle w:val="HyperlinkFaux"/>
        </w:rPr>
        <w:t>Repairs and maintenance expenses</w:t>
      </w:r>
      <w:r w:rsidRPr="00D346CA">
        <w:rPr>
          <w:color w:val="0000FF"/>
          <w:u w:val="single"/>
        </w:rPr>
        <w:fldChar w:fldCharType="end"/>
      </w:r>
    </w:p>
    <w:p w14:paraId="3583ECB5" w14:textId="100AE98E"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_Ref89845199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3.4 </w:t>
      </w:r>
      <w:r w:rsidR="00472151" w:rsidRPr="00472151">
        <w:rPr>
          <w:rStyle w:val="HyperlinkFaux"/>
        </w:rPr>
        <w:t>Administrative expenses</w:t>
      </w:r>
      <w:r w:rsidRPr="00D346CA">
        <w:rPr>
          <w:color w:val="0000FF"/>
          <w:u w:val="single"/>
        </w:rPr>
        <w:fldChar w:fldCharType="end"/>
      </w:r>
    </w:p>
    <w:p w14:paraId="64CB8143" w14:textId="700546E6"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_Ref89845213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3.5 </w:t>
      </w:r>
      <w:r w:rsidR="00472151" w:rsidRPr="00472151">
        <w:rPr>
          <w:rStyle w:val="HyperlinkFaux"/>
        </w:rPr>
        <w:t>Government rates and taxes</w:t>
      </w:r>
      <w:r w:rsidRPr="00D346CA">
        <w:rPr>
          <w:color w:val="0000FF"/>
          <w:u w:val="single"/>
        </w:rPr>
        <w:fldChar w:fldCharType="end"/>
      </w:r>
    </w:p>
    <w:p w14:paraId="0CDD1F7A" w14:textId="7D4F2860"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_Ref89845216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3.6 </w:t>
      </w:r>
      <w:r w:rsidR="00472151" w:rsidRPr="00472151">
        <w:rPr>
          <w:rStyle w:val="HyperlinkFaux"/>
        </w:rPr>
        <w:t>Asset transfers to council</w:t>
      </w:r>
      <w:r w:rsidRPr="00D346CA">
        <w:rPr>
          <w:color w:val="0000FF"/>
          <w:u w:val="single"/>
        </w:rPr>
        <w:fldChar w:fldCharType="end"/>
      </w:r>
    </w:p>
    <w:p w14:paraId="47BF563B" w14:textId="12B9CCDB"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_Ref89845219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3.7 </w:t>
      </w:r>
      <w:r w:rsidR="00472151" w:rsidRPr="00472151">
        <w:rPr>
          <w:rStyle w:val="HyperlinkFaux"/>
        </w:rPr>
        <w:t>Other expenses</w:t>
      </w:r>
      <w:r w:rsidRPr="00D346CA">
        <w:rPr>
          <w:color w:val="0000FF"/>
          <w:u w:val="single"/>
        </w:rPr>
        <w:fldChar w:fldCharType="end"/>
      </w:r>
    </w:p>
    <w:p w14:paraId="58E8D3F3" w14:textId="7BF42772"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_Ref89845222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3.8 </w:t>
      </w:r>
      <w:r w:rsidR="00472151" w:rsidRPr="00472151">
        <w:rPr>
          <w:rStyle w:val="HyperlinkFaux"/>
        </w:rPr>
        <w:t>Income and deferred tax</w:t>
      </w:r>
      <w:r w:rsidRPr="00D346CA">
        <w:rPr>
          <w:color w:val="0000FF"/>
          <w:u w:val="single"/>
        </w:rPr>
        <w:fldChar w:fldCharType="end"/>
      </w:r>
    </w:p>
    <w:p w14:paraId="35DDBB95" w14:textId="2B582654"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_Ref89845227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3.9 </w:t>
      </w:r>
      <w:r w:rsidR="00472151" w:rsidRPr="00472151">
        <w:rPr>
          <w:rStyle w:val="HyperlinkFaux"/>
        </w:rPr>
        <w:t>Payables</w:t>
      </w:r>
      <w:r w:rsidRPr="00D346CA">
        <w:rPr>
          <w:color w:val="0000FF"/>
          <w:u w:val="single"/>
        </w:rPr>
        <w:fldChar w:fldCharType="end"/>
      </w:r>
    </w:p>
    <w:p w14:paraId="2FD749E9" w14:textId="151D1151"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_Ref89845234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3.10 </w:t>
      </w:r>
      <w:r w:rsidR="00472151" w:rsidRPr="00472151">
        <w:rPr>
          <w:rStyle w:val="HyperlinkFaux"/>
        </w:rPr>
        <w:t>Contract liabilities</w:t>
      </w:r>
      <w:r w:rsidRPr="00D346CA">
        <w:rPr>
          <w:color w:val="0000FF"/>
          <w:u w:val="single"/>
        </w:rPr>
        <w:fldChar w:fldCharType="end"/>
      </w:r>
    </w:p>
    <w:p w14:paraId="058B9630" w14:textId="7018898B" w:rsidR="00D346CA" w:rsidRPr="00D346CA" w:rsidRDefault="00D346CA" w:rsidP="00D346CA">
      <w:pPr>
        <w:pStyle w:val="NoSpacing"/>
        <w:spacing w:line="288" w:lineRule="auto"/>
        <w:rPr>
          <w:u w:val="single"/>
        </w:rPr>
      </w:pPr>
      <w:r w:rsidRPr="00D346CA">
        <w:rPr>
          <w:color w:val="0000FF"/>
          <w:u w:val="single"/>
        </w:rPr>
        <w:fldChar w:fldCharType="begin"/>
      </w:r>
      <w:r w:rsidRPr="00D346CA">
        <w:rPr>
          <w:color w:val="0000FF"/>
          <w:u w:val="single"/>
        </w:rPr>
        <w:instrText xml:space="preserve"> REF _Ref89845244 \h </w:instrText>
      </w:r>
      <w:r w:rsidR="00B1710D">
        <w:rPr>
          <w:color w:val="0000FF"/>
          <w:u w:val="single"/>
        </w:rPr>
        <w:instrText xml:space="preserve"> \* MERGEFORMAT </w:instrText>
      </w:r>
      <w:r w:rsidRPr="00D346CA">
        <w:rPr>
          <w:color w:val="0000FF"/>
          <w:u w:val="single"/>
        </w:rPr>
      </w:r>
      <w:r w:rsidRPr="00D346CA">
        <w:rPr>
          <w:color w:val="0000FF"/>
          <w:u w:val="single"/>
        </w:rPr>
        <w:fldChar w:fldCharType="separate"/>
      </w:r>
      <w:r w:rsidR="00472151">
        <w:t xml:space="preserve">3.11 </w:t>
      </w:r>
      <w:r w:rsidR="00472151" w:rsidRPr="00472151">
        <w:rPr>
          <w:rStyle w:val="HyperlinkFaux"/>
        </w:rPr>
        <w:t>Other current assets</w:t>
      </w:r>
      <w:r w:rsidRPr="00D346CA">
        <w:rPr>
          <w:color w:val="0000FF"/>
          <w:u w:val="single"/>
        </w:rPr>
        <w:fldChar w:fldCharType="end"/>
      </w:r>
    </w:p>
    <w:p w14:paraId="79E5AC02" w14:textId="59702D31" w:rsidR="00D346CA" w:rsidRPr="00D346CA" w:rsidRDefault="00D346CA" w:rsidP="00D346CA">
      <w:pPr>
        <w:pStyle w:val="NoSpacing"/>
        <w:spacing w:line="288" w:lineRule="auto"/>
        <w:rPr>
          <w:u w:val="single"/>
        </w:rPr>
      </w:pPr>
      <w:r w:rsidRPr="00B1710D">
        <w:fldChar w:fldCharType="begin"/>
      </w:r>
      <w:r w:rsidRPr="00D346CA">
        <w:rPr>
          <w:color w:val="0000FF"/>
          <w:u w:val="single"/>
        </w:rPr>
        <w:instrText xml:space="preserve"> REF _Ref89845257 \h </w:instrText>
      </w:r>
      <w:r w:rsidR="00B1710D">
        <w:rPr>
          <w:color w:val="0000FF"/>
          <w:u w:val="single"/>
        </w:rPr>
        <w:instrText xml:space="preserve"> \* MERGEFORMAT </w:instrText>
      </w:r>
      <w:r w:rsidRPr="00B1710D">
        <w:fldChar w:fldCharType="separate"/>
      </w:r>
      <w:r w:rsidR="00472151">
        <w:t xml:space="preserve">3.12 </w:t>
      </w:r>
      <w:r w:rsidR="00472151" w:rsidRPr="00472151">
        <w:rPr>
          <w:rStyle w:val="HyperlinkFaux"/>
        </w:rPr>
        <w:t>Provisions</w:t>
      </w:r>
      <w:r w:rsidRPr="00B1710D">
        <w:rPr>
          <w:rStyle w:val="HyperlinkFaux"/>
        </w:rPr>
        <w:fldChar w:fldCharType="end"/>
      </w:r>
    </w:p>
    <w:p w14:paraId="1FDE0592" w14:textId="16E7949B" w:rsidR="00470F0A" w:rsidRPr="00470F0A" w:rsidRDefault="00470F0A" w:rsidP="00470F0A">
      <w:pPr>
        <w:pStyle w:val="Heading3"/>
      </w:pPr>
      <w:bookmarkStart w:id="886" w:name="Note31"/>
      <w:bookmarkStart w:id="887" w:name="_Toc89723118"/>
      <w:bookmarkStart w:id="888" w:name="_Ref89843542"/>
      <w:bookmarkStart w:id="889" w:name="_Ref89845182"/>
      <w:bookmarkStart w:id="890" w:name="_Toc90326063"/>
      <w:bookmarkStart w:id="891" w:name="_Toc93659469"/>
      <w:r w:rsidRPr="00470F0A">
        <w:t>3</w:t>
      </w:r>
      <w:r>
        <w:t xml:space="preserve">.1 </w:t>
      </w:r>
      <w:bookmarkEnd w:id="886"/>
      <w:r>
        <w:t>Operational expenses</w:t>
      </w:r>
      <w:bookmarkEnd w:id="887"/>
      <w:bookmarkEnd w:id="888"/>
      <w:bookmarkEnd w:id="889"/>
      <w:bookmarkEnd w:id="890"/>
      <w:bookmarkEnd w:id="891"/>
    </w:p>
    <w:tbl>
      <w:tblPr>
        <w:tblStyle w:val="Style1"/>
        <w:tblW w:w="5000" w:type="pct"/>
        <w:tblLook w:val="04A0" w:firstRow="1" w:lastRow="0" w:firstColumn="1" w:lastColumn="0" w:noHBand="0" w:noVBand="1"/>
      </w:tblPr>
      <w:tblGrid>
        <w:gridCol w:w="6803"/>
        <w:gridCol w:w="1420"/>
        <w:gridCol w:w="1408"/>
      </w:tblGrid>
      <w:tr w:rsidR="005F1EAD" w:rsidRPr="00AB18EB" w14:paraId="2F50E0B9"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23886332" w14:textId="77777777" w:rsidR="005F1EAD" w:rsidRPr="00AB18EB" w:rsidRDefault="005F1EAD" w:rsidP="00AB18EB">
            <w:bookmarkStart w:id="892" w:name="ColumnTitle_40"/>
            <w:r w:rsidRPr="00AB18EB">
              <w:t>Item</w:t>
            </w:r>
          </w:p>
        </w:tc>
        <w:tc>
          <w:tcPr>
            <w:tcW w:w="737" w:type="pct"/>
            <w:tcBorders>
              <w:top w:val="single" w:sz="4" w:space="0" w:color="auto"/>
            </w:tcBorders>
            <w:vAlign w:val="bottom"/>
          </w:tcPr>
          <w:p w14:paraId="2DA1C2CC" w14:textId="7B651A24" w:rsidR="005F1EAD" w:rsidRPr="00AB18EB" w:rsidRDefault="005F1EAD" w:rsidP="00AB18EB">
            <w:pPr>
              <w:cnfStyle w:val="100000000000" w:firstRow="1" w:lastRow="0" w:firstColumn="0" w:lastColumn="0" w:oddVBand="0" w:evenVBand="0" w:oddHBand="0" w:evenHBand="0" w:firstRowFirstColumn="0" w:firstRowLastColumn="0" w:lastRowFirstColumn="0" w:lastRowLastColumn="0"/>
            </w:pPr>
            <w:r w:rsidRPr="00AB18EB">
              <w:t>2021</w:t>
            </w:r>
          </w:p>
          <w:p w14:paraId="31BADFCE" w14:textId="77777777" w:rsidR="005F1EAD" w:rsidRPr="00AB18EB" w:rsidRDefault="005F1EAD" w:rsidP="00AB18EB">
            <w:pPr>
              <w:cnfStyle w:val="100000000000" w:firstRow="1" w:lastRow="0" w:firstColumn="0" w:lastColumn="0" w:oddVBand="0" w:evenVBand="0" w:oddHBand="0" w:evenHBand="0" w:firstRowFirstColumn="0" w:firstRowLastColumn="0" w:lastRowFirstColumn="0" w:lastRowLastColumn="0"/>
            </w:pPr>
            <w:r w:rsidRPr="00AB18EB">
              <w:t>($ thousands)</w:t>
            </w:r>
          </w:p>
        </w:tc>
        <w:tc>
          <w:tcPr>
            <w:tcW w:w="731" w:type="pct"/>
            <w:tcBorders>
              <w:top w:val="single" w:sz="4" w:space="0" w:color="auto"/>
            </w:tcBorders>
            <w:vAlign w:val="bottom"/>
          </w:tcPr>
          <w:p w14:paraId="6928B78D" w14:textId="1C277123" w:rsidR="005F1EAD" w:rsidRPr="00AB18EB" w:rsidRDefault="005F1EAD" w:rsidP="00AB18EB">
            <w:pPr>
              <w:cnfStyle w:val="100000000000" w:firstRow="1" w:lastRow="0" w:firstColumn="0" w:lastColumn="0" w:oddVBand="0" w:evenVBand="0" w:oddHBand="0" w:evenHBand="0" w:firstRowFirstColumn="0" w:firstRowLastColumn="0" w:lastRowFirstColumn="0" w:lastRowLastColumn="0"/>
            </w:pPr>
            <w:r w:rsidRPr="00AB18EB">
              <w:t>2020</w:t>
            </w:r>
          </w:p>
          <w:p w14:paraId="5A1694A2" w14:textId="77777777" w:rsidR="005F1EAD" w:rsidRPr="00AB18EB" w:rsidRDefault="005F1EAD" w:rsidP="00AB18EB">
            <w:pPr>
              <w:cnfStyle w:val="100000000000" w:firstRow="1" w:lastRow="0" w:firstColumn="0" w:lastColumn="0" w:oddVBand="0" w:evenVBand="0" w:oddHBand="0" w:evenHBand="0" w:firstRowFirstColumn="0" w:firstRowLastColumn="0" w:lastRowFirstColumn="0" w:lastRowLastColumn="0"/>
            </w:pPr>
            <w:r w:rsidRPr="00AB18EB">
              <w:t>($ thousands)</w:t>
            </w:r>
          </w:p>
        </w:tc>
      </w:tr>
      <w:bookmarkEnd w:id="892"/>
      <w:tr w:rsidR="005F1EAD" w:rsidRPr="00D84113" w14:paraId="3A66CB45"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395DE77A" w14:textId="1B7664F9" w:rsidR="005F1EAD" w:rsidRPr="00D84113" w:rsidRDefault="00DC0A06" w:rsidP="00AB18EB">
            <w:pPr>
              <w:pStyle w:val="TableBodyText"/>
            </w:pPr>
            <w:r>
              <w:t>Victorian Desalination Plant</w:t>
            </w:r>
            <w:r w:rsidR="005F1EAD">
              <w:t xml:space="preserve"> operating expenses</w:t>
            </w:r>
          </w:p>
        </w:tc>
        <w:tc>
          <w:tcPr>
            <w:tcW w:w="737" w:type="pct"/>
            <w:vAlign w:val="top"/>
          </w:tcPr>
          <w:p w14:paraId="179EAAAD" w14:textId="3B50B1A5"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203,641</w:t>
            </w:r>
          </w:p>
        </w:tc>
        <w:tc>
          <w:tcPr>
            <w:tcW w:w="731" w:type="pct"/>
            <w:vAlign w:val="top"/>
          </w:tcPr>
          <w:p w14:paraId="3D066BEA" w14:textId="689E0B36"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186,045</w:t>
            </w:r>
          </w:p>
        </w:tc>
      </w:tr>
      <w:tr w:rsidR="005F1EAD" w:rsidRPr="00D84113" w14:paraId="4AA4E64A"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6E8AEA38" w14:textId="5BC55A39" w:rsidR="005F1EAD" w:rsidRDefault="005F1EAD" w:rsidP="00AB18EB">
            <w:pPr>
              <w:pStyle w:val="TableBodyText"/>
            </w:pPr>
            <w:r>
              <w:t>Energy expenses</w:t>
            </w:r>
          </w:p>
        </w:tc>
        <w:tc>
          <w:tcPr>
            <w:tcW w:w="737" w:type="pct"/>
            <w:vAlign w:val="top"/>
          </w:tcPr>
          <w:p w14:paraId="62485FF3" w14:textId="4477C42D"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42,411</w:t>
            </w:r>
          </w:p>
        </w:tc>
        <w:tc>
          <w:tcPr>
            <w:tcW w:w="731" w:type="pct"/>
            <w:vAlign w:val="top"/>
          </w:tcPr>
          <w:p w14:paraId="0D95E5FD" w14:textId="0EFA42CF"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47,282</w:t>
            </w:r>
          </w:p>
        </w:tc>
      </w:tr>
      <w:tr w:rsidR="005F1EAD" w:rsidRPr="00D84113" w14:paraId="048CBEC2"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2B5332F2" w14:textId="5DD4AF66" w:rsidR="005F1EAD" w:rsidRDefault="005F1EAD" w:rsidP="00AB18EB">
            <w:pPr>
              <w:pStyle w:val="TableBodyText"/>
            </w:pPr>
            <w:r>
              <w:t>External professional services expenses</w:t>
            </w:r>
          </w:p>
        </w:tc>
        <w:tc>
          <w:tcPr>
            <w:tcW w:w="737" w:type="pct"/>
            <w:vAlign w:val="top"/>
          </w:tcPr>
          <w:p w14:paraId="31D62C1B" w14:textId="4E3681FE"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23,850</w:t>
            </w:r>
          </w:p>
        </w:tc>
        <w:tc>
          <w:tcPr>
            <w:tcW w:w="731" w:type="pct"/>
            <w:vAlign w:val="top"/>
          </w:tcPr>
          <w:p w14:paraId="0066D883" w14:textId="44B781E6"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22,511</w:t>
            </w:r>
          </w:p>
        </w:tc>
      </w:tr>
      <w:tr w:rsidR="005F1EAD" w:rsidRPr="00D84113" w14:paraId="30616DE2"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08105AAD" w14:textId="026F19EB" w:rsidR="005F1EAD" w:rsidRDefault="005F1EAD" w:rsidP="00AB18EB">
            <w:pPr>
              <w:pStyle w:val="TableBodyText"/>
            </w:pPr>
            <w:r>
              <w:t>Research and development expenses</w:t>
            </w:r>
          </w:p>
        </w:tc>
        <w:tc>
          <w:tcPr>
            <w:tcW w:w="737" w:type="pct"/>
            <w:vAlign w:val="top"/>
          </w:tcPr>
          <w:p w14:paraId="76735338" w14:textId="508ED779"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6,958</w:t>
            </w:r>
          </w:p>
        </w:tc>
        <w:tc>
          <w:tcPr>
            <w:tcW w:w="731" w:type="pct"/>
            <w:vAlign w:val="top"/>
          </w:tcPr>
          <w:p w14:paraId="414C8A46" w14:textId="10DAB733"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8,051</w:t>
            </w:r>
          </w:p>
        </w:tc>
      </w:tr>
      <w:tr w:rsidR="005F1EAD" w:rsidRPr="00D84113" w14:paraId="1D95D716"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24BA7CC4" w14:textId="5EBDC8CF" w:rsidR="005F1EAD" w:rsidRDefault="005F1EAD" w:rsidP="00AB18EB">
            <w:pPr>
              <w:pStyle w:val="TableBodyText"/>
            </w:pPr>
            <w:r>
              <w:t>Materials and chemicals expenses</w:t>
            </w:r>
          </w:p>
        </w:tc>
        <w:tc>
          <w:tcPr>
            <w:tcW w:w="737" w:type="pct"/>
            <w:vAlign w:val="top"/>
          </w:tcPr>
          <w:p w14:paraId="215137A2" w14:textId="0391F8B1"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11,157</w:t>
            </w:r>
          </w:p>
        </w:tc>
        <w:tc>
          <w:tcPr>
            <w:tcW w:w="731" w:type="pct"/>
            <w:vAlign w:val="top"/>
          </w:tcPr>
          <w:p w14:paraId="43CFFFD1" w14:textId="7A32B145"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10,896</w:t>
            </w:r>
          </w:p>
        </w:tc>
      </w:tr>
      <w:tr w:rsidR="005F1EAD" w:rsidRPr="00D84113" w14:paraId="546A1B52"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46177A09" w14:textId="176DEE23" w:rsidR="005F1EAD" w:rsidRDefault="005F1EAD" w:rsidP="00AB18EB">
            <w:pPr>
              <w:pStyle w:val="TableBodyText"/>
            </w:pPr>
            <w:r>
              <w:t>Grants and contributions expenses</w:t>
            </w:r>
          </w:p>
        </w:tc>
        <w:tc>
          <w:tcPr>
            <w:tcW w:w="737" w:type="pct"/>
            <w:vAlign w:val="top"/>
          </w:tcPr>
          <w:p w14:paraId="0DB177C6" w14:textId="39666B27"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9,044</w:t>
            </w:r>
          </w:p>
        </w:tc>
        <w:tc>
          <w:tcPr>
            <w:tcW w:w="731" w:type="pct"/>
            <w:vAlign w:val="top"/>
          </w:tcPr>
          <w:p w14:paraId="6C4CABDD" w14:textId="3080650A"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8,038</w:t>
            </w:r>
          </w:p>
        </w:tc>
      </w:tr>
      <w:tr w:rsidR="005F1EAD" w:rsidRPr="00D84113" w14:paraId="32337F9C"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1C73C566" w14:textId="79381EB6" w:rsidR="005F1EAD" w:rsidRDefault="005F1EAD" w:rsidP="00AB18EB">
            <w:pPr>
              <w:pStyle w:val="TableBodyText"/>
            </w:pPr>
            <w:r>
              <w:t>Transport expenses</w:t>
            </w:r>
          </w:p>
        </w:tc>
        <w:tc>
          <w:tcPr>
            <w:tcW w:w="737" w:type="pct"/>
            <w:vAlign w:val="top"/>
          </w:tcPr>
          <w:p w14:paraId="2068AC67" w14:textId="12E4C799"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3,391</w:t>
            </w:r>
          </w:p>
        </w:tc>
        <w:tc>
          <w:tcPr>
            <w:tcW w:w="731" w:type="pct"/>
            <w:vAlign w:val="top"/>
          </w:tcPr>
          <w:p w14:paraId="6AAAB6CB" w14:textId="0C402550"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3,492</w:t>
            </w:r>
          </w:p>
        </w:tc>
      </w:tr>
      <w:tr w:rsidR="005F1EAD" w:rsidRPr="00D84113" w14:paraId="5458683D"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3BEE6FD1" w14:textId="1456E772" w:rsidR="005F1EAD" w:rsidRDefault="005F1EAD" w:rsidP="00AB18EB">
            <w:pPr>
              <w:pStyle w:val="TableBodyText"/>
            </w:pPr>
            <w:r>
              <w:t>Insurance expenses</w:t>
            </w:r>
          </w:p>
        </w:tc>
        <w:tc>
          <w:tcPr>
            <w:tcW w:w="737" w:type="pct"/>
            <w:vAlign w:val="top"/>
          </w:tcPr>
          <w:p w14:paraId="45446D4E" w14:textId="3D50B7F8"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3,749</w:t>
            </w:r>
          </w:p>
        </w:tc>
        <w:tc>
          <w:tcPr>
            <w:tcW w:w="731" w:type="pct"/>
            <w:vAlign w:val="top"/>
          </w:tcPr>
          <w:p w14:paraId="6D223501" w14:textId="1868A767"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4,787</w:t>
            </w:r>
          </w:p>
        </w:tc>
      </w:tr>
      <w:tr w:rsidR="005F1EAD" w:rsidRPr="00D84113" w14:paraId="1C5288C0" w14:textId="77777777" w:rsidTr="005F1EAD">
        <w:tc>
          <w:tcPr>
            <w:cnfStyle w:val="001000000000" w:firstRow="0" w:lastRow="0" w:firstColumn="1" w:lastColumn="0" w:oddVBand="0" w:evenVBand="0" w:oddHBand="0" w:evenHBand="0" w:firstRowFirstColumn="0" w:firstRowLastColumn="0" w:lastRowFirstColumn="0" w:lastRowLastColumn="0"/>
            <w:tcW w:w="3532" w:type="pct"/>
            <w:vAlign w:val="top"/>
          </w:tcPr>
          <w:p w14:paraId="1490F90D" w14:textId="2AF72AB5" w:rsidR="005F1EAD" w:rsidRPr="00D84113" w:rsidRDefault="005F1EAD" w:rsidP="00AB18EB">
            <w:pPr>
              <w:pStyle w:val="TableBodyText"/>
            </w:pPr>
            <w:r>
              <w:t>Other expenses</w:t>
            </w:r>
          </w:p>
        </w:tc>
        <w:tc>
          <w:tcPr>
            <w:tcW w:w="737" w:type="pct"/>
            <w:vAlign w:val="top"/>
          </w:tcPr>
          <w:p w14:paraId="14D52620" w14:textId="27390534"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658</w:t>
            </w:r>
          </w:p>
        </w:tc>
        <w:tc>
          <w:tcPr>
            <w:tcW w:w="731" w:type="pct"/>
            <w:vAlign w:val="top"/>
          </w:tcPr>
          <w:p w14:paraId="5024515F" w14:textId="59400CC0"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363</w:t>
            </w:r>
          </w:p>
        </w:tc>
      </w:tr>
      <w:tr w:rsidR="005F1EAD" w:rsidRPr="00965CBA" w14:paraId="56A65C40" w14:textId="77777777" w:rsidTr="005F1EAD">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2554DC0F" w14:textId="68F03123" w:rsidR="005F1EAD" w:rsidRPr="00965CBA" w:rsidRDefault="005F1EAD" w:rsidP="00AB18EB">
            <w:pPr>
              <w:pStyle w:val="TableBodyText"/>
              <w:rPr>
                <w:rStyle w:val="Bold"/>
              </w:rPr>
            </w:pPr>
            <w:r>
              <w:rPr>
                <w:rStyle w:val="Bold"/>
              </w:rPr>
              <w:t>Total operational expenses</w:t>
            </w:r>
          </w:p>
        </w:tc>
        <w:tc>
          <w:tcPr>
            <w:tcW w:w="737" w:type="pct"/>
            <w:tcBorders>
              <w:top w:val="single" w:sz="4" w:space="0" w:color="auto"/>
              <w:bottom w:val="single" w:sz="4" w:space="0" w:color="auto"/>
            </w:tcBorders>
            <w:vAlign w:val="top"/>
          </w:tcPr>
          <w:p w14:paraId="2C247897" w14:textId="25173994"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304,859</w:t>
            </w:r>
          </w:p>
        </w:tc>
        <w:tc>
          <w:tcPr>
            <w:tcW w:w="731" w:type="pct"/>
            <w:tcBorders>
              <w:top w:val="single" w:sz="4" w:space="0" w:color="auto"/>
              <w:bottom w:val="single" w:sz="4" w:space="0" w:color="auto"/>
            </w:tcBorders>
            <w:vAlign w:val="top"/>
          </w:tcPr>
          <w:p w14:paraId="0E330729" w14:textId="186D65DA"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291,465</w:t>
            </w:r>
          </w:p>
        </w:tc>
      </w:tr>
    </w:tbl>
    <w:p w14:paraId="470CB68D" w14:textId="73D70010" w:rsidR="00470F0A" w:rsidRDefault="005F1EAD" w:rsidP="005F1EAD">
      <w:pPr>
        <w:pStyle w:val="BodyText"/>
      </w:pPr>
      <w:r w:rsidRPr="005F1EAD">
        <w:rPr>
          <w:rStyle w:val="Bold"/>
        </w:rPr>
        <w:t>Operational expenses</w:t>
      </w:r>
      <w:r>
        <w:t xml:space="preserve"> represent the day-to-day running costs incurred in normal operations. Victorian Desalination Project (VDP) operating expenses include the costs of water security, labour, maintenance, chemicals and energy. They are expensed in the period in which they are incurred.</w:t>
      </w:r>
    </w:p>
    <w:p w14:paraId="6120DB93" w14:textId="7F627927" w:rsidR="005F1EAD" w:rsidRPr="00470F0A" w:rsidRDefault="005F1EAD" w:rsidP="0011520C">
      <w:pPr>
        <w:pStyle w:val="Heading3"/>
      </w:pPr>
      <w:bookmarkStart w:id="893" w:name="Note32"/>
      <w:bookmarkStart w:id="894" w:name="_Toc89723119"/>
      <w:bookmarkStart w:id="895" w:name="_Ref89843554"/>
      <w:bookmarkStart w:id="896" w:name="_Ref89845191"/>
      <w:bookmarkStart w:id="897" w:name="_Toc90326064"/>
      <w:bookmarkStart w:id="898" w:name="_Toc93659470"/>
      <w:r w:rsidRPr="00470F0A">
        <w:lastRenderedPageBreak/>
        <w:t>3</w:t>
      </w:r>
      <w:r>
        <w:t>.</w:t>
      </w:r>
      <w:r w:rsidR="00AB18EB">
        <w:t>2</w:t>
      </w:r>
      <w:r>
        <w:t xml:space="preserve"> </w:t>
      </w:r>
      <w:bookmarkEnd w:id="893"/>
      <w:r>
        <w:t>Employee benefits expenses and employee benefits provision</w:t>
      </w:r>
      <w:bookmarkEnd w:id="894"/>
      <w:bookmarkEnd w:id="895"/>
      <w:bookmarkEnd w:id="896"/>
      <w:bookmarkEnd w:id="897"/>
      <w:bookmarkEnd w:id="898"/>
    </w:p>
    <w:tbl>
      <w:tblPr>
        <w:tblStyle w:val="Style1"/>
        <w:tblW w:w="5000" w:type="pct"/>
        <w:tblLook w:val="04A0" w:firstRow="1" w:lastRow="0" w:firstColumn="1" w:lastColumn="0" w:noHBand="0" w:noVBand="1"/>
      </w:tblPr>
      <w:tblGrid>
        <w:gridCol w:w="6803"/>
        <w:gridCol w:w="1420"/>
        <w:gridCol w:w="1408"/>
      </w:tblGrid>
      <w:tr w:rsidR="005F1EAD" w:rsidRPr="00AB18EB" w14:paraId="095277BB"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449473FD" w14:textId="77777777" w:rsidR="005F1EAD" w:rsidRPr="00AB18EB" w:rsidRDefault="005F1EAD" w:rsidP="0011520C">
            <w:pPr>
              <w:keepNext/>
              <w:keepLines/>
            </w:pPr>
            <w:bookmarkStart w:id="899" w:name="ColumnTitle_41"/>
            <w:r w:rsidRPr="00AB18EB">
              <w:t>Item</w:t>
            </w:r>
          </w:p>
        </w:tc>
        <w:tc>
          <w:tcPr>
            <w:tcW w:w="737" w:type="pct"/>
            <w:tcBorders>
              <w:top w:val="single" w:sz="4" w:space="0" w:color="auto"/>
            </w:tcBorders>
            <w:vAlign w:val="bottom"/>
          </w:tcPr>
          <w:p w14:paraId="0E3285BB" w14:textId="77777777" w:rsidR="005F1EAD" w:rsidRPr="00AB18EB"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AB18EB">
              <w:t>2021</w:t>
            </w:r>
          </w:p>
          <w:p w14:paraId="43412216" w14:textId="77777777" w:rsidR="005F1EAD" w:rsidRPr="00AB18EB"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AB18EB">
              <w:t>($ thousands)</w:t>
            </w:r>
          </w:p>
        </w:tc>
        <w:tc>
          <w:tcPr>
            <w:tcW w:w="731" w:type="pct"/>
            <w:tcBorders>
              <w:top w:val="single" w:sz="4" w:space="0" w:color="auto"/>
            </w:tcBorders>
            <w:vAlign w:val="bottom"/>
          </w:tcPr>
          <w:p w14:paraId="34C586F3" w14:textId="77777777" w:rsidR="005F1EAD" w:rsidRPr="00AB18EB"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AB18EB">
              <w:t>2020</w:t>
            </w:r>
          </w:p>
          <w:p w14:paraId="18D6F3C4" w14:textId="77777777" w:rsidR="005F1EAD" w:rsidRPr="00AB18EB"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AB18EB">
              <w:t>($ thousands)</w:t>
            </w:r>
          </w:p>
        </w:tc>
      </w:tr>
      <w:bookmarkEnd w:id="899"/>
      <w:tr w:rsidR="005F1EAD" w:rsidRPr="00D84113" w14:paraId="1D55E2CC"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BC7E606" w14:textId="6C30B45E" w:rsidR="005F1EAD" w:rsidRPr="00D84113" w:rsidRDefault="005F1EAD" w:rsidP="0011520C">
            <w:pPr>
              <w:pStyle w:val="TableBodyText"/>
              <w:keepNext/>
              <w:keepLines/>
            </w:pPr>
            <w:r>
              <w:t>Salary and wages expenses</w:t>
            </w:r>
          </w:p>
        </w:tc>
        <w:tc>
          <w:tcPr>
            <w:tcW w:w="737" w:type="pct"/>
            <w:vAlign w:val="top"/>
          </w:tcPr>
          <w:p w14:paraId="7ED04AA5" w14:textId="1334E1F1" w:rsidR="005F1EAD" w:rsidRDefault="005F1EAD"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113,081</w:t>
            </w:r>
          </w:p>
        </w:tc>
        <w:tc>
          <w:tcPr>
            <w:tcW w:w="731" w:type="pct"/>
            <w:vAlign w:val="top"/>
          </w:tcPr>
          <w:p w14:paraId="17CC8D50" w14:textId="30E8168F" w:rsidR="005F1EAD" w:rsidRDefault="005F1EAD"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107,312</w:t>
            </w:r>
          </w:p>
        </w:tc>
      </w:tr>
      <w:tr w:rsidR="005F1EAD" w:rsidRPr="00D84113" w14:paraId="3622DE3B"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2EA7073" w14:textId="618828A1" w:rsidR="005F1EAD" w:rsidRDefault="005F1EAD" w:rsidP="00AB18EB">
            <w:pPr>
              <w:pStyle w:val="TableBodyText"/>
            </w:pPr>
            <w:r>
              <w:t>Annual, long service and shift leave expenses</w:t>
            </w:r>
          </w:p>
        </w:tc>
        <w:tc>
          <w:tcPr>
            <w:tcW w:w="737" w:type="pct"/>
            <w:vAlign w:val="top"/>
          </w:tcPr>
          <w:p w14:paraId="76E89210" w14:textId="73C385D8"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13,768</w:t>
            </w:r>
          </w:p>
        </w:tc>
        <w:tc>
          <w:tcPr>
            <w:tcW w:w="731" w:type="pct"/>
            <w:vAlign w:val="top"/>
          </w:tcPr>
          <w:p w14:paraId="5338690C" w14:textId="289BBA2C"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14,765</w:t>
            </w:r>
          </w:p>
        </w:tc>
      </w:tr>
      <w:tr w:rsidR="005F1EAD" w:rsidRPr="00D84113" w14:paraId="2DF647EE"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72B45459" w14:textId="76656494" w:rsidR="005F1EAD" w:rsidRDefault="005F1EAD" w:rsidP="00AB18EB">
            <w:pPr>
              <w:pStyle w:val="TableBodyText"/>
            </w:pPr>
            <w:r>
              <w:t>Defined contribution plans (superannuation accumulation fund) expense</w:t>
            </w:r>
          </w:p>
        </w:tc>
        <w:tc>
          <w:tcPr>
            <w:tcW w:w="737" w:type="pct"/>
            <w:vAlign w:val="top"/>
          </w:tcPr>
          <w:p w14:paraId="0B14CF26" w14:textId="6CF2F693"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10,795</w:t>
            </w:r>
          </w:p>
        </w:tc>
        <w:tc>
          <w:tcPr>
            <w:tcW w:w="731" w:type="pct"/>
            <w:vAlign w:val="top"/>
          </w:tcPr>
          <w:p w14:paraId="385B9F2D" w14:textId="7EDE42BB"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9,879</w:t>
            </w:r>
          </w:p>
        </w:tc>
      </w:tr>
      <w:tr w:rsidR="005F1EAD" w:rsidRPr="00D84113" w14:paraId="1BACDB0E"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C325358" w14:textId="33F356F1" w:rsidR="005F1EAD" w:rsidRDefault="005F1EAD" w:rsidP="00AB18EB">
            <w:pPr>
              <w:pStyle w:val="TableBodyText"/>
            </w:pPr>
            <w:r>
              <w:t>Defined benefit superannuation plan expense</w:t>
            </w:r>
          </w:p>
        </w:tc>
        <w:tc>
          <w:tcPr>
            <w:tcW w:w="737" w:type="pct"/>
            <w:vAlign w:val="top"/>
          </w:tcPr>
          <w:p w14:paraId="11B447AA" w14:textId="1A72CD1F"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1,687</w:t>
            </w:r>
          </w:p>
        </w:tc>
        <w:tc>
          <w:tcPr>
            <w:tcW w:w="731" w:type="pct"/>
            <w:vAlign w:val="top"/>
          </w:tcPr>
          <w:p w14:paraId="4C2DFF6D" w14:textId="051E102F"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1,565</w:t>
            </w:r>
          </w:p>
        </w:tc>
      </w:tr>
      <w:tr w:rsidR="005F1EAD" w:rsidRPr="00D84113" w14:paraId="4157EB92"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15C757C" w14:textId="585CC392" w:rsidR="005F1EAD" w:rsidRDefault="005F1EAD" w:rsidP="00AB18EB">
            <w:pPr>
              <w:pStyle w:val="TableBodyText"/>
            </w:pPr>
            <w:r>
              <w:t>Other employee expenses</w:t>
            </w:r>
          </w:p>
        </w:tc>
        <w:tc>
          <w:tcPr>
            <w:tcW w:w="737" w:type="pct"/>
            <w:vAlign w:val="top"/>
          </w:tcPr>
          <w:p w14:paraId="6314083C" w14:textId="519711CC"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6,788</w:t>
            </w:r>
          </w:p>
        </w:tc>
        <w:tc>
          <w:tcPr>
            <w:tcW w:w="731" w:type="pct"/>
            <w:vAlign w:val="top"/>
          </w:tcPr>
          <w:p w14:paraId="128CDF1C" w14:textId="4405B2BD"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pPr>
            <w:r>
              <w:t>6,888</w:t>
            </w:r>
          </w:p>
        </w:tc>
      </w:tr>
      <w:tr w:rsidR="005F1EAD" w:rsidRPr="00965CBA" w14:paraId="1EB9A093"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679D85AC" w14:textId="2570C220" w:rsidR="005F1EAD" w:rsidRPr="00965CBA" w:rsidRDefault="005F1EAD" w:rsidP="00AB18EB">
            <w:pPr>
              <w:pStyle w:val="TableBodyText"/>
              <w:rPr>
                <w:rStyle w:val="Bold"/>
              </w:rPr>
            </w:pPr>
            <w:r>
              <w:rPr>
                <w:rStyle w:val="Bold"/>
              </w:rPr>
              <w:t>Total employee benefits expenses</w:t>
            </w:r>
          </w:p>
        </w:tc>
        <w:tc>
          <w:tcPr>
            <w:tcW w:w="737" w:type="pct"/>
            <w:tcBorders>
              <w:top w:val="single" w:sz="4" w:space="0" w:color="auto"/>
              <w:bottom w:val="single" w:sz="4" w:space="0" w:color="auto"/>
            </w:tcBorders>
            <w:vAlign w:val="top"/>
          </w:tcPr>
          <w:p w14:paraId="211E0C60" w14:textId="390AB641"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146,119</w:t>
            </w:r>
          </w:p>
        </w:tc>
        <w:tc>
          <w:tcPr>
            <w:tcW w:w="731" w:type="pct"/>
            <w:tcBorders>
              <w:top w:val="single" w:sz="4" w:space="0" w:color="auto"/>
              <w:bottom w:val="single" w:sz="4" w:space="0" w:color="auto"/>
            </w:tcBorders>
            <w:vAlign w:val="top"/>
          </w:tcPr>
          <w:p w14:paraId="18CD8024" w14:textId="15959957" w:rsidR="005F1EAD" w:rsidRDefault="005F1EAD" w:rsidP="00AB18E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140,409</w:t>
            </w:r>
          </w:p>
        </w:tc>
      </w:tr>
    </w:tbl>
    <w:p w14:paraId="75FF981F" w14:textId="3ED00D62" w:rsidR="00470F0A" w:rsidRDefault="005F1EAD" w:rsidP="005F1EAD">
      <w:pPr>
        <w:pStyle w:val="BodyText"/>
      </w:pPr>
      <w:r w:rsidRPr="005F1EAD">
        <w:rPr>
          <w:rStyle w:val="Bold"/>
        </w:rPr>
        <w:t>Employee benefits expenses</w:t>
      </w:r>
      <w:r>
        <w:t xml:space="preserve"> include all expenses related to employment including: salary and wages expenses; defined contribution plans; annual, long service and shift leave expenses; defined benefit superannuation plan expense; and other employee expenses (that is, payroll tax, Work Cover (post-1985), workers' compensation (pre-1985), rostered days off, redundancy payments). They are expensed in the period in which they are incurred. Directly attributable costs for bringing an asset to the location and condition necessary for operation, such as costs of employee benefits arising directly from the construction or </w:t>
      </w:r>
      <w:r w:rsidR="00203819">
        <w:t>acquisition</w:t>
      </w:r>
      <w:r>
        <w:t xml:space="preserve"> of the asset, are capitalised via a reduction to the employee benefit expense.</w:t>
      </w:r>
    </w:p>
    <w:p w14:paraId="5198D714" w14:textId="3B89EE50" w:rsidR="005F1EAD" w:rsidRDefault="005F1EAD" w:rsidP="005F1EAD">
      <w:pPr>
        <w:pStyle w:val="BodyText"/>
      </w:pPr>
      <w:r>
        <w:t>Provision is made for benefits accruing to employees in respect of salaries and wages, annual leave and long service leave (LSL) up to the reporting date and recorded as an expense during the period the services are delivered.</w:t>
      </w:r>
    </w:p>
    <w:p w14:paraId="65125E95" w14:textId="4AD4B345" w:rsidR="005F1EAD" w:rsidRPr="00470F0A" w:rsidRDefault="005F1EAD" w:rsidP="0011520C">
      <w:pPr>
        <w:pStyle w:val="Heading4"/>
      </w:pPr>
      <w:r>
        <w:lastRenderedPageBreak/>
        <w:t>Total employee benefits provision and on-costs at 30 June</w:t>
      </w:r>
    </w:p>
    <w:tbl>
      <w:tblPr>
        <w:tblStyle w:val="Style1"/>
        <w:tblW w:w="5000" w:type="pct"/>
        <w:tblLook w:val="04A0" w:firstRow="1" w:lastRow="0" w:firstColumn="1" w:lastColumn="0" w:noHBand="0" w:noVBand="1"/>
      </w:tblPr>
      <w:tblGrid>
        <w:gridCol w:w="6803"/>
        <w:gridCol w:w="1420"/>
        <w:gridCol w:w="1408"/>
      </w:tblGrid>
      <w:tr w:rsidR="005F1EAD" w:rsidRPr="00560C7A" w14:paraId="7CC54B8D"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0CC35A6A" w14:textId="77777777" w:rsidR="005F1EAD" w:rsidRPr="00560C7A" w:rsidRDefault="005F1EAD" w:rsidP="0011520C">
            <w:pPr>
              <w:keepNext/>
              <w:keepLines/>
            </w:pPr>
            <w:bookmarkStart w:id="900" w:name="ColumnTitle_42"/>
            <w:r w:rsidRPr="00560C7A">
              <w:t>Item</w:t>
            </w:r>
          </w:p>
        </w:tc>
        <w:tc>
          <w:tcPr>
            <w:tcW w:w="737" w:type="pct"/>
            <w:tcBorders>
              <w:top w:val="single" w:sz="4" w:space="0" w:color="auto"/>
            </w:tcBorders>
            <w:vAlign w:val="bottom"/>
          </w:tcPr>
          <w:p w14:paraId="3D7057A5" w14:textId="77777777" w:rsidR="005F1EAD" w:rsidRPr="00560C7A"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560C7A">
              <w:t>2021</w:t>
            </w:r>
          </w:p>
          <w:p w14:paraId="19DF2531" w14:textId="77777777" w:rsidR="005F1EAD" w:rsidRPr="00560C7A"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560C7A">
              <w:t>($ thousands)</w:t>
            </w:r>
          </w:p>
        </w:tc>
        <w:tc>
          <w:tcPr>
            <w:tcW w:w="731" w:type="pct"/>
            <w:tcBorders>
              <w:top w:val="single" w:sz="4" w:space="0" w:color="auto"/>
            </w:tcBorders>
            <w:vAlign w:val="bottom"/>
          </w:tcPr>
          <w:p w14:paraId="20A290E2" w14:textId="77777777" w:rsidR="005F1EAD" w:rsidRPr="00560C7A"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560C7A">
              <w:t>2020</w:t>
            </w:r>
          </w:p>
          <w:p w14:paraId="179CFDE7" w14:textId="77777777" w:rsidR="005F1EAD" w:rsidRPr="00560C7A" w:rsidRDefault="005F1EAD" w:rsidP="0011520C">
            <w:pPr>
              <w:keepNext/>
              <w:keepLines/>
              <w:cnfStyle w:val="100000000000" w:firstRow="1" w:lastRow="0" w:firstColumn="0" w:lastColumn="0" w:oddVBand="0" w:evenVBand="0" w:oddHBand="0" w:evenHBand="0" w:firstRowFirstColumn="0" w:firstRowLastColumn="0" w:lastRowFirstColumn="0" w:lastRowLastColumn="0"/>
            </w:pPr>
            <w:r w:rsidRPr="00560C7A">
              <w:t>($ thousands)</w:t>
            </w:r>
          </w:p>
        </w:tc>
      </w:tr>
      <w:bookmarkEnd w:id="900"/>
      <w:tr w:rsidR="005F1EAD" w:rsidRPr="00D84113" w14:paraId="2B1EAF8C"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7F048C0" w14:textId="15B56F3C" w:rsidR="005F1EAD" w:rsidRPr="0040724C" w:rsidRDefault="0040724C" w:rsidP="0011520C">
            <w:pPr>
              <w:pStyle w:val="TableBodyText"/>
              <w:keepNext/>
              <w:keepLines/>
              <w:rPr>
                <w:rStyle w:val="Bold"/>
              </w:rPr>
            </w:pPr>
            <w:r w:rsidRPr="0040724C">
              <w:rPr>
                <w:rStyle w:val="Bold"/>
              </w:rPr>
              <w:t>Current</w:t>
            </w:r>
          </w:p>
        </w:tc>
        <w:tc>
          <w:tcPr>
            <w:tcW w:w="737" w:type="pct"/>
            <w:vAlign w:val="top"/>
          </w:tcPr>
          <w:p w14:paraId="1823B037" w14:textId="3D902F04"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2C2BE5E1" w14:textId="629280CC"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5F1EAD" w:rsidRPr="00D84113" w14:paraId="1DA505CE"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3415A49" w14:textId="09286BE7" w:rsidR="005F1EAD" w:rsidRPr="0040724C" w:rsidRDefault="0040724C" w:rsidP="0011520C">
            <w:pPr>
              <w:pStyle w:val="TableBodyText"/>
              <w:keepNext/>
              <w:keepLines/>
              <w:rPr>
                <w:rStyle w:val="Bold"/>
              </w:rPr>
            </w:pPr>
            <w:r w:rsidRPr="0040724C">
              <w:rPr>
                <w:rStyle w:val="Bold"/>
              </w:rPr>
              <w:t>Accrued salaries and wages</w:t>
            </w:r>
          </w:p>
        </w:tc>
        <w:tc>
          <w:tcPr>
            <w:tcW w:w="737" w:type="pct"/>
            <w:vAlign w:val="top"/>
          </w:tcPr>
          <w:p w14:paraId="0D3186DA" w14:textId="1B5F52A0"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400F14FD" w14:textId="75847BAC"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5F1EAD" w:rsidRPr="00D84113" w14:paraId="65D802D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EDC65C8" w14:textId="35B0B275" w:rsidR="005F1EAD" w:rsidRDefault="0040724C" w:rsidP="0011520C">
            <w:pPr>
              <w:pStyle w:val="TableBodyText"/>
              <w:keepNext/>
              <w:keepLines/>
            </w:pPr>
            <w:r>
              <w:t>Accrued salaries and wages</w:t>
            </w:r>
          </w:p>
        </w:tc>
        <w:tc>
          <w:tcPr>
            <w:tcW w:w="737" w:type="pct"/>
            <w:vAlign w:val="top"/>
          </w:tcPr>
          <w:p w14:paraId="4839A177" w14:textId="4EA37FBE"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6,397</w:t>
            </w:r>
          </w:p>
        </w:tc>
        <w:tc>
          <w:tcPr>
            <w:tcW w:w="731" w:type="pct"/>
            <w:vAlign w:val="top"/>
          </w:tcPr>
          <w:p w14:paraId="65F43D14" w14:textId="5FDA7F1F"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5,247</w:t>
            </w:r>
          </w:p>
        </w:tc>
      </w:tr>
      <w:tr w:rsidR="005F1EAD" w:rsidRPr="00D84113" w14:paraId="49AF4D6E"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AF25630" w14:textId="1F0335BF" w:rsidR="005F1EAD" w:rsidRPr="0040724C" w:rsidRDefault="0040724C" w:rsidP="0011520C">
            <w:pPr>
              <w:pStyle w:val="TableBodyText"/>
              <w:keepNext/>
              <w:keepLines/>
              <w:rPr>
                <w:rStyle w:val="Bold"/>
              </w:rPr>
            </w:pPr>
            <w:r w:rsidRPr="0040724C">
              <w:rPr>
                <w:rStyle w:val="Bold"/>
              </w:rPr>
              <w:t>Annual leave</w:t>
            </w:r>
          </w:p>
        </w:tc>
        <w:tc>
          <w:tcPr>
            <w:tcW w:w="737" w:type="pct"/>
            <w:vAlign w:val="top"/>
          </w:tcPr>
          <w:p w14:paraId="2DE145FB" w14:textId="09DA1DB0"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36468028" w14:textId="22CD8FE7" w:rsidR="005F1EAD"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40724C" w:rsidRPr="00D84113" w14:paraId="7D93710B"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B2991F1" w14:textId="3FB670DC" w:rsidR="0040724C" w:rsidRDefault="0040724C" w:rsidP="0011520C">
            <w:pPr>
              <w:pStyle w:val="TableBodyText"/>
              <w:keepNext/>
              <w:keepLines/>
            </w:pPr>
            <w:r>
              <w:t>Unconditional and expected to settle within 12 months</w:t>
            </w:r>
          </w:p>
        </w:tc>
        <w:tc>
          <w:tcPr>
            <w:tcW w:w="737" w:type="pct"/>
            <w:vAlign w:val="top"/>
          </w:tcPr>
          <w:p w14:paraId="44D0A8BC" w14:textId="3F00E191"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10,830</w:t>
            </w:r>
          </w:p>
        </w:tc>
        <w:tc>
          <w:tcPr>
            <w:tcW w:w="731" w:type="pct"/>
            <w:vAlign w:val="top"/>
          </w:tcPr>
          <w:p w14:paraId="13E61A81" w14:textId="0346189D"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9,155</w:t>
            </w:r>
          </w:p>
        </w:tc>
      </w:tr>
      <w:tr w:rsidR="0040724C" w:rsidRPr="00D84113" w14:paraId="797ED2E3"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0F8B2C0" w14:textId="1037A921" w:rsidR="0040724C" w:rsidRPr="0040724C" w:rsidRDefault="00DC0A06" w:rsidP="0011520C">
            <w:pPr>
              <w:pStyle w:val="TableBodyText"/>
              <w:keepNext/>
              <w:keepLines/>
              <w:rPr>
                <w:rStyle w:val="Bold"/>
              </w:rPr>
            </w:pPr>
            <w:r>
              <w:rPr>
                <w:rStyle w:val="Bold"/>
              </w:rPr>
              <w:t>long service leave</w:t>
            </w:r>
          </w:p>
        </w:tc>
        <w:tc>
          <w:tcPr>
            <w:tcW w:w="737" w:type="pct"/>
            <w:vAlign w:val="top"/>
          </w:tcPr>
          <w:p w14:paraId="1FEE538F" w14:textId="65F1660A"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15084654" w14:textId="3084569A"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40724C" w:rsidRPr="00D84113" w14:paraId="247E699F"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564266D" w14:textId="6A45F55F" w:rsidR="0040724C" w:rsidRDefault="0040724C" w:rsidP="0011520C">
            <w:pPr>
              <w:pStyle w:val="TableBodyText"/>
              <w:keepNext/>
              <w:keepLines/>
            </w:pPr>
            <w:r w:rsidRPr="005512F8">
              <w:t>Unconditional and expected to settle within 12 months</w:t>
            </w:r>
          </w:p>
        </w:tc>
        <w:tc>
          <w:tcPr>
            <w:tcW w:w="737" w:type="pct"/>
            <w:vAlign w:val="top"/>
          </w:tcPr>
          <w:p w14:paraId="7E22F6C4" w14:textId="1FF1AC04"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3,079</w:t>
            </w:r>
          </w:p>
        </w:tc>
        <w:tc>
          <w:tcPr>
            <w:tcW w:w="731" w:type="pct"/>
            <w:vAlign w:val="top"/>
          </w:tcPr>
          <w:p w14:paraId="1E61AEDF" w14:textId="55C0BE83"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2,864</w:t>
            </w:r>
          </w:p>
        </w:tc>
      </w:tr>
      <w:tr w:rsidR="0040724C" w:rsidRPr="00D84113" w14:paraId="47242AF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2C2D1CF" w14:textId="691DD7FA" w:rsidR="0040724C" w:rsidRDefault="0040724C" w:rsidP="0011520C">
            <w:pPr>
              <w:pStyle w:val="TableBodyText"/>
              <w:keepNext/>
              <w:keepLines/>
            </w:pPr>
            <w:r w:rsidRPr="005512F8">
              <w:t xml:space="preserve">Unconditional and expected to settle </w:t>
            </w:r>
            <w:r>
              <w:t>after</w:t>
            </w:r>
            <w:r w:rsidRPr="005512F8">
              <w:t xml:space="preserve"> 12 months</w:t>
            </w:r>
          </w:p>
        </w:tc>
        <w:tc>
          <w:tcPr>
            <w:tcW w:w="737" w:type="pct"/>
            <w:vAlign w:val="top"/>
          </w:tcPr>
          <w:p w14:paraId="56F7AC58" w14:textId="42F93BC8"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18,652</w:t>
            </w:r>
          </w:p>
        </w:tc>
        <w:tc>
          <w:tcPr>
            <w:tcW w:w="731" w:type="pct"/>
            <w:vAlign w:val="top"/>
          </w:tcPr>
          <w:p w14:paraId="769B8402" w14:textId="54C0E434"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18,634</w:t>
            </w:r>
          </w:p>
        </w:tc>
      </w:tr>
      <w:tr w:rsidR="0040724C" w:rsidRPr="00D84113" w14:paraId="022B88C6"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04F344B" w14:textId="58D15C3F" w:rsidR="0040724C" w:rsidRPr="0040724C" w:rsidRDefault="0040724C" w:rsidP="0011520C">
            <w:pPr>
              <w:pStyle w:val="TableBodyText"/>
              <w:keepNext/>
              <w:keepLines/>
              <w:rPr>
                <w:rStyle w:val="Bold"/>
              </w:rPr>
            </w:pPr>
            <w:r w:rsidRPr="0040724C">
              <w:rPr>
                <w:rStyle w:val="Bold"/>
              </w:rPr>
              <w:t>On-costs</w:t>
            </w:r>
          </w:p>
        </w:tc>
        <w:tc>
          <w:tcPr>
            <w:tcW w:w="737" w:type="pct"/>
            <w:vAlign w:val="top"/>
          </w:tcPr>
          <w:p w14:paraId="1995F47E" w14:textId="2A08F0B0"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28D1580C" w14:textId="0AEF57D8"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40724C" w:rsidRPr="00D84113" w14:paraId="5934FADD"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638D81A" w14:textId="5125CD6E" w:rsidR="0040724C" w:rsidRDefault="0040724C" w:rsidP="0011520C">
            <w:pPr>
              <w:pStyle w:val="TableBodyText"/>
              <w:keepNext/>
              <w:keepLines/>
            </w:pPr>
            <w:r w:rsidRPr="005512F8">
              <w:t>Unconditional and expected to settle within 12 months</w:t>
            </w:r>
          </w:p>
        </w:tc>
        <w:tc>
          <w:tcPr>
            <w:tcW w:w="737" w:type="pct"/>
            <w:vAlign w:val="top"/>
          </w:tcPr>
          <w:p w14:paraId="3DC71B69" w14:textId="6F8FFE2E"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2,010</w:t>
            </w:r>
          </w:p>
        </w:tc>
        <w:tc>
          <w:tcPr>
            <w:tcW w:w="731" w:type="pct"/>
            <w:vAlign w:val="top"/>
          </w:tcPr>
          <w:p w14:paraId="1A736D4E" w14:textId="65F72747"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1,681</w:t>
            </w:r>
          </w:p>
        </w:tc>
      </w:tr>
      <w:tr w:rsidR="0040724C" w:rsidRPr="00D84113" w14:paraId="244E2AE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BF88512" w14:textId="09B6F2CD" w:rsidR="0040724C" w:rsidRDefault="0040724C" w:rsidP="0011520C">
            <w:pPr>
              <w:pStyle w:val="TableBodyText"/>
              <w:keepNext/>
              <w:keepLines/>
            </w:pPr>
            <w:r w:rsidRPr="005512F8">
              <w:t xml:space="preserve">Unconditional and expected to settle </w:t>
            </w:r>
            <w:r>
              <w:t>after</w:t>
            </w:r>
            <w:r w:rsidRPr="005512F8">
              <w:t xml:space="preserve"> 12 months</w:t>
            </w:r>
          </w:p>
        </w:tc>
        <w:tc>
          <w:tcPr>
            <w:tcW w:w="737" w:type="pct"/>
            <w:vAlign w:val="top"/>
          </w:tcPr>
          <w:p w14:paraId="2815B5BE" w14:textId="18E3D566"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2,763</w:t>
            </w:r>
          </w:p>
        </w:tc>
        <w:tc>
          <w:tcPr>
            <w:tcW w:w="731" w:type="pct"/>
            <w:vAlign w:val="top"/>
          </w:tcPr>
          <w:p w14:paraId="63EA0852" w14:textId="4A8B0177"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2,760</w:t>
            </w:r>
          </w:p>
        </w:tc>
      </w:tr>
      <w:tr w:rsidR="0040724C" w:rsidRPr="00D84113" w14:paraId="47F67D8C" w14:textId="77777777" w:rsidTr="0040724C">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53586502" w14:textId="15A02F48" w:rsidR="0040724C" w:rsidRPr="0040724C" w:rsidRDefault="0040724C" w:rsidP="0011520C">
            <w:pPr>
              <w:pStyle w:val="TableBodyText"/>
              <w:keepNext/>
              <w:keepLines/>
              <w:rPr>
                <w:rStyle w:val="Bold"/>
              </w:rPr>
            </w:pPr>
            <w:r w:rsidRPr="0040724C">
              <w:rPr>
                <w:rStyle w:val="Bold"/>
              </w:rPr>
              <w:t>Other employee benefits</w:t>
            </w:r>
          </w:p>
        </w:tc>
        <w:tc>
          <w:tcPr>
            <w:tcW w:w="737" w:type="pct"/>
            <w:tcBorders>
              <w:bottom w:val="single" w:sz="4" w:space="0" w:color="auto"/>
            </w:tcBorders>
            <w:vAlign w:val="top"/>
          </w:tcPr>
          <w:p w14:paraId="0127F10C" w14:textId="0DEE744C"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6,044</w:t>
            </w:r>
          </w:p>
        </w:tc>
        <w:tc>
          <w:tcPr>
            <w:tcW w:w="731" w:type="pct"/>
            <w:tcBorders>
              <w:bottom w:val="single" w:sz="4" w:space="0" w:color="auto"/>
            </w:tcBorders>
            <w:vAlign w:val="top"/>
          </w:tcPr>
          <w:p w14:paraId="7456FB60" w14:textId="07E06928"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6,921</w:t>
            </w:r>
          </w:p>
        </w:tc>
      </w:tr>
      <w:tr w:rsidR="0040724C" w:rsidRPr="0040724C" w14:paraId="45079835" w14:textId="77777777" w:rsidTr="0040724C">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top"/>
          </w:tcPr>
          <w:p w14:paraId="28F5A95A" w14:textId="3F4B890E" w:rsidR="0040724C" w:rsidRPr="0040724C" w:rsidRDefault="0040724C" w:rsidP="0011520C">
            <w:pPr>
              <w:pStyle w:val="TableBodyText"/>
              <w:keepNext/>
              <w:keepLines/>
              <w:rPr>
                <w:rStyle w:val="Bold"/>
              </w:rPr>
            </w:pPr>
            <w:r w:rsidRPr="0040724C">
              <w:rPr>
                <w:rStyle w:val="Bold"/>
              </w:rPr>
              <w:t>Total current employee benefits and on-costs</w:t>
            </w:r>
          </w:p>
        </w:tc>
        <w:tc>
          <w:tcPr>
            <w:tcW w:w="737" w:type="pct"/>
            <w:tcBorders>
              <w:top w:val="single" w:sz="4" w:space="0" w:color="auto"/>
            </w:tcBorders>
            <w:vAlign w:val="top"/>
          </w:tcPr>
          <w:p w14:paraId="736EAB59" w14:textId="2477614A" w:rsidR="0040724C" w:rsidRP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40724C">
              <w:rPr>
                <w:rStyle w:val="Bold"/>
              </w:rPr>
              <w:t>49,775</w:t>
            </w:r>
          </w:p>
        </w:tc>
        <w:tc>
          <w:tcPr>
            <w:tcW w:w="731" w:type="pct"/>
            <w:tcBorders>
              <w:top w:val="single" w:sz="4" w:space="0" w:color="auto"/>
            </w:tcBorders>
            <w:vAlign w:val="top"/>
          </w:tcPr>
          <w:p w14:paraId="77B0645F" w14:textId="3F71EC6A" w:rsidR="0040724C" w:rsidRP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40724C">
              <w:rPr>
                <w:rStyle w:val="Bold"/>
              </w:rPr>
              <w:t>47,262</w:t>
            </w:r>
          </w:p>
        </w:tc>
      </w:tr>
      <w:tr w:rsidR="0040724C" w:rsidRPr="00D84113" w14:paraId="4D4D8F2F" w14:textId="77777777" w:rsidTr="0040724C">
        <w:tc>
          <w:tcPr>
            <w:cnfStyle w:val="001000000000" w:firstRow="0" w:lastRow="0" w:firstColumn="1" w:lastColumn="0" w:oddVBand="0" w:evenVBand="0" w:oddHBand="0" w:evenHBand="0" w:firstRowFirstColumn="0" w:firstRowLastColumn="0" w:lastRowFirstColumn="0" w:lastRowLastColumn="0"/>
            <w:tcW w:w="3532" w:type="pct"/>
            <w:vAlign w:val="top"/>
          </w:tcPr>
          <w:p w14:paraId="3BD8CC9B" w14:textId="7B02706A" w:rsidR="0040724C" w:rsidRPr="0040724C" w:rsidRDefault="0040724C" w:rsidP="0011520C">
            <w:pPr>
              <w:pStyle w:val="TableBodyText"/>
              <w:keepNext/>
              <w:keepLines/>
              <w:rPr>
                <w:rStyle w:val="Bold"/>
              </w:rPr>
            </w:pPr>
            <w:r w:rsidRPr="0040724C">
              <w:rPr>
                <w:rStyle w:val="Bold"/>
              </w:rPr>
              <w:t>Non-current</w:t>
            </w:r>
          </w:p>
        </w:tc>
        <w:tc>
          <w:tcPr>
            <w:tcW w:w="737" w:type="pct"/>
            <w:vAlign w:val="top"/>
          </w:tcPr>
          <w:p w14:paraId="072E19E6" w14:textId="45DA6D0C"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0EA439E4" w14:textId="4CF72DA4"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40724C" w:rsidRPr="00D84113" w14:paraId="26642E09"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671FAE15" w14:textId="7AA8DF7A" w:rsidR="0040724C" w:rsidRDefault="00DC0A06" w:rsidP="00560C7A">
            <w:pPr>
              <w:pStyle w:val="TableBodyText"/>
            </w:pPr>
            <w:r>
              <w:t>long service leave</w:t>
            </w:r>
          </w:p>
        </w:tc>
        <w:tc>
          <w:tcPr>
            <w:tcW w:w="737" w:type="pct"/>
            <w:vAlign w:val="top"/>
          </w:tcPr>
          <w:p w14:paraId="45663C5C" w14:textId="24398EBA" w:rsid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pPr>
            <w:r>
              <w:t>4,662</w:t>
            </w:r>
          </w:p>
        </w:tc>
        <w:tc>
          <w:tcPr>
            <w:tcW w:w="731" w:type="pct"/>
            <w:vAlign w:val="top"/>
          </w:tcPr>
          <w:p w14:paraId="7E26825D" w14:textId="018375E0" w:rsid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pPr>
            <w:r>
              <w:t>4,754</w:t>
            </w:r>
          </w:p>
        </w:tc>
      </w:tr>
      <w:tr w:rsidR="0040724C" w:rsidRPr="00D84113" w14:paraId="2E92A642"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4591F74" w14:textId="72B0B028" w:rsidR="0040724C" w:rsidRDefault="0040724C" w:rsidP="00560C7A">
            <w:pPr>
              <w:pStyle w:val="TableBodyText"/>
            </w:pPr>
            <w:r>
              <w:t xml:space="preserve">On-costs on </w:t>
            </w:r>
            <w:r w:rsidR="00DC0A06">
              <w:t>long service leave</w:t>
            </w:r>
          </w:p>
        </w:tc>
        <w:tc>
          <w:tcPr>
            <w:tcW w:w="737" w:type="pct"/>
            <w:vAlign w:val="top"/>
          </w:tcPr>
          <w:p w14:paraId="0A18747E" w14:textId="454D1B63" w:rsid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pPr>
            <w:r>
              <w:t>691</w:t>
            </w:r>
          </w:p>
        </w:tc>
        <w:tc>
          <w:tcPr>
            <w:tcW w:w="731" w:type="pct"/>
            <w:vAlign w:val="top"/>
          </w:tcPr>
          <w:p w14:paraId="6739C6F6" w14:textId="4E324C44" w:rsid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pPr>
            <w:r>
              <w:t>704</w:t>
            </w:r>
          </w:p>
        </w:tc>
      </w:tr>
      <w:tr w:rsidR="0040724C" w:rsidRPr="00D84113" w14:paraId="25E72B16" w14:textId="77777777" w:rsidTr="0040724C">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3C714949" w14:textId="7BE8349B" w:rsidR="0040724C" w:rsidRDefault="0040724C" w:rsidP="00560C7A">
            <w:pPr>
              <w:pStyle w:val="TableBodyText"/>
            </w:pPr>
            <w:r>
              <w:t>Other employee benefits</w:t>
            </w:r>
          </w:p>
        </w:tc>
        <w:tc>
          <w:tcPr>
            <w:tcW w:w="737" w:type="pct"/>
            <w:tcBorders>
              <w:bottom w:val="single" w:sz="4" w:space="0" w:color="auto"/>
            </w:tcBorders>
            <w:vAlign w:val="top"/>
          </w:tcPr>
          <w:p w14:paraId="61153B80" w14:textId="5024174C" w:rsid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pPr>
            <w:r>
              <w:t>9,604</w:t>
            </w:r>
          </w:p>
        </w:tc>
        <w:tc>
          <w:tcPr>
            <w:tcW w:w="731" w:type="pct"/>
            <w:tcBorders>
              <w:bottom w:val="single" w:sz="4" w:space="0" w:color="auto"/>
            </w:tcBorders>
            <w:vAlign w:val="top"/>
          </w:tcPr>
          <w:p w14:paraId="0698905E" w14:textId="2CF882FC" w:rsid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pPr>
            <w:r>
              <w:t>9,604</w:t>
            </w:r>
          </w:p>
        </w:tc>
      </w:tr>
      <w:tr w:rsidR="0040724C" w:rsidRPr="0040724C" w14:paraId="08120A9E" w14:textId="77777777" w:rsidTr="0040724C">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19B39F4D" w14:textId="45CC794A" w:rsidR="0040724C" w:rsidRPr="0040724C" w:rsidRDefault="0040724C" w:rsidP="00560C7A">
            <w:pPr>
              <w:pStyle w:val="TableBodyText"/>
              <w:rPr>
                <w:rStyle w:val="Bold"/>
              </w:rPr>
            </w:pPr>
            <w:r w:rsidRPr="0040724C">
              <w:rPr>
                <w:rStyle w:val="Bold"/>
              </w:rPr>
              <w:t>Total non-current employee benefits and on-costs</w:t>
            </w:r>
          </w:p>
        </w:tc>
        <w:tc>
          <w:tcPr>
            <w:tcW w:w="737" w:type="pct"/>
            <w:tcBorders>
              <w:top w:val="single" w:sz="4" w:space="0" w:color="auto"/>
              <w:bottom w:val="single" w:sz="4" w:space="0" w:color="auto"/>
            </w:tcBorders>
            <w:vAlign w:val="top"/>
          </w:tcPr>
          <w:p w14:paraId="1AF31355" w14:textId="1CFCA83B" w:rsidR="0040724C" w:rsidRP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40724C">
              <w:rPr>
                <w:rStyle w:val="Bold"/>
              </w:rPr>
              <w:t>14,957</w:t>
            </w:r>
          </w:p>
        </w:tc>
        <w:tc>
          <w:tcPr>
            <w:tcW w:w="731" w:type="pct"/>
            <w:tcBorders>
              <w:top w:val="single" w:sz="4" w:space="0" w:color="auto"/>
              <w:bottom w:val="single" w:sz="4" w:space="0" w:color="auto"/>
            </w:tcBorders>
            <w:vAlign w:val="top"/>
          </w:tcPr>
          <w:p w14:paraId="7A396CDB" w14:textId="48A714A0" w:rsidR="0040724C" w:rsidRP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40724C">
              <w:rPr>
                <w:rStyle w:val="Bold"/>
              </w:rPr>
              <w:t>15,062</w:t>
            </w:r>
          </w:p>
        </w:tc>
      </w:tr>
      <w:tr w:rsidR="0040724C" w:rsidRPr="0040724C" w14:paraId="4E3F96E1" w14:textId="77777777" w:rsidTr="0040724C">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4963FAAD" w14:textId="568D80A8" w:rsidR="0040724C" w:rsidRPr="0040724C" w:rsidRDefault="0040724C" w:rsidP="00560C7A">
            <w:pPr>
              <w:pStyle w:val="TableBodyText"/>
              <w:rPr>
                <w:rStyle w:val="Bold"/>
              </w:rPr>
            </w:pPr>
            <w:r w:rsidRPr="0040724C">
              <w:rPr>
                <w:rStyle w:val="Bold"/>
              </w:rPr>
              <w:t>Total employee benefits and on-costs</w:t>
            </w:r>
          </w:p>
        </w:tc>
        <w:tc>
          <w:tcPr>
            <w:tcW w:w="737" w:type="pct"/>
            <w:tcBorders>
              <w:top w:val="single" w:sz="4" w:space="0" w:color="auto"/>
              <w:bottom w:val="single" w:sz="4" w:space="0" w:color="auto"/>
            </w:tcBorders>
            <w:vAlign w:val="top"/>
          </w:tcPr>
          <w:p w14:paraId="1B94A3C7" w14:textId="5FA12043" w:rsidR="0040724C" w:rsidRP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40724C">
              <w:rPr>
                <w:rStyle w:val="Bold"/>
              </w:rPr>
              <w:t>64,732</w:t>
            </w:r>
          </w:p>
        </w:tc>
        <w:tc>
          <w:tcPr>
            <w:tcW w:w="731" w:type="pct"/>
            <w:tcBorders>
              <w:top w:val="single" w:sz="4" w:space="0" w:color="auto"/>
              <w:bottom w:val="single" w:sz="4" w:space="0" w:color="auto"/>
            </w:tcBorders>
            <w:vAlign w:val="top"/>
          </w:tcPr>
          <w:p w14:paraId="305BD678" w14:textId="6CA0C94F" w:rsidR="0040724C" w:rsidRPr="0040724C" w:rsidRDefault="0040724C"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40724C">
              <w:rPr>
                <w:rStyle w:val="Bold"/>
              </w:rPr>
              <w:t>62,324</w:t>
            </w:r>
          </w:p>
        </w:tc>
      </w:tr>
    </w:tbl>
    <w:p w14:paraId="69901AEE" w14:textId="39839D43" w:rsidR="0040724C" w:rsidRPr="00470F0A" w:rsidRDefault="0040724C" w:rsidP="0011520C">
      <w:pPr>
        <w:pStyle w:val="Heading4"/>
      </w:pPr>
      <w:r>
        <w:lastRenderedPageBreak/>
        <w:t>Reconciliation of movement in on-cost provision</w:t>
      </w:r>
    </w:p>
    <w:tbl>
      <w:tblPr>
        <w:tblStyle w:val="Style1"/>
        <w:tblW w:w="5000" w:type="pct"/>
        <w:tblLook w:val="04A0" w:firstRow="1" w:lastRow="0" w:firstColumn="1" w:lastColumn="0" w:noHBand="0" w:noVBand="1"/>
      </w:tblPr>
      <w:tblGrid>
        <w:gridCol w:w="6803"/>
        <w:gridCol w:w="1420"/>
        <w:gridCol w:w="1408"/>
      </w:tblGrid>
      <w:tr w:rsidR="0040724C" w:rsidRPr="00560C7A" w14:paraId="51492ABB"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58661D30" w14:textId="77777777" w:rsidR="0040724C" w:rsidRPr="00560C7A" w:rsidRDefault="0040724C" w:rsidP="0011520C">
            <w:pPr>
              <w:keepNext/>
              <w:keepLines/>
            </w:pPr>
            <w:bookmarkStart w:id="901" w:name="ColumnTitle_43"/>
            <w:r w:rsidRPr="00560C7A">
              <w:t>Item</w:t>
            </w:r>
          </w:p>
        </w:tc>
        <w:tc>
          <w:tcPr>
            <w:tcW w:w="737" w:type="pct"/>
            <w:tcBorders>
              <w:top w:val="single" w:sz="4" w:space="0" w:color="auto"/>
            </w:tcBorders>
            <w:vAlign w:val="bottom"/>
          </w:tcPr>
          <w:p w14:paraId="607A9686" w14:textId="77777777" w:rsidR="0040724C" w:rsidRPr="00560C7A" w:rsidRDefault="0040724C" w:rsidP="0011520C">
            <w:pPr>
              <w:keepNext/>
              <w:keepLines/>
              <w:cnfStyle w:val="100000000000" w:firstRow="1" w:lastRow="0" w:firstColumn="0" w:lastColumn="0" w:oddVBand="0" w:evenVBand="0" w:oddHBand="0" w:evenHBand="0" w:firstRowFirstColumn="0" w:firstRowLastColumn="0" w:lastRowFirstColumn="0" w:lastRowLastColumn="0"/>
            </w:pPr>
            <w:r w:rsidRPr="00560C7A">
              <w:t>2021</w:t>
            </w:r>
          </w:p>
          <w:p w14:paraId="59ED7595" w14:textId="77777777" w:rsidR="0040724C" w:rsidRPr="00560C7A" w:rsidRDefault="0040724C" w:rsidP="0011520C">
            <w:pPr>
              <w:keepNext/>
              <w:keepLines/>
              <w:cnfStyle w:val="100000000000" w:firstRow="1" w:lastRow="0" w:firstColumn="0" w:lastColumn="0" w:oddVBand="0" w:evenVBand="0" w:oddHBand="0" w:evenHBand="0" w:firstRowFirstColumn="0" w:firstRowLastColumn="0" w:lastRowFirstColumn="0" w:lastRowLastColumn="0"/>
            </w:pPr>
            <w:r w:rsidRPr="00560C7A">
              <w:t>($ thousands)</w:t>
            </w:r>
          </w:p>
        </w:tc>
        <w:tc>
          <w:tcPr>
            <w:tcW w:w="731" w:type="pct"/>
            <w:tcBorders>
              <w:top w:val="single" w:sz="4" w:space="0" w:color="auto"/>
            </w:tcBorders>
            <w:vAlign w:val="bottom"/>
          </w:tcPr>
          <w:p w14:paraId="05C4CC58" w14:textId="77777777" w:rsidR="0040724C" w:rsidRPr="00560C7A" w:rsidRDefault="0040724C" w:rsidP="0011520C">
            <w:pPr>
              <w:keepNext/>
              <w:keepLines/>
              <w:cnfStyle w:val="100000000000" w:firstRow="1" w:lastRow="0" w:firstColumn="0" w:lastColumn="0" w:oddVBand="0" w:evenVBand="0" w:oddHBand="0" w:evenHBand="0" w:firstRowFirstColumn="0" w:firstRowLastColumn="0" w:lastRowFirstColumn="0" w:lastRowLastColumn="0"/>
            </w:pPr>
            <w:r w:rsidRPr="00560C7A">
              <w:t>2020</w:t>
            </w:r>
          </w:p>
          <w:p w14:paraId="69DFFF11" w14:textId="77777777" w:rsidR="0040724C" w:rsidRPr="00560C7A" w:rsidRDefault="0040724C" w:rsidP="0011520C">
            <w:pPr>
              <w:keepNext/>
              <w:keepLines/>
              <w:cnfStyle w:val="100000000000" w:firstRow="1" w:lastRow="0" w:firstColumn="0" w:lastColumn="0" w:oddVBand="0" w:evenVBand="0" w:oddHBand="0" w:evenHBand="0" w:firstRowFirstColumn="0" w:firstRowLastColumn="0" w:lastRowFirstColumn="0" w:lastRowLastColumn="0"/>
            </w:pPr>
            <w:r w:rsidRPr="00560C7A">
              <w:t>($ thousands)</w:t>
            </w:r>
          </w:p>
        </w:tc>
      </w:tr>
      <w:bookmarkEnd w:id="901"/>
      <w:tr w:rsidR="0040724C" w:rsidRPr="00D84113" w14:paraId="08D2BAE3"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7EF935ED" w14:textId="78A8DCC4" w:rsidR="0040724C" w:rsidRPr="0040724C" w:rsidRDefault="0040724C" w:rsidP="0011520C">
            <w:pPr>
              <w:pStyle w:val="TableBodyText"/>
              <w:keepNext/>
              <w:keepLines/>
              <w:rPr>
                <w:rStyle w:val="Bold"/>
              </w:rPr>
            </w:pPr>
            <w:r>
              <w:rPr>
                <w:rStyle w:val="Bold"/>
              </w:rPr>
              <w:t>Opening balance</w:t>
            </w:r>
          </w:p>
        </w:tc>
        <w:tc>
          <w:tcPr>
            <w:tcW w:w="737" w:type="pct"/>
            <w:vAlign w:val="top"/>
          </w:tcPr>
          <w:p w14:paraId="3996B7D0" w14:textId="450230BB"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5,145</w:t>
            </w:r>
          </w:p>
        </w:tc>
        <w:tc>
          <w:tcPr>
            <w:tcW w:w="731" w:type="pct"/>
            <w:vAlign w:val="top"/>
          </w:tcPr>
          <w:p w14:paraId="661683FF" w14:textId="09B4A7C1"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4,716</w:t>
            </w:r>
          </w:p>
        </w:tc>
      </w:tr>
      <w:tr w:rsidR="0040724C" w:rsidRPr="00D84113" w14:paraId="5D3B85DD"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9C049B8" w14:textId="0707F79B" w:rsidR="0040724C" w:rsidRDefault="0040724C" w:rsidP="0011520C">
            <w:pPr>
              <w:pStyle w:val="TableBodyText"/>
              <w:keepNext/>
              <w:keepLines/>
            </w:pPr>
            <w:r>
              <w:t>Additional provisions recognised</w:t>
            </w:r>
          </w:p>
        </w:tc>
        <w:tc>
          <w:tcPr>
            <w:tcW w:w="737" w:type="pct"/>
            <w:vAlign w:val="top"/>
          </w:tcPr>
          <w:p w14:paraId="70D8EB29" w14:textId="1E9D5500"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1,979</w:t>
            </w:r>
          </w:p>
        </w:tc>
        <w:tc>
          <w:tcPr>
            <w:tcW w:w="731" w:type="pct"/>
            <w:vAlign w:val="top"/>
          </w:tcPr>
          <w:p w14:paraId="4CC2837F" w14:textId="162A1D36"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2,025</w:t>
            </w:r>
          </w:p>
        </w:tc>
      </w:tr>
      <w:tr w:rsidR="0040724C" w:rsidRPr="00D84113" w14:paraId="71D92EE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2E3805C" w14:textId="0ECFB241" w:rsidR="0040724C" w:rsidRDefault="0040724C" w:rsidP="0011520C">
            <w:pPr>
              <w:pStyle w:val="TableBodyText"/>
              <w:keepNext/>
              <w:keepLines/>
            </w:pPr>
            <w:r>
              <w:t xml:space="preserve">Additions due to </w:t>
            </w:r>
            <w:r w:rsidR="00DC0A06">
              <w:t>long service leave</w:t>
            </w:r>
            <w:r>
              <w:t xml:space="preserve"> transfers</w:t>
            </w:r>
          </w:p>
        </w:tc>
        <w:tc>
          <w:tcPr>
            <w:tcW w:w="737" w:type="pct"/>
            <w:vAlign w:val="top"/>
          </w:tcPr>
          <w:p w14:paraId="5CC0133A" w14:textId="2DFC9CF4"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3</w:t>
            </w:r>
          </w:p>
        </w:tc>
        <w:tc>
          <w:tcPr>
            <w:tcW w:w="731" w:type="pct"/>
            <w:vAlign w:val="top"/>
          </w:tcPr>
          <w:p w14:paraId="4FAE6EB0" w14:textId="523C735D"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27</w:t>
            </w:r>
          </w:p>
        </w:tc>
      </w:tr>
      <w:tr w:rsidR="0040724C" w:rsidRPr="00D84113" w14:paraId="5C31220C"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64989181" w14:textId="208BCD8C" w:rsidR="0040724C" w:rsidRDefault="0040724C" w:rsidP="0011520C">
            <w:pPr>
              <w:pStyle w:val="TableBodyText"/>
              <w:keepNext/>
              <w:keepLines/>
            </w:pPr>
            <w:r>
              <w:t>Reductions arising from payments/other sacrifices of future economic benefits</w:t>
            </w:r>
          </w:p>
        </w:tc>
        <w:tc>
          <w:tcPr>
            <w:tcW w:w="737" w:type="pct"/>
            <w:vAlign w:val="top"/>
          </w:tcPr>
          <w:p w14:paraId="4C12E358" w14:textId="0C5D4737"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(1,663)</w:t>
            </w:r>
          </w:p>
        </w:tc>
        <w:tc>
          <w:tcPr>
            <w:tcW w:w="731" w:type="pct"/>
            <w:vAlign w:val="top"/>
          </w:tcPr>
          <w:p w14:paraId="0BA88CE0" w14:textId="2F0D6B8A" w:rsidR="0040724C"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(1,623)</w:t>
            </w:r>
          </w:p>
        </w:tc>
      </w:tr>
      <w:tr w:rsidR="0040724C" w:rsidRPr="00612C15" w14:paraId="5DB529C8"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42A817CC" w14:textId="6ECD8698" w:rsidR="0040724C" w:rsidRPr="00612C15" w:rsidRDefault="0040724C" w:rsidP="0011520C">
            <w:pPr>
              <w:pStyle w:val="TableBodyText"/>
              <w:keepNext/>
              <w:keepLines/>
              <w:rPr>
                <w:rStyle w:val="Bold"/>
              </w:rPr>
            </w:pPr>
            <w:r w:rsidRPr="00612C15">
              <w:rPr>
                <w:rStyle w:val="Bold"/>
              </w:rPr>
              <w:t>Closing balance</w:t>
            </w:r>
          </w:p>
        </w:tc>
        <w:tc>
          <w:tcPr>
            <w:tcW w:w="737" w:type="pct"/>
            <w:tcBorders>
              <w:bottom w:val="single" w:sz="4" w:space="0" w:color="auto"/>
            </w:tcBorders>
            <w:vAlign w:val="top"/>
          </w:tcPr>
          <w:p w14:paraId="45A5D542" w14:textId="4D3C10AD" w:rsidR="0040724C" w:rsidRPr="00612C15"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612C15">
              <w:rPr>
                <w:rStyle w:val="Bold"/>
              </w:rPr>
              <w:t>5,464</w:t>
            </w:r>
          </w:p>
        </w:tc>
        <w:tc>
          <w:tcPr>
            <w:tcW w:w="731" w:type="pct"/>
            <w:tcBorders>
              <w:bottom w:val="single" w:sz="4" w:space="0" w:color="auto"/>
            </w:tcBorders>
            <w:vAlign w:val="top"/>
          </w:tcPr>
          <w:p w14:paraId="05F33140" w14:textId="59306CDF" w:rsidR="0040724C" w:rsidRPr="00612C15" w:rsidRDefault="0040724C" w:rsidP="0011520C">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612C15">
              <w:rPr>
                <w:rStyle w:val="Bold"/>
              </w:rPr>
              <w:t>5,145</w:t>
            </w:r>
          </w:p>
        </w:tc>
      </w:tr>
      <w:tr w:rsidR="0040724C" w:rsidRPr="0040724C" w14:paraId="7F634379" w14:textId="77777777" w:rsidTr="00612C15">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top"/>
          </w:tcPr>
          <w:p w14:paraId="0A10CD14" w14:textId="2E0BC174" w:rsidR="0040724C" w:rsidRPr="0040724C" w:rsidRDefault="00612C15" w:rsidP="0011520C">
            <w:pPr>
              <w:pStyle w:val="TableBodyText"/>
              <w:keepNext/>
              <w:keepLines/>
            </w:pPr>
            <w:r>
              <w:t>Current</w:t>
            </w:r>
          </w:p>
        </w:tc>
        <w:tc>
          <w:tcPr>
            <w:tcW w:w="737" w:type="pct"/>
            <w:tcBorders>
              <w:top w:val="single" w:sz="4" w:space="0" w:color="auto"/>
            </w:tcBorders>
            <w:vAlign w:val="top"/>
          </w:tcPr>
          <w:p w14:paraId="41982F90" w14:textId="1B72CCB9" w:rsidR="0040724C" w:rsidRPr="0040724C" w:rsidRDefault="00612C15"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4,773</w:t>
            </w:r>
          </w:p>
        </w:tc>
        <w:tc>
          <w:tcPr>
            <w:tcW w:w="731" w:type="pct"/>
            <w:tcBorders>
              <w:top w:val="single" w:sz="4" w:space="0" w:color="auto"/>
            </w:tcBorders>
            <w:vAlign w:val="top"/>
          </w:tcPr>
          <w:p w14:paraId="0665831A" w14:textId="51BAF2A3" w:rsidR="0040724C" w:rsidRPr="0040724C" w:rsidRDefault="00612C15"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4,441</w:t>
            </w:r>
          </w:p>
        </w:tc>
      </w:tr>
      <w:tr w:rsidR="0040724C" w:rsidRPr="00D84113" w14:paraId="4C585F91" w14:textId="77777777" w:rsidTr="00612C15">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1E2080A8" w14:textId="1209A129" w:rsidR="0040724C" w:rsidRPr="0040724C" w:rsidRDefault="00612C15" w:rsidP="0011520C">
            <w:pPr>
              <w:pStyle w:val="TableBodyText"/>
              <w:keepNext/>
              <w:keepLines/>
            </w:pPr>
            <w:r>
              <w:t>Non-current</w:t>
            </w:r>
          </w:p>
        </w:tc>
        <w:tc>
          <w:tcPr>
            <w:tcW w:w="737" w:type="pct"/>
            <w:tcBorders>
              <w:bottom w:val="single" w:sz="4" w:space="0" w:color="auto"/>
            </w:tcBorders>
            <w:vAlign w:val="top"/>
          </w:tcPr>
          <w:p w14:paraId="5FF45EB5" w14:textId="476FB11D" w:rsidR="0040724C" w:rsidRDefault="00612C15"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691</w:t>
            </w:r>
          </w:p>
        </w:tc>
        <w:tc>
          <w:tcPr>
            <w:tcW w:w="731" w:type="pct"/>
            <w:tcBorders>
              <w:bottom w:val="single" w:sz="4" w:space="0" w:color="auto"/>
            </w:tcBorders>
            <w:vAlign w:val="top"/>
          </w:tcPr>
          <w:p w14:paraId="3CE23001" w14:textId="48036107" w:rsidR="0040724C" w:rsidRDefault="00612C15"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704</w:t>
            </w:r>
          </w:p>
        </w:tc>
      </w:tr>
    </w:tbl>
    <w:p w14:paraId="0DE97A42" w14:textId="66C87F4C" w:rsidR="00612C15" w:rsidRDefault="00612C15" w:rsidP="00612C15">
      <w:pPr>
        <w:pStyle w:val="BodyText"/>
      </w:pPr>
      <w:bookmarkStart w:id="902" w:name="Longserviceleave"/>
      <w:r>
        <w:t xml:space="preserve">Liabilities for </w:t>
      </w:r>
      <w:r w:rsidRPr="00612C15">
        <w:rPr>
          <w:rStyle w:val="Bold"/>
        </w:rPr>
        <w:t>salaries, wages and annual leave</w:t>
      </w:r>
      <w:r>
        <w:t xml:space="preserve"> </w:t>
      </w:r>
      <w:bookmarkEnd w:id="902"/>
      <w:r>
        <w:t xml:space="preserve">are all recognised in the provision for employee benefits as ‘current liabilities’ as per </w:t>
      </w:r>
      <w:r w:rsidRPr="00612C15">
        <w:rPr>
          <w:rStyle w:val="ItalicText"/>
        </w:rPr>
        <w:t>AASB 119 Employee Benefits</w:t>
      </w:r>
      <w:r>
        <w:t>, because the Corporation does not have an unconditional right to defer settlements of these liabilities. Liabilities for salaries, wages and annual leave are measured at:</w:t>
      </w:r>
    </w:p>
    <w:p w14:paraId="1F6A69F1" w14:textId="1165DC26" w:rsidR="00612C15" w:rsidRDefault="00612C15" w:rsidP="00C778D6">
      <w:pPr>
        <w:pStyle w:val="ListBullet"/>
      </w:pPr>
      <w:r>
        <w:t>undiscounted value, if they will be wholly settled within 12 months; or</w:t>
      </w:r>
    </w:p>
    <w:p w14:paraId="4F87722F" w14:textId="0DA97A2B" w:rsidR="00612C15" w:rsidRDefault="00612C15" w:rsidP="00C778D6">
      <w:pPr>
        <w:pStyle w:val="ListBullet"/>
      </w:pPr>
      <w:r>
        <w:t>present value, if not expected to be wholly settled within 12 months.</w:t>
      </w:r>
    </w:p>
    <w:p w14:paraId="5589B120" w14:textId="4154B8D1" w:rsidR="00612C15" w:rsidRDefault="00612C15" w:rsidP="00612C15">
      <w:pPr>
        <w:pStyle w:val="BodyText"/>
      </w:pPr>
      <w:r w:rsidRPr="00612C15">
        <w:rPr>
          <w:rStyle w:val="Bold"/>
        </w:rPr>
        <w:t>Sick leave</w:t>
      </w:r>
      <w:r>
        <w:t xml:space="preserve"> payments are made in accordance with relevant awards, determinations and Corporation policy. No provision is made in the financial statements for unused sick leave entitlements as these are non-vesting benefits (that is, they cannot be transferred or paid out when an employee leaves).</w:t>
      </w:r>
    </w:p>
    <w:p w14:paraId="2D2A8912" w14:textId="64E4C416" w:rsidR="00612C15" w:rsidRDefault="00DC0A06" w:rsidP="00612C15">
      <w:pPr>
        <w:pStyle w:val="BodyText"/>
      </w:pPr>
      <w:r>
        <w:rPr>
          <w:rStyle w:val="Bold"/>
        </w:rPr>
        <w:t>Long service leave</w:t>
      </w:r>
      <w:r w:rsidR="00612C15">
        <w:t xml:space="preserve"> is recognised in the provision for employee benefits. </w:t>
      </w:r>
      <w:r>
        <w:t>Long service leave</w:t>
      </w:r>
      <w:r w:rsidR="00612C15">
        <w:t xml:space="preserve"> is recognised as a current liability when there is no unconditional right to defer settlement should an employee take </w:t>
      </w:r>
      <w:r>
        <w:t>long service leave</w:t>
      </w:r>
      <w:r w:rsidR="00612C15">
        <w:t xml:space="preserve"> they are entitled to within the next 12 months, even when the Corporation does not expect to settle the liability within 12 months. The components of this current </w:t>
      </w:r>
      <w:r>
        <w:t>long service leave</w:t>
      </w:r>
      <w:r w:rsidR="00612C15">
        <w:t xml:space="preserve"> liability are measured at:</w:t>
      </w:r>
    </w:p>
    <w:p w14:paraId="5230B220" w14:textId="5785875E" w:rsidR="00612C15" w:rsidRDefault="00612C15" w:rsidP="00C778D6">
      <w:pPr>
        <w:pStyle w:val="ListBullet"/>
      </w:pPr>
      <w:r>
        <w:t>undiscounted value, if they expect to be wholly settled within 12 months; or</w:t>
      </w:r>
    </w:p>
    <w:p w14:paraId="009A971A" w14:textId="07CDFFD8" w:rsidR="00DA71F3" w:rsidRDefault="00612C15" w:rsidP="00C778D6">
      <w:pPr>
        <w:pStyle w:val="ListBullet"/>
      </w:pPr>
      <w:r>
        <w:t>present value, if not expected to be wholly settled within 12 months.</w:t>
      </w:r>
    </w:p>
    <w:p w14:paraId="4BDF3B86" w14:textId="793333A6" w:rsidR="00612C15" w:rsidRDefault="00DC0A06" w:rsidP="00612C15">
      <w:pPr>
        <w:pStyle w:val="BodyText"/>
      </w:pPr>
      <w:r>
        <w:t>Long service leave</w:t>
      </w:r>
      <w:r w:rsidR="00612C15">
        <w:t xml:space="preserve"> is recognised as a non-current liability when there is an unconditional right to defer the settlement of the entitlement until the employee has completed seven years of service. This non-current </w:t>
      </w:r>
      <w:r>
        <w:t>long service leave</w:t>
      </w:r>
      <w:r w:rsidR="00612C15">
        <w:t xml:space="preserve"> liability is measured at present value. Expected future cash payments are discounted using market yields attached to the Reserve Bank of Australia's 10-year rate for semi-annual coupon bonds. Discount rate as at 30 June 2021 was 1.491 per cent (2019-20: 0.872 per cent). Use of this discount rate is mandated by the Department of Treasury and Finance (DTF). The valuation of </w:t>
      </w:r>
      <w:r>
        <w:t>long service leave</w:t>
      </w:r>
      <w:r w:rsidR="00612C15">
        <w:t xml:space="preserve"> also incorporates wage inflation, based on </w:t>
      </w:r>
      <w:r w:rsidR="00965CBF">
        <w:t>Department of Treasury and Finance</w:t>
      </w:r>
      <w:r w:rsidR="00612C15">
        <w:t xml:space="preserve"> budget estimates with the rate at 30 June 2021 of 2.95 per cent (2019-20: 4.25 per cent).</w:t>
      </w:r>
    </w:p>
    <w:p w14:paraId="72775127" w14:textId="77777777" w:rsidR="00612C15" w:rsidRDefault="00612C15" w:rsidP="00612C15">
      <w:pPr>
        <w:pStyle w:val="BodyText"/>
      </w:pPr>
      <w:r w:rsidRPr="00612C15">
        <w:rPr>
          <w:rStyle w:val="Bold"/>
        </w:rPr>
        <w:t>Other employee benefits</w:t>
      </w:r>
      <w:r>
        <w:t xml:space="preserve"> current and non-current liabilities include amounts for shift leave, rostered days off, Work Cover, workers' compensation and termination benefits. The Work Cover and workers' compensation provisions are based on independent actuarial assessments. A provision of $12.7 million (2019-20 $12.7 million) has been made for outstanding claims incurred and not settled, and for claims incurred but not reported at 30 June 2021. The value of the bank guarantee to the Victorian Work Cover Authority (as part of the Corporation's Work Cover self insurance commitments) at 30 June 2021 is $10.0 million (2019-20: $8.8 million). The bank guarantee amount is not included in the provision.</w:t>
      </w:r>
    </w:p>
    <w:p w14:paraId="2BA88AA4" w14:textId="1359A017" w:rsidR="00DA71F3" w:rsidRDefault="00612C15" w:rsidP="00612C15">
      <w:pPr>
        <w:pStyle w:val="BodyText"/>
      </w:pPr>
      <w:r w:rsidRPr="00612C15">
        <w:rPr>
          <w:rStyle w:val="Bold"/>
        </w:rPr>
        <w:lastRenderedPageBreak/>
        <w:t>Termination benefits</w:t>
      </w:r>
      <w:r>
        <w:t xml:space="preserve"> include termination of employment payments, such as severance packages. They are payable when employment is terminated before the normal retirement date, or when an employee accepts an offer of benefits in exchange for the termination of employment. Termination benefits are recognised when the Corporation is demonstrably committed to terminating the employment of current employees according to a detailed formal plan without possibility of withdrawal or providing termination benefits as a result of offers made for voluntary redundancy.</w:t>
      </w:r>
    </w:p>
    <w:p w14:paraId="6D109CBA" w14:textId="791288A3" w:rsidR="00612C15" w:rsidRPr="00470F0A" w:rsidRDefault="00612C15" w:rsidP="00612C15">
      <w:pPr>
        <w:pStyle w:val="Heading3"/>
      </w:pPr>
      <w:bookmarkStart w:id="903" w:name="Note33"/>
      <w:bookmarkStart w:id="904" w:name="_Toc89723120"/>
      <w:bookmarkStart w:id="905" w:name="_Ref89843564"/>
      <w:bookmarkStart w:id="906" w:name="_Ref89845196"/>
      <w:bookmarkStart w:id="907" w:name="_Toc90326065"/>
      <w:bookmarkStart w:id="908" w:name="_Toc93659471"/>
      <w:r>
        <w:t xml:space="preserve">3.3 </w:t>
      </w:r>
      <w:bookmarkEnd w:id="903"/>
      <w:r>
        <w:t>Repairs and maintenance expenses</w:t>
      </w:r>
      <w:bookmarkEnd w:id="904"/>
      <w:bookmarkEnd w:id="905"/>
      <w:bookmarkEnd w:id="906"/>
      <w:bookmarkEnd w:id="907"/>
      <w:bookmarkEnd w:id="908"/>
    </w:p>
    <w:tbl>
      <w:tblPr>
        <w:tblStyle w:val="Style1"/>
        <w:tblW w:w="5000" w:type="pct"/>
        <w:tblLook w:val="04A0" w:firstRow="1" w:lastRow="0" w:firstColumn="1" w:lastColumn="0" w:noHBand="0" w:noVBand="1"/>
      </w:tblPr>
      <w:tblGrid>
        <w:gridCol w:w="6803"/>
        <w:gridCol w:w="1420"/>
        <w:gridCol w:w="1408"/>
      </w:tblGrid>
      <w:tr w:rsidR="00612C15" w:rsidRPr="00560C7A" w14:paraId="494A5BB4"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3159730C" w14:textId="77777777" w:rsidR="00612C15" w:rsidRPr="00560C7A" w:rsidRDefault="00612C15" w:rsidP="00560C7A">
            <w:bookmarkStart w:id="909" w:name="ColumnTitle_44"/>
            <w:r w:rsidRPr="00560C7A">
              <w:t>Item</w:t>
            </w:r>
          </w:p>
        </w:tc>
        <w:tc>
          <w:tcPr>
            <w:tcW w:w="737" w:type="pct"/>
            <w:tcBorders>
              <w:top w:val="single" w:sz="4" w:space="0" w:color="auto"/>
            </w:tcBorders>
            <w:vAlign w:val="bottom"/>
          </w:tcPr>
          <w:p w14:paraId="4F9F675A"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2021</w:t>
            </w:r>
          </w:p>
          <w:p w14:paraId="314CD94A"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 thousands)</w:t>
            </w:r>
          </w:p>
        </w:tc>
        <w:tc>
          <w:tcPr>
            <w:tcW w:w="731" w:type="pct"/>
            <w:tcBorders>
              <w:top w:val="single" w:sz="4" w:space="0" w:color="auto"/>
            </w:tcBorders>
            <w:vAlign w:val="bottom"/>
          </w:tcPr>
          <w:p w14:paraId="6C38AD71"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2020</w:t>
            </w:r>
          </w:p>
          <w:p w14:paraId="5562C5C8"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 thousands)</w:t>
            </w:r>
          </w:p>
        </w:tc>
      </w:tr>
      <w:bookmarkEnd w:id="909"/>
      <w:tr w:rsidR="00612C15" w:rsidRPr="00D84113" w14:paraId="44456D98"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E12274F" w14:textId="00B2E88B" w:rsidR="00612C15" w:rsidRDefault="00612C15" w:rsidP="00560C7A">
            <w:pPr>
              <w:pStyle w:val="TableBodyText"/>
            </w:pPr>
            <w:r>
              <w:t>Repairs and maintenance</w:t>
            </w:r>
          </w:p>
        </w:tc>
        <w:tc>
          <w:tcPr>
            <w:tcW w:w="737" w:type="pct"/>
            <w:vAlign w:val="top"/>
          </w:tcPr>
          <w:p w14:paraId="297AEB0D" w14:textId="7963723E" w:rsid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pPr>
            <w:r>
              <w:t>86,008</w:t>
            </w:r>
          </w:p>
        </w:tc>
        <w:tc>
          <w:tcPr>
            <w:tcW w:w="731" w:type="pct"/>
            <w:vAlign w:val="top"/>
          </w:tcPr>
          <w:p w14:paraId="6B981408" w14:textId="3019479A" w:rsid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pPr>
            <w:r>
              <w:t>75,463</w:t>
            </w:r>
          </w:p>
        </w:tc>
      </w:tr>
      <w:tr w:rsidR="00612C15" w:rsidRPr="00D84113" w14:paraId="17ABF8C6" w14:textId="77777777" w:rsidTr="00612C15">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368A2F45" w14:textId="5B2F6738" w:rsidR="00612C15" w:rsidRDefault="00612C15" w:rsidP="00560C7A">
            <w:pPr>
              <w:pStyle w:val="TableBodyText"/>
            </w:pPr>
            <w:r>
              <w:t>Information technology maintenance</w:t>
            </w:r>
          </w:p>
        </w:tc>
        <w:tc>
          <w:tcPr>
            <w:tcW w:w="737" w:type="pct"/>
            <w:tcBorders>
              <w:bottom w:val="single" w:sz="4" w:space="0" w:color="auto"/>
            </w:tcBorders>
            <w:vAlign w:val="top"/>
          </w:tcPr>
          <w:p w14:paraId="6E4435BE" w14:textId="10EF3F3F" w:rsid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pPr>
            <w:r>
              <w:t>9,404</w:t>
            </w:r>
          </w:p>
        </w:tc>
        <w:tc>
          <w:tcPr>
            <w:tcW w:w="731" w:type="pct"/>
            <w:tcBorders>
              <w:bottom w:val="single" w:sz="4" w:space="0" w:color="auto"/>
            </w:tcBorders>
            <w:vAlign w:val="top"/>
          </w:tcPr>
          <w:p w14:paraId="49CEA565" w14:textId="3F5AB240" w:rsid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pPr>
            <w:r>
              <w:t>7,737</w:t>
            </w:r>
          </w:p>
        </w:tc>
      </w:tr>
      <w:tr w:rsidR="00612C15" w:rsidRPr="00612C15" w14:paraId="43E3D94D" w14:textId="77777777" w:rsidTr="00612C15">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08741D55" w14:textId="3EB8D271" w:rsidR="00612C15" w:rsidRPr="00612C15" w:rsidRDefault="00612C15" w:rsidP="00560C7A">
            <w:pPr>
              <w:pStyle w:val="TableBodyText"/>
              <w:rPr>
                <w:rStyle w:val="Bold"/>
              </w:rPr>
            </w:pPr>
            <w:r w:rsidRPr="00612C15">
              <w:rPr>
                <w:rStyle w:val="Bold"/>
              </w:rPr>
              <w:t>Total repairs and maintenance expenses</w:t>
            </w:r>
          </w:p>
        </w:tc>
        <w:tc>
          <w:tcPr>
            <w:tcW w:w="737" w:type="pct"/>
            <w:tcBorders>
              <w:top w:val="single" w:sz="4" w:space="0" w:color="auto"/>
              <w:bottom w:val="single" w:sz="4" w:space="0" w:color="auto"/>
            </w:tcBorders>
            <w:vAlign w:val="top"/>
          </w:tcPr>
          <w:p w14:paraId="6995EF16" w14:textId="5921FF5A" w:rsidR="00612C15" w:rsidRP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12C15">
              <w:rPr>
                <w:rStyle w:val="Bold"/>
              </w:rPr>
              <w:t>95,412</w:t>
            </w:r>
          </w:p>
        </w:tc>
        <w:tc>
          <w:tcPr>
            <w:tcW w:w="731" w:type="pct"/>
            <w:tcBorders>
              <w:top w:val="single" w:sz="4" w:space="0" w:color="auto"/>
              <w:bottom w:val="single" w:sz="4" w:space="0" w:color="auto"/>
            </w:tcBorders>
            <w:vAlign w:val="top"/>
          </w:tcPr>
          <w:p w14:paraId="38021B73" w14:textId="138BD75F" w:rsidR="00612C15" w:rsidRP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12C15">
              <w:rPr>
                <w:rStyle w:val="Bold"/>
              </w:rPr>
              <w:t>83,200</w:t>
            </w:r>
          </w:p>
        </w:tc>
      </w:tr>
    </w:tbl>
    <w:p w14:paraId="52195C7A" w14:textId="1E4CB074" w:rsidR="00612C15" w:rsidRDefault="00612C15" w:rsidP="00612C15">
      <w:pPr>
        <w:pStyle w:val="BodyText"/>
      </w:pPr>
      <w:r w:rsidRPr="00612C15">
        <w:rPr>
          <w:rStyle w:val="Bold"/>
        </w:rPr>
        <w:t>Repairs and maintenance</w:t>
      </w:r>
      <w:r>
        <w:t xml:space="preserve"> and minor renewal costs are expensed as incurred. Where the repair relates to the replacement of a component of an asset and the cost exceeds the capitalisation threshold of $500, the cost is capitalised and depreciated over the remaining life of the asset.</w:t>
      </w:r>
    </w:p>
    <w:p w14:paraId="31FDA5C3" w14:textId="0790523A" w:rsidR="00612C15" w:rsidRDefault="00612C15" w:rsidP="00612C15">
      <w:pPr>
        <w:pStyle w:val="Heading3"/>
      </w:pPr>
      <w:bookmarkStart w:id="910" w:name="_Toc89723121"/>
      <w:bookmarkStart w:id="911" w:name="_Ref89843579"/>
      <w:bookmarkStart w:id="912" w:name="_Ref89845199"/>
      <w:bookmarkStart w:id="913" w:name="_Toc90326066"/>
      <w:bookmarkStart w:id="914" w:name="_Toc93659472"/>
      <w:r>
        <w:t>3.4 Administrative expenses</w:t>
      </w:r>
      <w:bookmarkEnd w:id="910"/>
      <w:bookmarkEnd w:id="911"/>
      <w:bookmarkEnd w:id="912"/>
      <w:bookmarkEnd w:id="913"/>
      <w:bookmarkEnd w:id="914"/>
    </w:p>
    <w:tbl>
      <w:tblPr>
        <w:tblStyle w:val="Style1"/>
        <w:tblW w:w="5000" w:type="pct"/>
        <w:tblLook w:val="04A0" w:firstRow="1" w:lastRow="0" w:firstColumn="1" w:lastColumn="0" w:noHBand="0" w:noVBand="1"/>
      </w:tblPr>
      <w:tblGrid>
        <w:gridCol w:w="6803"/>
        <w:gridCol w:w="1420"/>
        <w:gridCol w:w="1408"/>
      </w:tblGrid>
      <w:tr w:rsidR="00612C15" w:rsidRPr="00560C7A" w14:paraId="574AE1A1"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6219E76F" w14:textId="77777777" w:rsidR="00612C15" w:rsidRPr="00560C7A" w:rsidRDefault="00612C15" w:rsidP="00560C7A">
            <w:bookmarkStart w:id="915" w:name="ColumnTitle_45"/>
            <w:r w:rsidRPr="00560C7A">
              <w:t>Item</w:t>
            </w:r>
          </w:p>
        </w:tc>
        <w:tc>
          <w:tcPr>
            <w:tcW w:w="737" w:type="pct"/>
            <w:tcBorders>
              <w:top w:val="single" w:sz="4" w:space="0" w:color="auto"/>
            </w:tcBorders>
            <w:vAlign w:val="bottom"/>
          </w:tcPr>
          <w:p w14:paraId="16D08AD5"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2021</w:t>
            </w:r>
          </w:p>
          <w:p w14:paraId="596ACA5F"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 thousands)</w:t>
            </w:r>
          </w:p>
        </w:tc>
        <w:tc>
          <w:tcPr>
            <w:tcW w:w="731" w:type="pct"/>
            <w:tcBorders>
              <w:top w:val="single" w:sz="4" w:space="0" w:color="auto"/>
            </w:tcBorders>
            <w:vAlign w:val="bottom"/>
          </w:tcPr>
          <w:p w14:paraId="70E272CE"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2020</w:t>
            </w:r>
          </w:p>
          <w:p w14:paraId="3A5B2FF0" w14:textId="77777777" w:rsidR="00612C15" w:rsidRPr="00560C7A" w:rsidRDefault="00612C15" w:rsidP="00560C7A">
            <w:pPr>
              <w:cnfStyle w:val="100000000000" w:firstRow="1" w:lastRow="0" w:firstColumn="0" w:lastColumn="0" w:oddVBand="0" w:evenVBand="0" w:oddHBand="0" w:evenHBand="0" w:firstRowFirstColumn="0" w:firstRowLastColumn="0" w:lastRowFirstColumn="0" w:lastRowLastColumn="0"/>
            </w:pPr>
            <w:r w:rsidRPr="00560C7A">
              <w:t>($ thousands)</w:t>
            </w:r>
          </w:p>
        </w:tc>
      </w:tr>
      <w:bookmarkEnd w:id="915"/>
      <w:tr w:rsidR="00612C15" w:rsidRPr="00D84113" w14:paraId="2A9EC4E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0D88467" w14:textId="5BD49838" w:rsidR="00612C15" w:rsidRDefault="00612C15" w:rsidP="00560C7A">
            <w:pPr>
              <w:pStyle w:val="TableBodyText"/>
            </w:pPr>
            <w:r>
              <w:t>Waterways charges billings and collection</w:t>
            </w:r>
          </w:p>
        </w:tc>
        <w:tc>
          <w:tcPr>
            <w:tcW w:w="737" w:type="pct"/>
            <w:vAlign w:val="top"/>
          </w:tcPr>
          <w:p w14:paraId="0D5C19D2" w14:textId="049284D1" w:rsid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pPr>
            <w:r>
              <w:t>14,484</w:t>
            </w:r>
          </w:p>
        </w:tc>
        <w:tc>
          <w:tcPr>
            <w:tcW w:w="731" w:type="pct"/>
            <w:vAlign w:val="top"/>
          </w:tcPr>
          <w:p w14:paraId="21573BD3" w14:textId="299F1F59" w:rsidR="00612C15" w:rsidRDefault="00612C15" w:rsidP="00560C7A">
            <w:pPr>
              <w:pStyle w:val="TableBodyText"/>
              <w:cnfStyle w:val="000000000000" w:firstRow="0" w:lastRow="0" w:firstColumn="0" w:lastColumn="0" w:oddVBand="0" w:evenVBand="0" w:oddHBand="0" w:evenHBand="0" w:firstRowFirstColumn="0" w:firstRowLastColumn="0" w:lastRowFirstColumn="0" w:lastRowLastColumn="0"/>
            </w:pPr>
            <w:r>
              <w:t>14,122</w:t>
            </w:r>
          </w:p>
        </w:tc>
      </w:tr>
      <w:tr w:rsidR="00612C15" w:rsidRPr="00D84113" w14:paraId="73D02B14"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3C29C98" w14:textId="18C4C65E" w:rsidR="00612C15" w:rsidRDefault="00612C15" w:rsidP="00560C7A">
            <w:pPr>
              <w:pStyle w:val="TableBodyText"/>
            </w:pPr>
            <w:r>
              <w:t>Information technology and telecommunication expenses</w:t>
            </w:r>
          </w:p>
        </w:tc>
        <w:tc>
          <w:tcPr>
            <w:tcW w:w="737" w:type="pct"/>
            <w:vAlign w:val="top"/>
          </w:tcPr>
          <w:p w14:paraId="1BFE5A79" w14:textId="2FDED8FB"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16,350</w:t>
            </w:r>
          </w:p>
        </w:tc>
        <w:tc>
          <w:tcPr>
            <w:tcW w:w="731" w:type="pct"/>
            <w:vAlign w:val="top"/>
          </w:tcPr>
          <w:p w14:paraId="07E192FA" w14:textId="46E8B48F"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17,358</w:t>
            </w:r>
          </w:p>
        </w:tc>
      </w:tr>
      <w:tr w:rsidR="00612C15" w:rsidRPr="00D84113" w14:paraId="4429B98E"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8ED07F8" w14:textId="19F77400" w:rsidR="00612C15" w:rsidRDefault="004D4AD6" w:rsidP="00560C7A">
            <w:pPr>
              <w:pStyle w:val="TableBodyText"/>
            </w:pPr>
            <w:r>
              <w:t>Short-term lease expenses</w:t>
            </w:r>
          </w:p>
        </w:tc>
        <w:tc>
          <w:tcPr>
            <w:tcW w:w="737" w:type="pct"/>
            <w:vAlign w:val="top"/>
          </w:tcPr>
          <w:p w14:paraId="585786B1" w14:textId="061132BD" w:rsidR="00612C15" w:rsidRDefault="00560C7A" w:rsidP="00560C7A">
            <w:pPr>
              <w:pStyle w:val="TableBodyText"/>
              <w:cnfStyle w:val="000000000000" w:firstRow="0" w:lastRow="0" w:firstColumn="0" w:lastColumn="0" w:oddVBand="0" w:evenVBand="0" w:oddHBand="0" w:evenHBand="0" w:firstRowFirstColumn="0" w:firstRowLastColumn="0" w:lastRowFirstColumn="0" w:lastRowLastColumn="0"/>
            </w:pPr>
            <w:r>
              <w:t>252</w:t>
            </w:r>
          </w:p>
        </w:tc>
        <w:tc>
          <w:tcPr>
            <w:tcW w:w="731" w:type="pct"/>
            <w:vAlign w:val="top"/>
          </w:tcPr>
          <w:p w14:paraId="30D706B9" w14:textId="0F0F20B1" w:rsidR="00612C15" w:rsidRDefault="00560C7A" w:rsidP="00560C7A">
            <w:pPr>
              <w:pStyle w:val="TableBodyText"/>
              <w:cnfStyle w:val="000000000000" w:firstRow="0" w:lastRow="0" w:firstColumn="0" w:lastColumn="0" w:oddVBand="0" w:evenVBand="0" w:oddHBand="0" w:evenHBand="0" w:firstRowFirstColumn="0" w:firstRowLastColumn="0" w:lastRowFirstColumn="0" w:lastRowLastColumn="0"/>
            </w:pPr>
            <w:r>
              <w:t>252</w:t>
            </w:r>
          </w:p>
        </w:tc>
      </w:tr>
      <w:tr w:rsidR="00560C7A" w:rsidRPr="00D84113" w14:paraId="7C116689"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51BDB70" w14:textId="4C1EFABE" w:rsidR="00560C7A" w:rsidRDefault="00560C7A" w:rsidP="00560C7A">
            <w:pPr>
              <w:pStyle w:val="TableBodyText"/>
            </w:pPr>
            <w:r>
              <w:t>Low-value lease expenses</w:t>
            </w:r>
          </w:p>
        </w:tc>
        <w:tc>
          <w:tcPr>
            <w:tcW w:w="737" w:type="pct"/>
            <w:vAlign w:val="top"/>
          </w:tcPr>
          <w:p w14:paraId="28BE282A" w14:textId="5B861FC4" w:rsidR="00560C7A" w:rsidRDefault="00560C7A" w:rsidP="00560C7A">
            <w:pPr>
              <w:pStyle w:val="TableBodyText"/>
              <w:cnfStyle w:val="000000000000" w:firstRow="0" w:lastRow="0" w:firstColumn="0" w:lastColumn="0" w:oddVBand="0" w:evenVBand="0" w:oddHBand="0" w:evenHBand="0" w:firstRowFirstColumn="0" w:firstRowLastColumn="0" w:lastRowFirstColumn="0" w:lastRowLastColumn="0"/>
            </w:pPr>
            <w:r>
              <w:t>2</w:t>
            </w:r>
          </w:p>
        </w:tc>
        <w:tc>
          <w:tcPr>
            <w:tcW w:w="731" w:type="pct"/>
            <w:vAlign w:val="top"/>
          </w:tcPr>
          <w:p w14:paraId="221789E2" w14:textId="428D86D4" w:rsidR="00560C7A" w:rsidRDefault="00560C7A" w:rsidP="00560C7A">
            <w:pPr>
              <w:pStyle w:val="TableBodyText"/>
              <w:cnfStyle w:val="000000000000" w:firstRow="0" w:lastRow="0" w:firstColumn="0" w:lastColumn="0" w:oddVBand="0" w:evenVBand="0" w:oddHBand="0" w:evenHBand="0" w:firstRowFirstColumn="0" w:firstRowLastColumn="0" w:lastRowFirstColumn="0" w:lastRowLastColumn="0"/>
            </w:pPr>
            <w:r>
              <w:t>13</w:t>
            </w:r>
          </w:p>
        </w:tc>
      </w:tr>
      <w:tr w:rsidR="00612C15" w:rsidRPr="00D84113" w14:paraId="6F7AE412"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2E9EB5C" w14:textId="12B69512" w:rsidR="00612C15" w:rsidRDefault="004D4AD6" w:rsidP="00560C7A">
            <w:pPr>
              <w:pStyle w:val="TableBodyText"/>
            </w:pPr>
            <w:r>
              <w:t>Variable lease payment expenses</w:t>
            </w:r>
          </w:p>
        </w:tc>
        <w:tc>
          <w:tcPr>
            <w:tcW w:w="737" w:type="pct"/>
            <w:vAlign w:val="top"/>
          </w:tcPr>
          <w:p w14:paraId="72F703E8" w14:textId="4C1398EC"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2,311</w:t>
            </w:r>
          </w:p>
        </w:tc>
        <w:tc>
          <w:tcPr>
            <w:tcW w:w="731" w:type="pct"/>
            <w:vAlign w:val="top"/>
          </w:tcPr>
          <w:p w14:paraId="095DD32C" w14:textId="3CCFB415"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2,360</w:t>
            </w:r>
          </w:p>
        </w:tc>
      </w:tr>
      <w:tr w:rsidR="00612C15" w:rsidRPr="00D84113" w14:paraId="40184CAC"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B4305E5" w14:textId="11DC643F" w:rsidR="00612C15" w:rsidRDefault="004D4AD6" w:rsidP="00560C7A">
            <w:pPr>
              <w:pStyle w:val="TableBodyText"/>
            </w:pPr>
            <w:r>
              <w:t>Education and training expenses</w:t>
            </w:r>
          </w:p>
        </w:tc>
        <w:tc>
          <w:tcPr>
            <w:tcW w:w="737" w:type="pct"/>
            <w:vAlign w:val="top"/>
          </w:tcPr>
          <w:p w14:paraId="4545FF1A" w14:textId="781467CE"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2,417</w:t>
            </w:r>
          </w:p>
        </w:tc>
        <w:tc>
          <w:tcPr>
            <w:tcW w:w="731" w:type="pct"/>
            <w:vAlign w:val="top"/>
          </w:tcPr>
          <w:p w14:paraId="29586B47" w14:textId="049619AD"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2,514</w:t>
            </w:r>
          </w:p>
        </w:tc>
      </w:tr>
      <w:tr w:rsidR="00612C15" w:rsidRPr="00D84113" w14:paraId="40B05968"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9201899" w14:textId="6991D56D" w:rsidR="00612C15" w:rsidRDefault="004D4AD6" w:rsidP="00560C7A">
            <w:pPr>
              <w:pStyle w:val="TableBodyText"/>
            </w:pPr>
            <w:r>
              <w:t>Legal expenses</w:t>
            </w:r>
          </w:p>
        </w:tc>
        <w:tc>
          <w:tcPr>
            <w:tcW w:w="737" w:type="pct"/>
            <w:vAlign w:val="top"/>
          </w:tcPr>
          <w:p w14:paraId="2F5C663F" w14:textId="6632E52C"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1,003</w:t>
            </w:r>
          </w:p>
        </w:tc>
        <w:tc>
          <w:tcPr>
            <w:tcW w:w="731" w:type="pct"/>
            <w:vAlign w:val="top"/>
          </w:tcPr>
          <w:p w14:paraId="06CB4F5D" w14:textId="68B8276D"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1,056</w:t>
            </w:r>
          </w:p>
        </w:tc>
      </w:tr>
      <w:tr w:rsidR="00612C15" w:rsidRPr="00D84113" w14:paraId="4DC8F094"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3C1745D" w14:textId="4E33C168" w:rsidR="00612C15" w:rsidRDefault="004D4AD6" w:rsidP="00560C7A">
            <w:pPr>
              <w:pStyle w:val="TableBodyText"/>
            </w:pPr>
            <w:r>
              <w:t>Other expenses</w:t>
            </w:r>
          </w:p>
        </w:tc>
        <w:tc>
          <w:tcPr>
            <w:tcW w:w="737" w:type="pct"/>
            <w:vAlign w:val="top"/>
          </w:tcPr>
          <w:p w14:paraId="6F99DC8A" w14:textId="28526346"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5,954</w:t>
            </w:r>
          </w:p>
        </w:tc>
        <w:tc>
          <w:tcPr>
            <w:tcW w:w="731" w:type="pct"/>
            <w:vAlign w:val="top"/>
          </w:tcPr>
          <w:p w14:paraId="7CAE8248" w14:textId="0A909E4D" w:rsid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pPr>
            <w:r>
              <w:t>5,619</w:t>
            </w:r>
          </w:p>
        </w:tc>
      </w:tr>
      <w:tr w:rsidR="00612C15" w:rsidRPr="00612C15" w14:paraId="1A34B9D8"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253C0509" w14:textId="415FAD4E" w:rsidR="00612C15" w:rsidRPr="00612C15" w:rsidRDefault="004D4AD6" w:rsidP="00560C7A">
            <w:pPr>
              <w:pStyle w:val="TableBodyText"/>
              <w:rPr>
                <w:rStyle w:val="Bold"/>
              </w:rPr>
            </w:pPr>
            <w:r>
              <w:rPr>
                <w:rStyle w:val="Bold"/>
              </w:rPr>
              <w:t>Total administrative expenses</w:t>
            </w:r>
          </w:p>
        </w:tc>
        <w:tc>
          <w:tcPr>
            <w:tcW w:w="737" w:type="pct"/>
            <w:tcBorders>
              <w:top w:val="single" w:sz="4" w:space="0" w:color="auto"/>
              <w:bottom w:val="single" w:sz="4" w:space="0" w:color="auto"/>
            </w:tcBorders>
            <w:vAlign w:val="top"/>
          </w:tcPr>
          <w:p w14:paraId="0A9A0370" w14:textId="6C3C3A40" w:rsidR="00612C15" w:rsidRP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42,773</w:t>
            </w:r>
          </w:p>
        </w:tc>
        <w:tc>
          <w:tcPr>
            <w:tcW w:w="731" w:type="pct"/>
            <w:tcBorders>
              <w:top w:val="single" w:sz="4" w:space="0" w:color="auto"/>
              <w:bottom w:val="single" w:sz="4" w:space="0" w:color="auto"/>
            </w:tcBorders>
            <w:vAlign w:val="top"/>
          </w:tcPr>
          <w:p w14:paraId="51829902" w14:textId="20ED790A" w:rsidR="00612C15" w:rsidRPr="00612C15" w:rsidRDefault="004D4AD6" w:rsidP="00560C7A">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43,294</w:t>
            </w:r>
          </w:p>
        </w:tc>
      </w:tr>
    </w:tbl>
    <w:p w14:paraId="26A723BD" w14:textId="4A886E17" w:rsidR="004D4AD6" w:rsidRDefault="004D4AD6" w:rsidP="004D4AD6">
      <w:pPr>
        <w:pStyle w:val="BodyText"/>
        <w:rPr>
          <w:lang w:eastAsia="en-US"/>
        </w:rPr>
      </w:pPr>
      <w:r w:rsidRPr="004D4AD6">
        <w:rPr>
          <w:rStyle w:val="Bold"/>
          <w:lang w:eastAsia="en-US"/>
        </w:rPr>
        <w:t>Administrative expenses</w:t>
      </w:r>
      <w:r>
        <w:rPr>
          <w:lang w:eastAsia="en-US"/>
        </w:rPr>
        <w:t xml:space="preserve"> are the day-to-day costs incurred in administration of the Corporation. They are expensed in the period in which they are incurred.</w:t>
      </w:r>
    </w:p>
    <w:p w14:paraId="6B2556ED" w14:textId="41A8EB9B" w:rsidR="004D4AD6" w:rsidRDefault="004D4AD6" w:rsidP="004D4AD6">
      <w:pPr>
        <w:pStyle w:val="BodyText"/>
        <w:rPr>
          <w:lang w:eastAsia="en-US"/>
        </w:rPr>
      </w:pPr>
      <w:r>
        <w:rPr>
          <w:lang w:eastAsia="en-US"/>
        </w:rPr>
        <w:t xml:space="preserve">Expenses relating to short-term, low-value or variable lease payments are not included in the lease liability and are expensed in the year they are incurred. For further details, refer to note </w:t>
      </w:r>
      <w:r w:rsidR="002B0B65">
        <w:rPr>
          <w:lang w:eastAsia="en-US"/>
        </w:rPr>
        <w:fldChar w:fldCharType="begin"/>
      </w:r>
      <w:r w:rsidR="002B0B65">
        <w:rPr>
          <w:lang w:eastAsia="en-US"/>
        </w:rPr>
        <w:instrText xml:space="preserve"> REF Note44 \h </w:instrText>
      </w:r>
      <w:r w:rsidR="002B0B65">
        <w:rPr>
          <w:lang w:eastAsia="en-US"/>
        </w:rPr>
      </w:r>
      <w:r w:rsidR="002B0B65">
        <w:rPr>
          <w:lang w:eastAsia="en-US"/>
        </w:rPr>
        <w:fldChar w:fldCharType="separate"/>
      </w:r>
      <w:r w:rsidR="00472151">
        <w:t xml:space="preserve">4.4 </w:t>
      </w:r>
      <w:r w:rsidR="002B0B65">
        <w:rPr>
          <w:lang w:eastAsia="en-US"/>
        </w:rPr>
        <w:fldChar w:fldCharType="end"/>
      </w:r>
      <w:r>
        <w:rPr>
          <w:lang w:eastAsia="en-US"/>
        </w:rPr>
        <w:t>.</w:t>
      </w:r>
    </w:p>
    <w:p w14:paraId="1284C05B" w14:textId="77777777" w:rsidR="004D4AD6" w:rsidRDefault="004D4AD6" w:rsidP="0011520C">
      <w:pPr>
        <w:pStyle w:val="Heading3"/>
      </w:pPr>
      <w:bookmarkStart w:id="916" w:name="Note35"/>
      <w:bookmarkStart w:id="917" w:name="_Toc89723122"/>
      <w:bookmarkStart w:id="918" w:name="_Ref89843593"/>
      <w:bookmarkStart w:id="919" w:name="_Ref89845213"/>
      <w:bookmarkStart w:id="920" w:name="_Toc90326067"/>
      <w:bookmarkStart w:id="921" w:name="_Toc93659473"/>
      <w:r>
        <w:lastRenderedPageBreak/>
        <w:t xml:space="preserve">3.5 </w:t>
      </w:r>
      <w:bookmarkEnd w:id="916"/>
      <w:r>
        <w:t>Government rates and taxes</w:t>
      </w:r>
      <w:bookmarkEnd w:id="917"/>
      <w:bookmarkEnd w:id="918"/>
      <w:bookmarkEnd w:id="919"/>
      <w:bookmarkEnd w:id="920"/>
      <w:bookmarkEnd w:id="921"/>
    </w:p>
    <w:tbl>
      <w:tblPr>
        <w:tblStyle w:val="Style1"/>
        <w:tblW w:w="5000" w:type="pct"/>
        <w:tblLook w:val="04A0" w:firstRow="1" w:lastRow="0" w:firstColumn="1" w:lastColumn="0" w:noHBand="0" w:noVBand="1"/>
      </w:tblPr>
      <w:tblGrid>
        <w:gridCol w:w="6803"/>
        <w:gridCol w:w="1420"/>
        <w:gridCol w:w="1408"/>
      </w:tblGrid>
      <w:tr w:rsidR="004D4AD6" w:rsidRPr="00A747A9" w14:paraId="73BC7EED"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7FDAAB8D" w14:textId="77777777" w:rsidR="004D4AD6" w:rsidRPr="00A747A9" w:rsidRDefault="004D4AD6" w:rsidP="0011520C">
            <w:pPr>
              <w:keepNext/>
              <w:keepLines/>
            </w:pPr>
            <w:bookmarkStart w:id="922" w:name="ColumnTitle_46"/>
            <w:r w:rsidRPr="00A747A9">
              <w:t>Item</w:t>
            </w:r>
          </w:p>
        </w:tc>
        <w:tc>
          <w:tcPr>
            <w:tcW w:w="737" w:type="pct"/>
            <w:tcBorders>
              <w:top w:val="single" w:sz="4" w:space="0" w:color="auto"/>
            </w:tcBorders>
            <w:vAlign w:val="bottom"/>
          </w:tcPr>
          <w:p w14:paraId="02F44C58" w14:textId="77777777" w:rsidR="004D4AD6" w:rsidRPr="00A747A9" w:rsidRDefault="004D4AD6" w:rsidP="0011520C">
            <w:pPr>
              <w:keepNext/>
              <w:keepLines/>
              <w:cnfStyle w:val="100000000000" w:firstRow="1" w:lastRow="0" w:firstColumn="0" w:lastColumn="0" w:oddVBand="0" w:evenVBand="0" w:oddHBand="0" w:evenHBand="0" w:firstRowFirstColumn="0" w:firstRowLastColumn="0" w:lastRowFirstColumn="0" w:lastRowLastColumn="0"/>
            </w:pPr>
            <w:r w:rsidRPr="00A747A9">
              <w:t>2021</w:t>
            </w:r>
          </w:p>
          <w:p w14:paraId="712172DB" w14:textId="77777777" w:rsidR="004D4AD6" w:rsidRPr="00A747A9" w:rsidRDefault="004D4AD6" w:rsidP="0011520C">
            <w:pPr>
              <w:keepNext/>
              <w:keepLines/>
              <w:cnfStyle w:val="100000000000" w:firstRow="1" w:lastRow="0" w:firstColumn="0" w:lastColumn="0" w:oddVBand="0" w:evenVBand="0" w:oddHBand="0" w:evenHBand="0" w:firstRowFirstColumn="0" w:firstRowLastColumn="0" w:lastRowFirstColumn="0" w:lastRowLastColumn="0"/>
            </w:pPr>
            <w:r w:rsidRPr="00A747A9">
              <w:t>($ thousands)</w:t>
            </w:r>
          </w:p>
        </w:tc>
        <w:tc>
          <w:tcPr>
            <w:tcW w:w="731" w:type="pct"/>
            <w:tcBorders>
              <w:top w:val="single" w:sz="4" w:space="0" w:color="auto"/>
            </w:tcBorders>
            <w:vAlign w:val="bottom"/>
          </w:tcPr>
          <w:p w14:paraId="2B401FD1" w14:textId="77777777" w:rsidR="004D4AD6" w:rsidRPr="00A747A9" w:rsidRDefault="004D4AD6" w:rsidP="0011520C">
            <w:pPr>
              <w:keepNext/>
              <w:keepLines/>
              <w:cnfStyle w:val="100000000000" w:firstRow="1" w:lastRow="0" w:firstColumn="0" w:lastColumn="0" w:oddVBand="0" w:evenVBand="0" w:oddHBand="0" w:evenHBand="0" w:firstRowFirstColumn="0" w:firstRowLastColumn="0" w:lastRowFirstColumn="0" w:lastRowLastColumn="0"/>
            </w:pPr>
            <w:r w:rsidRPr="00A747A9">
              <w:t>2020</w:t>
            </w:r>
          </w:p>
          <w:p w14:paraId="561160D4" w14:textId="77777777" w:rsidR="004D4AD6" w:rsidRPr="00A747A9" w:rsidRDefault="004D4AD6" w:rsidP="0011520C">
            <w:pPr>
              <w:keepNext/>
              <w:keepLines/>
              <w:cnfStyle w:val="100000000000" w:firstRow="1" w:lastRow="0" w:firstColumn="0" w:lastColumn="0" w:oddVBand="0" w:evenVBand="0" w:oddHBand="0" w:evenHBand="0" w:firstRowFirstColumn="0" w:firstRowLastColumn="0" w:lastRowFirstColumn="0" w:lastRowLastColumn="0"/>
            </w:pPr>
            <w:r w:rsidRPr="00A747A9">
              <w:t>($ thousands)</w:t>
            </w:r>
          </w:p>
        </w:tc>
      </w:tr>
      <w:bookmarkEnd w:id="922"/>
      <w:tr w:rsidR="004D4AD6" w:rsidRPr="00D84113" w14:paraId="3A093DC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15E491A" w14:textId="6131E893" w:rsidR="004D4AD6" w:rsidRDefault="004D4AD6" w:rsidP="0011520C">
            <w:pPr>
              <w:pStyle w:val="TableBodyText"/>
              <w:keepNext/>
              <w:keepLines/>
            </w:pPr>
            <w:r>
              <w:t>Government rates and taxes</w:t>
            </w:r>
          </w:p>
        </w:tc>
        <w:tc>
          <w:tcPr>
            <w:tcW w:w="737" w:type="pct"/>
            <w:vAlign w:val="top"/>
          </w:tcPr>
          <w:p w14:paraId="39273FCA" w14:textId="017B2738" w:rsidR="004D4AD6" w:rsidRDefault="004D4AD6"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29,814</w:t>
            </w:r>
          </w:p>
        </w:tc>
        <w:tc>
          <w:tcPr>
            <w:tcW w:w="731" w:type="pct"/>
            <w:vAlign w:val="top"/>
          </w:tcPr>
          <w:p w14:paraId="31C6FDF4" w14:textId="2CC8BDEF" w:rsidR="004D4AD6" w:rsidRDefault="004D4AD6" w:rsidP="0011520C">
            <w:pPr>
              <w:pStyle w:val="TableBodyText"/>
              <w:keepNext/>
              <w:keepLines/>
              <w:cnfStyle w:val="000000000000" w:firstRow="0" w:lastRow="0" w:firstColumn="0" w:lastColumn="0" w:oddVBand="0" w:evenVBand="0" w:oddHBand="0" w:evenHBand="0" w:firstRowFirstColumn="0" w:firstRowLastColumn="0" w:lastRowFirstColumn="0" w:lastRowLastColumn="0"/>
            </w:pPr>
            <w:r>
              <w:t>33,772</w:t>
            </w:r>
          </w:p>
        </w:tc>
      </w:tr>
      <w:tr w:rsidR="004D4AD6" w:rsidRPr="00612C15" w14:paraId="2EB9D2C6"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0B6806AF" w14:textId="1A50EE74" w:rsidR="004D4AD6" w:rsidRPr="00612C15" w:rsidRDefault="004D4AD6" w:rsidP="00A747A9">
            <w:pPr>
              <w:pStyle w:val="TableBodyText"/>
              <w:rPr>
                <w:rStyle w:val="Bold"/>
              </w:rPr>
            </w:pPr>
            <w:r>
              <w:rPr>
                <w:rStyle w:val="Bold"/>
              </w:rPr>
              <w:t>Total government rates and taxes</w:t>
            </w:r>
          </w:p>
        </w:tc>
        <w:tc>
          <w:tcPr>
            <w:tcW w:w="737" w:type="pct"/>
            <w:tcBorders>
              <w:top w:val="single" w:sz="4" w:space="0" w:color="auto"/>
              <w:bottom w:val="single" w:sz="4" w:space="0" w:color="auto"/>
            </w:tcBorders>
            <w:vAlign w:val="top"/>
          </w:tcPr>
          <w:p w14:paraId="30D520BF" w14:textId="7EFDF6E6" w:rsidR="004D4AD6" w:rsidRPr="00612C15" w:rsidRDefault="004D4AD6" w:rsidP="00A747A9">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29,814</w:t>
            </w:r>
          </w:p>
        </w:tc>
        <w:tc>
          <w:tcPr>
            <w:tcW w:w="731" w:type="pct"/>
            <w:tcBorders>
              <w:top w:val="single" w:sz="4" w:space="0" w:color="auto"/>
              <w:bottom w:val="single" w:sz="4" w:space="0" w:color="auto"/>
            </w:tcBorders>
            <w:vAlign w:val="top"/>
          </w:tcPr>
          <w:p w14:paraId="7B560990" w14:textId="6AF2A58E" w:rsidR="004D4AD6" w:rsidRPr="00612C15" w:rsidRDefault="004D4AD6" w:rsidP="00A747A9">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33,772</w:t>
            </w:r>
          </w:p>
        </w:tc>
      </w:tr>
    </w:tbl>
    <w:p w14:paraId="37C6C65F" w14:textId="0DE05531" w:rsidR="004D4AD6" w:rsidRDefault="004D4AD6" w:rsidP="004D4AD6">
      <w:pPr>
        <w:pStyle w:val="BodyText"/>
        <w:rPr>
          <w:lang w:eastAsia="en-US"/>
        </w:rPr>
      </w:pPr>
      <w:r w:rsidRPr="004D4AD6">
        <w:rPr>
          <w:rStyle w:val="Bold"/>
          <w:lang w:eastAsia="en-US"/>
        </w:rPr>
        <w:t>Government rates and taxes</w:t>
      </w:r>
      <w:r>
        <w:rPr>
          <w:lang w:eastAsia="en-US"/>
        </w:rPr>
        <w:t xml:space="preserve"> are made up of Land Tax, Fringe Benefits Tax, Local Government Rates Equivalent Tax (LGRE) and other minor government charges and fees. They are expensed in the period in which they are incurred.</w:t>
      </w:r>
    </w:p>
    <w:p w14:paraId="5FB5046D" w14:textId="77777777" w:rsidR="004D4AD6" w:rsidRDefault="004D4AD6" w:rsidP="004D4AD6">
      <w:pPr>
        <w:pStyle w:val="Heading3"/>
      </w:pPr>
      <w:bookmarkStart w:id="923" w:name="Note36"/>
      <w:bookmarkStart w:id="924" w:name="_Toc89723123"/>
      <w:bookmarkStart w:id="925" w:name="_Ref89843601"/>
      <w:bookmarkStart w:id="926" w:name="_Ref89845216"/>
      <w:bookmarkStart w:id="927" w:name="_Toc90326068"/>
      <w:bookmarkStart w:id="928" w:name="_Toc93659474"/>
      <w:r>
        <w:t xml:space="preserve">3.6 </w:t>
      </w:r>
      <w:bookmarkEnd w:id="923"/>
      <w:r>
        <w:t>Asset transfers to council</w:t>
      </w:r>
      <w:bookmarkEnd w:id="924"/>
      <w:bookmarkEnd w:id="925"/>
      <w:bookmarkEnd w:id="926"/>
      <w:bookmarkEnd w:id="927"/>
      <w:bookmarkEnd w:id="928"/>
    </w:p>
    <w:tbl>
      <w:tblPr>
        <w:tblStyle w:val="Style1"/>
        <w:tblW w:w="5000" w:type="pct"/>
        <w:tblLook w:val="04A0" w:firstRow="1" w:lastRow="0" w:firstColumn="1" w:lastColumn="0" w:noHBand="0" w:noVBand="1"/>
      </w:tblPr>
      <w:tblGrid>
        <w:gridCol w:w="6803"/>
        <w:gridCol w:w="1420"/>
        <w:gridCol w:w="1408"/>
      </w:tblGrid>
      <w:tr w:rsidR="004D4AD6" w:rsidRPr="00A747A9" w14:paraId="3CE6CF3E"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484B3372" w14:textId="77777777" w:rsidR="004D4AD6" w:rsidRPr="00A747A9" w:rsidRDefault="004D4AD6" w:rsidP="00A747A9">
            <w:bookmarkStart w:id="929" w:name="ColumnTitle_47"/>
            <w:r w:rsidRPr="00A747A9">
              <w:t>Item</w:t>
            </w:r>
          </w:p>
        </w:tc>
        <w:tc>
          <w:tcPr>
            <w:tcW w:w="737" w:type="pct"/>
            <w:tcBorders>
              <w:top w:val="single" w:sz="4" w:space="0" w:color="auto"/>
            </w:tcBorders>
            <w:vAlign w:val="bottom"/>
          </w:tcPr>
          <w:p w14:paraId="0801664C" w14:textId="77777777" w:rsidR="004D4AD6" w:rsidRPr="00A747A9" w:rsidRDefault="004D4AD6" w:rsidP="00A747A9">
            <w:pPr>
              <w:cnfStyle w:val="100000000000" w:firstRow="1" w:lastRow="0" w:firstColumn="0" w:lastColumn="0" w:oddVBand="0" w:evenVBand="0" w:oddHBand="0" w:evenHBand="0" w:firstRowFirstColumn="0" w:firstRowLastColumn="0" w:lastRowFirstColumn="0" w:lastRowLastColumn="0"/>
            </w:pPr>
            <w:r w:rsidRPr="00A747A9">
              <w:t>2021</w:t>
            </w:r>
          </w:p>
          <w:p w14:paraId="38BE28D5" w14:textId="77777777" w:rsidR="004D4AD6" w:rsidRPr="00A747A9" w:rsidRDefault="004D4AD6" w:rsidP="00A747A9">
            <w:pPr>
              <w:cnfStyle w:val="100000000000" w:firstRow="1" w:lastRow="0" w:firstColumn="0" w:lastColumn="0" w:oddVBand="0" w:evenVBand="0" w:oddHBand="0" w:evenHBand="0" w:firstRowFirstColumn="0" w:firstRowLastColumn="0" w:lastRowFirstColumn="0" w:lastRowLastColumn="0"/>
            </w:pPr>
            <w:r w:rsidRPr="00A747A9">
              <w:t>($ thousands)</w:t>
            </w:r>
          </w:p>
        </w:tc>
        <w:tc>
          <w:tcPr>
            <w:tcW w:w="731" w:type="pct"/>
            <w:tcBorders>
              <w:top w:val="single" w:sz="4" w:space="0" w:color="auto"/>
            </w:tcBorders>
            <w:vAlign w:val="bottom"/>
          </w:tcPr>
          <w:p w14:paraId="72314832" w14:textId="77777777" w:rsidR="004D4AD6" w:rsidRPr="00A747A9" w:rsidRDefault="004D4AD6" w:rsidP="00A747A9">
            <w:pPr>
              <w:cnfStyle w:val="100000000000" w:firstRow="1" w:lastRow="0" w:firstColumn="0" w:lastColumn="0" w:oddVBand="0" w:evenVBand="0" w:oddHBand="0" w:evenHBand="0" w:firstRowFirstColumn="0" w:firstRowLastColumn="0" w:lastRowFirstColumn="0" w:lastRowLastColumn="0"/>
            </w:pPr>
            <w:r w:rsidRPr="00A747A9">
              <w:t>2020</w:t>
            </w:r>
          </w:p>
          <w:p w14:paraId="67AB97AE" w14:textId="77777777" w:rsidR="004D4AD6" w:rsidRPr="00A747A9" w:rsidRDefault="004D4AD6" w:rsidP="00A747A9">
            <w:pPr>
              <w:cnfStyle w:val="100000000000" w:firstRow="1" w:lastRow="0" w:firstColumn="0" w:lastColumn="0" w:oddVBand="0" w:evenVBand="0" w:oddHBand="0" w:evenHBand="0" w:firstRowFirstColumn="0" w:firstRowLastColumn="0" w:lastRowFirstColumn="0" w:lastRowLastColumn="0"/>
            </w:pPr>
            <w:r w:rsidRPr="00A747A9">
              <w:t>($ thousands)</w:t>
            </w:r>
          </w:p>
        </w:tc>
      </w:tr>
      <w:bookmarkEnd w:id="929"/>
      <w:tr w:rsidR="004D4AD6" w:rsidRPr="00D84113" w14:paraId="6FAE7F9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7DA95FFA" w14:textId="16B5E13D" w:rsidR="004D4AD6" w:rsidRDefault="004D4AD6" w:rsidP="00A747A9">
            <w:pPr>
              <w:pStyle w:val="TableBodyText"/>
            </w:pPr>
            <w:r>
              <w:t>Asset transfers to council</w:t>
            </w:r>
          </w:p>
        </w:tc>
        <w:tc>
          <w:tcPr>
            <w:tcW w:w="737" w:type="pct"/>
            <w:vAlign w:val="top"/>
          </w:tcPr>
          <w:p w14:paraId="65D3ED95" w14:textId="1DCC2C64" w:rsidR="004D4AD6" w:rsidRDefault="004D4AD6" w:rsidP="00A747A9">
            <w:pPr>
              <w:pStyle w:val="TableBodyText"/>
              <w:cnfStyle w:val="000000000000" w:firstRow="0" w:lastRow="0" w:firstColumn="0" w:lastColumn="0" w:oddVBand="0" w:evenVBand="0" w:oddHBand="0" w:evenHBand="0" w:firstRowFirstColumn="0" w:firstRowLastColumn="0" w:lastRowFirstColumn="0" w:lastRowLastColumn="0"/>
            </w:pPr>
            <w:r>
              <w:t>40,553</w:t>
            </w:r>
          </w:p>
        </w:tc>
        <w:tc>
          <w:tcPr>
            <w:tcW w:w="731" w:type="pct"/>
            <w:vAlign w:val="top"/>
          </w:tcPr>
          <w:p w14:paraId="0E4E5F66" w14:textId="3CE87389" w:rsidR="004D4AD6" w:rsidRDefault="004D4AD6" w:rsidP="00A747A9">
            <w:pPr>
              <w:pStyle w:val="TableBodyText"/>
              <w:cnfStyle w:val="000000000000" w:firstRow="0" w:lastRow="0" w:firstColumn="0" w:lastColumn="0" w:oddVBand="0" w:evenVBand="0" w:oddHBand="0" w:evenHBand="0" w:firstRowFirstColumn="0" w:firstRowLastColumn="0" w:lastRowFirstColumn="0" w:lastRowLastColumn="0"/>
            </w:pPr>
            <w:r>
              <w:t>35,814</w:t>
            </w:r>
          </w:p>
        </w:tc>
      </w:tr>
      <w:tr w:rsidR="004D4AD6" w:rsidRPr="00612C15" w14:paraId="6D0165FC"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146235F4" w14:textId="6888D82F" w:rsidR="004D4AD6" w:rsidRPr="00612C15" w:rsidRDefault="004D4AD6" w:rsidP="00A747A9">
            <w:pPr>
              <w:pStyle w:val="TableBodyText"/>
              <w:rPr>
                <w:rStyle w:val="Bold"/>
              </w:rPr>
            </w:pPr>
            <w:r>
              <w:rPr>
                <w:rStyle w:val="Bold"/>
              </w:rPr>
              <w:t>Total asset transfers to council</w:t>
            </w:r>
          </w:p>
        </w:tc>
        <w:tc>
          <w:tcPr>
            <w:tcW w:w="737" w:type="pct"/>
            <w:tcBorders>
              <w:top w:val="single" w:sz="4" w:space="0" w:color="auto"/>
              <w:bottom w:val="single" w:sz="4" w:space="0" w:color="auto"/>
            </w:tcBorders>
            <w:vAlign w:val="top"/>
          </w:tcPr>
          <w:p w14:paraId="16BC80A0" w14:textId="74218423" w:rsidR="004D4AD6" w:rsidRPr="00612C15" w:rsidRDefault="004D4AD6" w:rsidP="00A747A9">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40,553</w:t>
            </w:r>
          </w:p>
        </w:tc>
        <w:tc>
          <w:tcPr>
            <w:tcW w:w="731" w:type="pct"/>
            <w:tcBorders>
              <w:top w:val="single" w:sz="4" w:space="0" w:color="auto"/>
              <w:bottom w:val="single" w:sz="4" w:space="0" w:color="auto"/>
            </w:tcBorders>
            <w:vAlign w:val="top"/>
          </w:tcPr>
          <w:p w14:paraId="589F2954" w14:textId="0E5B9C59" w:rsidR="004D4AD6" w:rsidRPr="00612C15" w:rsidRDefault="004D4AD6" w:rsidP="00A747A9">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35,814</w:t>
            </w:r>
          </w:p>
        </w:tc>
      </w:tr>
    </w:tbl>
    <w:p w14:paraId="0C42DF93" w14:textId="7D2B3F17" w:rsidR="00612C15" w:rsidRDefault="004D4AD6" w:rsidP="004D4AD6">
      <w:pPr>
        <w:pStyle w:val="BodyText"/>
        <w:rPr>
          <w:lang w:eastAsia="en-US"/>
        </w:rPr>
      </w:pPr>
      <w:r w:rsidRPr="004D4AD6">
        <w:rPr>
          <w:rStyle w:val="Bold"/>
          <w:lang w:eastAsia="en-US"/>
        </w:rPr>
        <w:t>Asset transfers to council</w:t>
      </w:r>
      <w:r>
        <w:rPr>
          <w:lang w:eastAsia="en-US"/>
        </w:rPr>
        <w:t xml:space="preserve"> relate to Drainage Developer Scheme works within a catchment size of less than 60 hectares that are transferred to councils for ongoing maintenance (and expensed by the Corporation at book value) upon reaching formal council acceptance to transfer.</w:t>
      </w:r>
    </w:p>
    <w:p w14:paraId="4AEAA47D" w14:textId="2B12CEAA" w:rsidR="004D4AD6" w:rsidRDefault="004D4AD6" w:rsidP="004D4AD6">
      <w:pPr>
        <w:pStyle w:val="Heading3"/>
      </w:pPr>
      <w:bookmarkStart w:id="930" w:name="Note37"/>
      <w:bookmarkStart w:id="931" w:name="_Toc89723124"/>
      <w:bookmarkStart w:id="932" w:name="_Ref89843612"/>
      <w:bookmarkStart w:id="933" w:name="_Ref89845219"/>
      <w:bookmarkStart w:id="934" w:name="_Toc90326069"/>
      <w:bookmarkStart w:id="935" w:name="_Toc93659475"/>
      <w:r>
        <w:t xml:space="preserve">3.7 </w:t>
      </w:r>
      <w:bookmarkEnd w:id="930"/>
      <w:r>
        <w:t>Other expenses</w:t>
      </w:r>
      <w:bookmarkEnd w:id="931"/>
      <w:bookmarkEnd w:id="932"/>
      <w:bookmarkEnd w:id="933"/>
      <w:bookmarkEnd w:id="934"/>
      <w:bookmarkEnd w:id="935"/>
    </w:p>
    <w:tbl>
      <w:tblPr>
        <w:tblStyle w:val="Style1"/>
        <w:tblW w:w="5000" w:type="pct"/>
        <w:tblLook w:val="04A0" w:firstRow="1" w:lastRow="0" w:firstColumn="1" w:lastColumn="0" w:noHBand="0" w:noVBand="1"/>
      </w:tblPr>
      <w:tblGrid>
        <w:gridCol w:w="6803"/>
        <w:gridCol w:w="1420"/>
        <w:gridCol w:w="1408"/>
      </w:tblGrid>
      <w:tr w:rsidR="004D4AD6" w:rsidRPr="00ED07AF" w14:paraId="5690D730"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26B51BB0" w14:textId="77777777" w:rsidR="004D4AD6" w:rsidRPr="00ED07AF" w:rsidRDefault="004D4AD6" w:rsidP="00ED07AF">
            <w:bookmarkStart w:id="936" w:name="ColumnTitle_48"/>
            <w:r w:rsidRPr="00ED07AF">
              <w:t>Item</w:t>
            </w:r>
          </w:p>
        </w:tc>
        <w:tc>
          <w:tcPr>
            <w:tcW w:w="737" w:type="pct"/>
            <w:tcBorders>
              <w:top w:val="single" w:sz="4" w:space="0" w:color="auto"/>
            </w:tcBorders>
            <w:vAlign w:val="bottom"/>
          </w:tcPr>
          <w:p w14:paraId="0CF40555" w14:textId="77777777" w:rsidR="004D4AD6" w:rsidRPr="00ED07AF" w:rsidRDefault="004D4AD6" w:rsidP="00ED07AF">
            <w:pPr>
              <w:cnfStyle w:val="100000000000" w:firstRow="1" w:lastRow="0" w:firstColumn="0" w:lastColumn="0" w:oddVBand="0" w:evenVBand="0" w:oddHBand="0" w:evenHBand="0" w:firstRowFirstColumn="0" w:firstRowLastColumn="0" w:lastRowFirstColumn="0" w:lastRowLastColumn="0"/>
            </w:pPr>
            <w:r w:rsidRPr="00ED07AF">
              <w:t>2021</w:t>
            </w:r>
          </w:p>
          <w:p w14:paraId="087D51EB" w14:textId="77777777" w:rsidR="004D4AD6" w:rsidRPr="00ED07AF" w:rsidRDefault="004D4AD6" w:rsidP="00ED07AF">
            <w:pPr>
              <w:cnfStyle w:val="100000000000" w:firstRow="1" w:lastRow="0" w:firstColumn="0" w:lastColumn="0" w:oddVBand="0" w:evenVBand="0" w:oddHBand="0" w:evenHBand="0" w:firstRowFirstColumn="0" w:firstRowLastColumn="0" w:lastRowFirstColumn="0" w:lastRowLastColumn="0"/>
            </w:pPr>
            <w:r w:rsidRPr="00ED07AF">
              <w:t>($ thousands)</w:t>
            </w:r>
          </w:p>
        </w:tc>
        <w:tc>
          <w:tcPr>
            <w:tcW w:w="731" w:type="pct"/>
            <w:tcBorders>
              <w:top w:val="single" w:sz="4" w:space="0" w:color="auto"/>
            </w:tcBorders>
            <w:vAlign w:val="bottom"/>
          </w:tcPr>
          <w:p w14:paraId="4ABC5526" w14:textId="77777777" w:rsidR="004D4AD6" w:rsidRPr="00ED07AF" w:rsidRDefault="004D4AD6" w:rsidP="00ED07AF">
            <w:pPr>
              <w:cnfStyle w:val="100000000000" w:firstRow="1" w:lastRow="0" w:firstColumn="0" w:lastColumn="0" w:oddVBand="0" w:evenVBand="0" w:oddHBand="0" w:evenHBand="0" w:firstRowFirstColumn="0" w:firstRowLastColumn="0" w:lastRowFirstColumn="0" w:lastRowLastColumn="0"/>
            </w:pPr>
            <w:r w:rsidRPr="00ED07AF">
              <w:t>2020</w:t>
            </w:r>
          </w:p>
          <w:p w14:paraId="361B7629" w14:textId="77777777" w:rsidR="004D4AD6" w:rsidRPr="00ED07AF" w:rsidRDefault="004D4AD6" w:rsidP="00ED07AF">
            <w:pPr>
              <w:cnfStyle w:val="100000000000" w:firstRow="1" w:lastRow="0" w:firstColumn="0" w:lastColumn="0" w:oddVBand="0" w:evenVBand="0" w:oddHBand="0" w:evenHBand="0" w:firstRowFirstColumn="0" w:firstRowLastColumn="0" w:lastRowFirstColumn="0" w:lastRowLastColumn="0"/>
            </w:pPr>
            <w:r w:rsidRPr="00ED07AF">
              <w:t>($ thousands)</w:t>
            </w:r>
          </w:p>
        </w:tc>
      </w:tr>
      <w:bookmarkEnd w:id="936"/>
      <w:tr w:rsidR="004D4AD6" w:rsidRPr="00D84113" w14:paraId="4069E6E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D9C338B" w14:textId="11CB7789" w:rsidR="004D4AD6" w:rsidRDefault="004D4AD6" w:rsidP="00ED07AF">
            <w:pPr>
              <w:pStyle w:val="TableBodyText"/>
            </w:pPr>
            <w:r>
              <w:t>Assets written off/written down</w:t>
            </w:r>
          </w:p>
        </w:tc>
        <w:tc>
          <w:tcPr>
            <w:tcW w:w="737" w:type="pct"/>
            <w:vAlign w:val="top"/>
          </w:tcPr>
          <w:p w14:paraId="3C720C93" w14:textId="1FAB2AD2" w:rsidR="004D4AD6" w:rsidRDefault="004D4AD6" w:rsidP="00ED07AF">
            <w:pPr>
              <w:pStyle w:val="TableBodyText"/>
              <w:cnfStyle w:val="000000000000" w:firstRow="0" w:lastRow="0" w:firstColumn="0" w:lastColumn="0" w:oddVBand="0" w:evenVBand="0" w:oddHBand="0" w:evenHBand="0" w:firstRowFirstColumn="0" w:firstRowLastColumn="0" w:lastRowFirstColumn="0" w:lastRowLastColumn="0"/>
            </w:pPr>
            <w:r>
              <w:t>4,172</w:t>
            </w:r>
          </w:p>
        </w:tc>
        <w:tc>
          <w:tcPr>
            <w:tcW w:w="731" w:type="pct"/>
            <w:vAlign w:val="top"/>
          </w:tcPr>
          <w:p w14:paraId="7E593C44" w14:textId="0FA860A9" w:rsidR="004D4AD6" w:rsidRDefault="004D4AD6" w:rsidP="00ED07AF">
            <w:pPr>
              <w:pStyle w:val="TableBodyText"/>
              <w:cnfStyle w:val="000000000000" w:firstRow="0" w:lastRow="0" w:firstColumn="0" w:lastColumn="0" w:oddVBand="0" w:evenVBand="0" w:oddHBand="0" w:evenHBand="0" w:firstRowFirstColumn="0" w:firstRowLastColumn="0" w:lastRowFirstColumn="0" w:lastRowLastColumn="0"/>
            </w:pPr>
            <w:r>
              <w:t>2,916</w:t>
            </w:r>
          </w:p>
        </w:tc>
      </w:tr>
      <w:tr w:rsidR="004D4AD6" w:rsidRPr="00D84113" w14:paraId="79CDBC46"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642C33FE" w14:textId="367AEF9D" w:rsidR="004D4AD6" w:rsidRDefault="00DC0A06" w:rsidP="00ED07AF">
            <w:pPr>
              <w:pStyle w:val="TableBodyText"/>
            </w:pPr>
            <w:r>
              <w:t>Community Service Obligation</w:t>
            </w:r>
            <w:r w:rsidR="004D4AD6">
              <w:t xml:space="preserve"> adjustments for purchased land</w:t>
            </w:r>
          </w:p>
        </w:tc>
        <w:tc>
          <w:tcPr>
            <w:tcW w:w="737" w:type="pct"/>
            <w:vAlign w:val="top"/>
          </w:tcPr>
          <w:p w14:paraId="0ED38280" w14:textId="5FA2CD52" w:rsidR="004D4AD6" w:rsidRDefault="004D4AD6" w:rsidP="00ED07AF">
            <w:pPr>
              <w:pStyle w:val="TableBodyText"/>
              <w:cnfStyle w:val="000000000000" w:firstRow="0" w:lastRow="0" w:firstColumn="0" w:lastColumn="0" w:oddVBand="0" w:evenVBand="0" w:oddHBand="0" w:evenHBand="0" w:firstRowFirstColumn="0" w:firstRowLastColumn="0" w:lastRowFirstColumn="0" w:lastRowLastColumn="0"/>
            </w:pPr>
            <w:r>
              <w:t>5,905</w:t>
            </w:r>
          </w:p>
        </w:tc>
        <w:tc>
          <w:tcPr>
            <w:tcW w:w="731" w:type="pct"/>
            <w:vAlign w:val="top"/>
          </w:tcPr>
          <w:p w14:paraId="63421934" w14:textId="4BB8F960" w:rsidR="004D4AD6" w:rsidRDefault="004D4AD6" w:rsidP="00ED07AF">
            <w:pPr>
              <w:pStyle w:val="TableBodyText"/>
              <w:cnfStyle w:val="000000000000" w:firstRow="0" w:lastRow="0" w:firstColumn="0" w:lastColumn="0" w:oddVBand="0" w:evenVBand="0" w:oddHBand="0" w:evenHBand="0" w:firstRowFirstColumn="0" w:firstRowLastColumn="0" w:lastRowFirstColumn="0" w:lastRowLastColumn="0"/>
            </w:pPr>
            <w:r>
              <w:t>3,157</w:t>
            </w:r>
          </w:p>
        </w:tc>
      </w:tr>
      <w:tr w:rsidR="004D4AD6" w:rsidRPr="00D84113" w14:paraId="1CB61622"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53FC7E9" w14:textId="29BAABB1" w:rsidR="004D4AD6" w:rsidRDefault="004D4AD6" w:rsidP="00ED07AF">
            <w:pPr>
              <w:pStyle w:val="TableBodyText"/>
            </w:pPr>
            <w:r>
              <w:t>Other expenses</w:t>
            </w:r>
          </w:p>
        </w:tc>
        <w:tc>
          <w:tcPr>
            <w:tcW w:w="737" w:type="pct"/>
            <w:vAlign w:val="top"/>
          </w:tcPr>
          <w:p w14:paraId="0AE51DF3" w14:textId="20F6F80C" w:rsidR="004D4AD6" w:rsidRDefault="004D4AD6" w:rsidP="00ED07AF">
            <w:pPr>
              <w:pStyle w:val="TableBodyText"/>
              <w:cnfStyle w:val="000000000000" w:firstRow="0" w:lastRow="0" w:firstColumn="0" w:lastColumn="0" w:oddVBand="0" w:evenVBand="0" w:oddHBand="0" w:evenHBand="0" w:firstRowFirstColumn="0" w:firstRowLastColumn="0" w:lastRowFirstColumn="0" w:lastRowLastColumn="0"/>
            </w:pPr>
            <w:r>
              <w:t>2,400</w:t>
            </w:r>
          </w:p>
        </w:tc>
        <w:tc>
          <w:tcPr>
            <w:tcW w:w="731" w:type="pct"/>
            <w:vAlign w:val="top"/>
          </w:tcPr>
          <w:p w14:paraId="12BAA0C3" w14:textId="3CD83248" w:rsidR="004D4AD6" w:rsidRDefault="004D4AD6" w:rsidP="00ED07AF">
            <w:pPr>
              <w:pStyle w:val="TableBodyText"/>
              <w:cnfStyle w:val="000000000000" w:firstRow="0" w:lastRow="0" w:firstColumn="0" w:lastColumn="0" w:oddVBand="0" w:evenVBand="0" w:oddHBand="0" w:evenHBand="0" w:firstRowFirstColumn="0" w:firstRowLastColumn="0" w:lastRowFirstColumn="0" w:lastRowLastColumn="0"/>
            </w:pPr>
            <w:r>
              <w:t>2,197</w:t>
            </w:r>
          </w:p>
        </w:tc>
      </w:tr>
      <w:tr w:rsidR="004D4AD6" w:rsidRPr="00612C15" w14:paraId="133219D3"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39CB080D" w14:textId="44C4C733" w:rsidR="004D4AD6" w:rsidRPr="00612C15" w:rsidRDefault="004D4AD6" w:rsidP="00ED07AF">
            <w:pPr>
              <w:pStyle w:val="TableBodyText"/>
              <w:rPr>
                <w:rStyle w:val="Bold"/>
              </w:rPr>
            </w:pPr>
            <w:r>
              <w:rPr>
                <w:rStyle w:val="Bold"/>
              </w:rPr>
              <w:t>Total other expenses</w:t>
            </w:r>
          </w:p>
        </w:tc>
        <w:tc>
          <w:tcPr>
            <w:tcW w:w="737" w:type="pct"/>
            <w:tcBorders>
              <w:top w:val="single" w:sz="4" w:space="0" w:color="auto"/>
              <w:bottom w:val="single" w:sz="4" w:space="0" w:color="auto"/>
            </w:tcBorders>
            <w:vAlign w:val="top"/>
          </w:tcPr>
          <w:p w14:paraId="3D00AB0C" w14:textId="111FF52E" w:rsidR="004D4AD6" w:rsidRPr="00612C15" w:rsidRDefault="004D4AD6"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12,477</w:t>
            </w:r>
          </w:p>
        </w:tc>
        <w:tc>
          <w:tcPr>
            <w:tcW w:w="731" w:type="pct"/>
            <w:tcBorders>
              <w:top w:val="single" w:sz="4" w:space="0" w:color="auto"/>
              <w:bottom w:val="single" w:sz="4" w:space="0" w:color="auto"/>
            </w:tcBorders>
            <w:vAlign w:val="top"/>
          </w:tcPr>
          <w:p w14:paraId="5DAEBA68" w14:textId="47B4F430" w:rsidR="004D4AD6" w:rsidRPr="00612C15" w:rsidRDefault="004D4AD6"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8,270</w:t>
            </w:r>
          </w:p>
        </w:tc>
      </w:tr>
    </w:tbl>
    <w:p w14:paraId="7FB44516" w14:textId="7B474F85" w:rsidR="00612C15" w:rsidRDefault="004D4AD6" w:rsidP="004D4AD6">
      <w:pPr>
        <w:pStyle w:val="BodyText"/>
        <w:rPr>
          <w:lang w:eastAsia="en-US"/>
        </w:rPr>
      </w:pPr>
      <w:r w:rsidRPr="004D4AD6">
        <w:rPr>
          <w:rStyle w:val="Bold"/>
          <w:lang w:eastAsia="en-US"/>
        </w:rPr>
        <w:t>Other expenses</w:t>
      </w:r>
      <w:r>
        <w:rPr>
          <w:lang w:eastAsia="en-US"/>
        </w:rPr>
        <w:t xml:space="preserve"> include all other miscellaneous expenses not included in operational and administrative expenses and are deemed relevant for the understanding of this financial report. They include written down assets and Community Service Obligation (CSO) adjustments for purchased land based on Valuer General Victoria (VGV) valuation. They are expensed in the period in which they are incurred.</w:t>
      </w:r>
    </w:p>
    <w:p w14:paraId="27975909" w14:textId="77777777" w:rsidR="00D661D6" w:rsidRDefault="00D661D6" w:rsidP="00D661D6">
      <w:pPr>
        <w:pStyle w:val="Heading3"/>
      </w:pPr>
      <w:bookmarkStart w:id="937" w:name="Note38"/>
      <w:bookmarkStart w:id="938" w:name="_Toc89723125"/>
      <w:bookmarkStart w:id="939" w:name="_Ref89843622"/>
      <w:bookmarkStart w:id="940" w:name="_Ref89845222"/>
      <w:bookmarkStart w:id="941" w:name="_Toc90326070"/>
      <w:bookmarkStart w:id="942" w:name="_Toc93659476"/>
      <w:r>
        <w:t xml:space="preserve">3.8 </w:t>
      </w:r>
      <w:bookmarkEnd w:id="937"/>
      <w:r>
        <w:t>Income and deferred tax</w:t>
      </w:r>
      <w:bookmarkEnd w:id="938"/>
      <w:bookmarkEnd w:id="939"/>
      <w:bookmarkEnd w:id="940"/>
      <w:bookmarkEnd w:id="941"/>
      <w:bookmarkEnd w:id="942"/>
    </w:p>
    <w:p w14:paraId="143899A7" w14:textId="7A8CC3BF" w:rsidR="00D661D6" w:rsidRDefault="00D661D6" w:rsidP="00D661D6">
      <w:pPr>
        <w:pStyle w:val="BodyText"/>
      </w:pPr>
      <w:r>
        <w:t xml:space="preserve">The Corporation is subject to the National Tax Equivalent Regime (NTER), which is administered by the Australian Taxation Office (ATO). The difference between the </w:t>
      </w:r>
      <w:r w:rsidR="00DC0A06">
        <w:t>National Tax Equivalent Regime</w:t>
      </w:r>
      <w:r>
        <w:t xml:space="preserve"> and the Commonwealth tax legislation is that the tax liability is paid to the Victorian State Government rather than the Commonwealth Government.</w:t>
      </w:r>
    </w:p>
    <w:p w14:paraId="4ED68C32" w14:textId="2697AAB1" w:rsidR="00612C15" w:rsidRDefault="00D661D6" w:rsidP="00D661D6">
      <w:pPr>
        <w:pStyle w:val="BodyText"/>
      </w:pPr>
      <w:r>
        <w:t>The income tax expense for the period is the tax payable on the current period's taxable income based on the national corporate income tax rate of 30 per cent, adjusted for current tax of prior periods and changes in deferred tax assets and liabilities attributable to temporary differences between the tax bases of assets and liabilities and their carrying amounts in the financial statements.</w:t>
      </w:r>
    </w:p>
    <w:p w14:paraId="237C1AE0" w14:textId="0959B18E" w:rsidR="00D661D6" w:rsidRDefault="00D661D6" w:rsidP="00D661D6">
      <w:pPr>
        <w:pStyle w:val="BodyText"/>
      </w:pPr>
      <w:r>
        <w:lastRenderedPageBreak/>
        <w:t>Deferred tax assets and liabilities are recognised as temporary differences at the tax rate expected to apply when the assets are recovered or liabilities settled, based on those tax rates which are enacted or substantially enacted. The relevant tax rates are applied to the cumulative amounts of deductible and taxable temporary differences when they arise in a transaction that at the time of the transaction did not affect either accounting or taxable profit or loss. Deferred tax assets are recognised as deductible temporary differences and unused tax losses only if it is probable that future taxable amounts will be available to utilise those temporary differences and losses. Current and deferred tax is recognised in the Statement of Profit or Loss, except to the extent that it relates to items recognised in Other Comprehensive Income or directly in equity. In this case, tax is also recognised in Other Comprehensive Income or directly in equity respectively.</w:t>
      </w:r>
    </w:p>
    <w:p w14:paraId="4E9DF196" w14:textId="779EB0B3" w:rsidR="00D661D6" w:rsidRDefault="00D661D6" w:rsidP="00ED07AF">
      <w:pPr>
        <w:pStyle w:val="Heading4"/>
      </w:pPr>
      <w:bookmarkStart w:id="943" w:name="Note381"/>
      <w:r>
        <w:t xml:space="preserve">3.8.1 </w:t>
      </w:r>
      <w:bookmarkEnd w:id="943"/>
      <w:r>
        <w:t>Income tax liability</w:t>
      </w:r>
    </w:p>
    <w:p w14:paraId="1DEDB18D" w14:textId="0CE1CC97" w:rsidR="00EA009D" w:rsidRPr="00EA009D" w:rsidRDefault="00EA009D" w:rsidP="00EA009D">
      <w:pPr>
        <w:pStyle w:val="Heading5"/>
        <w:rPr>
          <w:lang w:eastAsia="en-US"/>
        </w:rPr>
      </w:pPr>
      <w:r>
        <w:rPr>
          <w:lang w:eastAsia="en-US"/>
        </w:rPr>
        <w:t>Components of tax expense</w:t>
      </w:r>
    </w:p>
    <w:tbl>
      <w:tblPr>
        <w:tblStyle w:val="Style1"/>
        <w:tblW w:w="5000" w:type="pct"/>
        <w:tblLook w:val="04A0" w:firstRow="1" w:lastRow="0" w:firstColumn="1" w:lastColumn="0" w:noHBand="0" w:noVBand="1"/>
      </w:tblPr>
      <w:tblGrid>
        <w:gridCol w:w="6803"/>
        <w:gridCol w:w="1420"/>
        <w:gridCol w:w="1408"/>
      </w:tblGrid>
      <w:tr w:rsidR="00D661D6" w:rsidRPr="00ED07AF" w14:paraId="407FD182"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1C49D4AC" w14:textId="77777777" w:rsidR="00D661D6" w:rsidRPr="00ED07AF" w:rsidRDefault="00D661D6" w:rsidP="00ED07AF">
            <w:bookmarkStart w:id="944" w:name="ColumnTitle_49"/>
            <w:r w:rsidRPr="00ED07AF">
              <w:t>Item</w:t>
            </w:r>
          </w:p>
        </w:tc>
        <w:tc>
          <w:tcPr>
            <w:tcW w:w="737" w:type="pct"/>
            <w:tcBorders>
              <w:top w:val="single" w:sz="4" w:space="0" w:color="auto"/>
            </w:tcBorders>
            <w:vAlign w:val="bottom"/>
          </w:tcPr>
          <w:p w14:paraId="57708168" w14:textId="77777777" w:rsidR="00D661D6" w:rsidRPr="00ED07AF" w:rsidRDefault="00D661D6" w:rsidP="00ED07AF">
            <w:pPr>
              <w:cnfStyle w:val="100000000000" w:firstRow="1" w:lastRow="0" w:firstColumn="0" w:lastColumn="0" w:oddVBand="0" w:evenVBand="0" w:oddHBand="0" w:evenHBand="0" w:firstRowFirstColumn="0" w:firstRowLastColumn="0" w:lastRowFirstColumn="0" w:lastRowLastColumn="0"/>
            </w:pPr>
            <w:r w:rsidRPr="00ED07AF">
              <w:t>2021</w:t>
            </w:r>
          </w:p>
          <w:p w14:paraId="12215218" w14:textId="77777777" w:rsidR="00D661D6" w:rsidRPr="00ED07AF" w:rsidRDefault="00D661D6" w:rsidP="00ED07AF">
            <w:pPr>
              <w:cnfStyle w:val="100000000000" w:firstRow="1" w:lastRow="0" w:firstColumn="0" w:lastColumn="0" w:oddVBand="0" w:evenVBand="0" w:oddHBand="0" w:evenHBand="0" w:firstRowFirstColumn="0" w:firstRowLastColumn="0" w:lastRowFirstColumn="0" w:lastRowLastColumn="0"/>
            </w:pPr>
            <w:r w:rsidRPr="00ED07AF">
              <w:t>($ thousands)</w:t>
            </w:r>
          </w:p>
        </w:tc>
        <w:tc>
          <w:tcPr>
            <w:tcW w:w="731" w:type="pct"/>
            <w:tcBorders>
              <w:top w:val="single" w:sz="4" w:space="0" w:color="auto"/>
            </w:tcBorders>
            <w:vAlign w:val="bottom"/>
          </w:tcPr>
          <w:p w14:paraId="235717FF" w14:textId="77777777" w:rsidR="00D661D6" w:rsidRPr="00ED07AF" w:rsidRDefault="00D661D6" w:rsidP="00ED07AF">
            <w:pPr>
              <w:cnfStyle w:val="100000000000" w:firstRow="1" w:lastRow="0" w:firstColumn="0" w:lastColumn="0" w:oddVBand="0" w:evenVBand="0" w:oddHBand="0" w:evenHBand="0" w:firstRowFirstColumn="0" w:firstRowLastColumn="0" w:lastRowFirstColumn="0" w:lastRowLastColumn="0"/>
            </w:pPr>
            <w:r w:rsidRPr="00ED07AF">
              <w:t>2020</w:t>
            </w:r>
          </w:p>
          <w:p w14:paraId="5F404ABB" w14:textId="77777777" w:rsidR="00D661D6" w:rsidRPr="00ED07AF" w:rsidRDefault="00D661D6" w:rsidP="00ED07AF">
            <w:pPr>
              <w:cnfStyle w:val="100000000000" w:firstRow="1" w:lastRow="0" w:firstColumn="0" w:lastColumn="0" w:oddVBand="0" w:evenVBand="0" w:oddHBand="0" w:evenHBand="0" w:firstRowFirstColumn="0" w:firstRowLastColumn="0" w:lastRowFirstColumn="0" w:lastRowLastColumn="0"/>
            </w:pPr>
            <w:r w:rsidRPr="00ED07AF">
              <w:t>($ thousands)</w:t>
            </w:r>
          </w:p>
        </w:tc>
      </w:tr>
      <w:bookmarkEnd w:id="944"/>
      <w:tr w:rsidR="00D661D6" w:rsidRPr="00D84113" w14:paraId="4B48EDD7"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2953F72" w14:textId="58366372" w:rsidR="00D661D6" w:rsidRDefault="00EA009D" w:rsidP="00ED07AF">
            <w:pPr>
              <w:pStyle w:val="TableBodyText"/>
            </w:pPr>
            <w:r>
              <w:t>Current tax liability</w:t>
            </w:r>
          </w:p>
        </w:tc>
        <w:tc>
          <w:tcPr>
            <w:tcW w:w="737" w:type="pct"/>
            <w:vAlign w:val="top"/>
          </w:tcPr>
          <w:p w14:paraId="32AFBC60" w14:textId="41B75866" w:rsidR="00D661D6"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137,786</w:t>
            </w:r>
          </w:p>
        </w:tc>
        <w:tc>
          <w:tcPr>
            <w:tcW w:w="731" w:type="pct"/>
            <w:vAlign w:val="top"/>
          </w:tcPr>
          <w:p w14:paraId="1ADA7F0E" w14:textId="07FD15E2" w:rsidR="00D661D6"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141,004</w:t>
            </w:r>
          </w:p>
        </w:tc>
      </w:tr>
      <w:tr w:rsidR="00D661D6" w:rsidRPr="00D84113" w14:paraId="10CF79D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7D91BF5" w14:textId="6C06BCF5" w:rsidR="00D661D6" w:rsidRDefault="00EA009D" w:rsidP="00ED07AF">
            <w:pPr>
              <w:pStyle w:val="TableBodyText"/>
            </w:pPr>
            <w:r>
              <w:t>Deferred tax relating to temporary differences</w:t>
            </w:r>
          </w:p>
        </w:tc>
        <w:tc>
          <w:tcPr>
            <w:tcW w:w="737" w:type="pct"/>
            <w:vAlign w:val="top"/>
          </w:tcPr>
          <w:p w14:paraId="6F127173" w14:textId="47779077" w:rsidR="00D661D6"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(36,511)</w:t>
            </w:r>
          </w:p>
        </w:tc>
        <w:tc>
          <w:tcPr>
            <w:tcW w:w="731" w:type="pct"/>
            <w:vAlign w:val="top"/>
          </w:tcPr>
          <w:p w14:paraId="319734C0" w14:textId="377EB20F" w:rsidR="00D661D6"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(19,114)</w:t>
            </w:r>
          </w:p>
        </w:tc>
      </w:tr>
      <w:tr w:rsidR="00D661D6" w:rsidRPr="00D84113" w14:paraId="60633702"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2825A58" w14:textId="4DD3AC75" w:rsidR="00D661D6" w:rsidRDefault="00EA009D" w:rsidP="00ED07AF">
            <w:pPr>
              <w:pStyle w:val="TableBodyText"/>
            </w:pPr>
            <w:r>
              <w:t>Adjustments for current tax of prior periods</w:t>
            </w:r>
          </w:p>
        </w:tc>
        <w:tc>
          <w:tcPr>
            <w:tcW w:w="737" w:type="pct"/>
            <w:vAlign w:val="top"/>
          </w:tcPr>
          <w:p w14:paraId="5DD093A5" w14:textId="33FEB25D" w:rsidR="00D661D6"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(604)</w:t>
            </w:r>
          </w:p>
        </w:tc>
        <w:tc>
          <w:tcPr>
            <w:tcW w:w="731" w:type="pct"/>
            <w:vAlign w:val="top"/>
          </w:tcPr>
          <w:p w14:paraId="25BD0B32" w14:textId="72A31832" w:rsidR="00D661D6"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(294)</w:t>
            </w:r>
          </w:p>
        </w:tc>
      </w:tr>
      <w:tr w:rsidR="00D661D6" w:rsidRPr="00612C15" w14:paraId="33C882F4"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59422A42" w14:textId="11EB32EC" w:rsidR="00D661D6" w:rsidRPr="00612C15" w:rsidRDefault="00EA009D" w:rsidP="00ED07AF">
            <w:pPr>
              <w:pStyle w:val="TableBodyText"/>
              <w:rPr>
                <w:rStyle w:val="Bold"/>
              </w:rPr>
            </w:pPr>
            <w:r>
              <w:rPr>
                <w:rStyle w:val="Bold"/>
              </w:rPr>
              <w:t>Total tax expense</w:t>
            </w:r>
          </w:p>
        </w:tc>
        <w:tc>
          <w:tcPr>
            <w:tcW w:w="737" w:type="pct"/>
            <w:tcBorders>
              <w:top w:val="single" w:sz="4" w:space="0" w:color="auto"/>
              <w:bottom w:val="single" w:sz="4" w:space="0" w:color="auto"/>
            </w:tcBorders>
            <w:vAlign w:val="top"/>
          </w:tcPr>
          <w:p w14:paraId="5A5BFA58" w14:textId="6D46E688" w:rsidR="00D661D6" w:rsidRPr="00612C15" w:rsidRDefault="00EA009D"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100,671</w:t>
            </w:r>
          </w:p>
        </w:tc>
        <w:tc>
          <w:tcPr>
            <w:tcW w:w="731" w:type="pct"/>
            <w:tcBorders>
              <w:top w:val="single" w:sz="4" w:space="0" w:color="auto"/>
              <w:bottom w:val="single" w:sz="4" w:space="0" w:color="auto"/>
            </w:tcBorders>
            <w:vAlign w:val="top"/>
          </w:tcPr>
          <w:p w14:paraId="159FF00B" w14:textId="4D91CDE4" w:rsidR="00D661D6" w:rsidRPr="00612C15" w:rsidRDefault="00EA009D"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121,596</w:t>
            </w:r>
          </w:p>
        </w:tc>
      </w:tr>
    </w:tbl>
    <w:p w14:paraId="3F73A68D" w14:textId="3815FA1C" w:rsidR="00EA009D" w:rsidRPr="00EA009D" w:rsidRDefault="00EA009D" w:rsidP="00EA009D">
      <w:pPr>
        <w:pStyle w:val="Heading5"/>
        <w:rPr>
          <w:lang w:eastAsia="en-US"/>
        </w:rPr>
      </w:pPr>
      <w:r>
        <w:rPr>
          <w:lang w:eastAsia="en-US"/>
        </w:rPr>
        <w:t>Reconciliation of income tax to prima facie tax payable</w:t>
      </w:r>
    </w:p>
    <w:tbl>
      <w:tblPr>
        <w:tblStyle w:val="Style1"/>
        <w:tblW w:w="5000" w:type="pct"/>
        <w:tblLook w:val="04A0" w:firstRow="1" w:lastRow="0" w:firstColumn="1" w:lastColumn="0" w:noHBand="0" w:noVBand="1"/>
      </w:tblPr>
      <w:tblGrid>
        <w:gridCol w:w="6803"/>
        <w:gridCol w:w="1420"/>
        <w:gridCol w:w="1408"/>
      </w:tblGrid>
      <w:tr w:rsidR="00EA009D" w:rsidRPr="00ED07AF" w14:paraId="1B1CF933" w14:textId="77777777" w:rsidTr="00115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52C93E59" w14:textId="77777777" w:rsidR="00EA009D" w:rsidRPr="00ED07AF" w:rsidRDefault="00EA009D" w:rsidP="00ED07AF">
            <w:bookmarkStart w:id="945" w:name="ColumnTitle_50"/>
            <w:r w:rsidRPr="00ED07AF">
              <w:t>Item</w:t>
            </w:r>
          </w:p>
        </w:tc>
        <w:tc>
          <w:tcPr>
            <w:tcW w:w="737" w:type="pct"/>
            <w:tcBorders>
              <w:top w:val="single" w:sz="4" w:space="0" w:color="auto"/>
            </w:tcBorders>
            <w:vAlign w:val="bottom"/>
          </w:tcPr>
          <w:p w14:paraId="0D69AEFB"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2021</w:t>
            </w:r>
          </w:p>
          <w:p w14:paraId="2A6A9413"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 thousands)</w:t>
            </w:r>
          </w:p>
        </w:tc>
        <w:tc>
          <w:tcPr>
            <w:tcW w:w="731" w:type="pct"/>
            <w:tcBorders>
              <w:top w:val="single" w:sz="4" w:space="0" w:color="auto"/>
            </w:tcBorders>
            <w:vAlign w:val="bottom"/>
          </w:tcPr>
          <w:p w14:paraId="55BF5BEB"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2020</w:t>
            </w:r>
          </w:p>
          <w:p w14:paraId="293616FF"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 thousands)</w:t>
            </w:r>
          </w:p>
        </w:tc>
      </w:tr>
      <w:bookmarkEnd w:id="945"/>
      <w:tr w:rsidR="00EA009D" w:rsidRPr="00D84113" w14:paraId="15B14982" w14:textId="77777777" w:rsidTr="00EA009D">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4190D4B9" w14:textId="2B96AC83" w:rsidR="00EA009D" w:rsidRDefault="00EA009D" w:rsidP="00ED07AF">
            <w:pPr>
              <w:pStyle w:val="TableBodyText"/>
            </w:pPr>
            <w:r>
              <w:t>Profit before income tax</w:t>
            </w:r>
          </w:p>
        </w:tc>
        <w:tc>
          <w:tcPr>
            <w:tcW w:w="737" w:type="pct"/>
            <w:tcBorders>
              <w:top w:val="single" w:sz="4" w:space="0" w:color="auto"/>
              <w:bottom w:val="single" w:sz="4" w:space="0" w:color="auto"/>
            </w:tcBorders>
            <w:vAlign w:val="top"/>
          </w:tcPr>
          <w:p w14:paraId="6C3D83B6" w14:textId="57BD40F8"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292,677</w:t>
            </w:r>
          </w:p>
        </w:tc>
        <w:tc>
          <w:tcPr>
            <w:tcW w:w="731" w:type="pct"/>
            <w:tcBorders>
              <w:top w:val="single" w:sz="4" w:space="0" w:color="auto"/>
              <w:bottom w:val="single" w:sz="4" w:space="0" w:color="auto"/>
            </w:tcBorders>
            <w:vAlign w:val="top"/>
          </w:tcPr>
          <w:p w14:paraId="0EF2DA67" w14:textId="238CE552"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324,910</w:t>
            </w:r>
          </w:p>
        </w:tc>
      </w:tr>
      <w:tr w:rsidR="00EA009D" w:rsidRPr="00D84113" w14:paraId="46E2E091" w14:textId="77777777" w:rsidTr="00EA009D">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top"/>
          </w:tcPr>
          <w:p w14:paraId="4D5DBA85" w14:textId="6064B619" w:rsidR="00EA009D" w:rsidRDefault="00EA009D" w:rsidP="00ED07AF">
            <w:pPr>
              <w:pStyle w:val="TableBodyText"/>
            </w:pPr>
            <w:r>
              <w:t>Tax at the Australian tax rate of 30% (2019-20: 30%)</w:t>
            </w:r>
          </w:p>
        </w:tc>
        <w:tc>
          <w:tcPr>
            <w:tcW w:w="737" w:type="pct"/>
            <w:tcBorders>
              <w:top w:val="single" w:sz="4" w:space="0" w:color="auto"/>
            </w:tcBorders>
            <w:vAlign w:val="top"/>
          </w:tcPr>
          <w:p w14:paraId="1FC9664C" w14:textId="6EA45F02"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87,803</w:t>
            </w:r>
          </w:p>
        </w:tc>
        <w:tc>
          <w:tcPr>
            <w:tcW w:w="731" w:type="pct"/>
            <w:tcBorders>
              <w:top w:val="single" w:sz="4" w:space="0" w:color="auto"/>
            </w:tcBorders>
            <w:vAlign w:val="top"/>
          </w:tcPr>
          <w:p w14:paraId="0C662D41" w14:textId="08E8F957"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97,473</w:t>
            </w:r>
          </w:p>
        </w:tc>
      </w:tr>
      <w:tr w:rsidR="00EA009D" w:rsidRPr="00D84113" w14:paraId="547713F9"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0A864B6" w14:textId="0738A1C5" w:rsidR="00EA009D" w:rsidRDefault="00EA009D" w:rsidP="00ED07AF">
            <w:pPr>
              <w:pStyle w:val="TableBodyText"/>
            </w:pPr>
            <w:r>
              <w:t>Tax effect of amounts which are not deductible/(taxable) in calculating taxable income:</w:t>
            </w:r>
          </w:p>
        </w:tc>
        <w:tc>
          <w:tcPr>
            <w:tcW w:w="737" w:type="pct"/>
            <w:vAlign w:val="top"/>
          </w:tcPr>
          <w:p w14:paraId="672C7BAC" w14:textId="211FAE41"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3091625B" w14:textId="2CDE3691"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N/A</w:t>
            </w:r>
          </w:p>
        </w:tc>
      </w:tr>
      <w:tr w:rsidR="00EA009D" w:rsidRPr="00D84113" w14:paraId="34CDC57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AFE6259" w14:textId="058D58C1" w:rsidR="00EA009D" w:rsidRDefault="00EA009D" w:rsidP="00ED07AF">
            <w:pPr>
              <w:pStyle w:val="TableBullet"/>
              <w:spacing w:before="60" w:after="60"/>
            </w:pPr>
            <w:r>
              <w:t>Adjustment in respect of income tax of previous year</w:t>
            </w:r>
          </w:p>
        </w:tc>
        <w:tc>
          <w:tcPr>
            <w:tcW w:w="737" w:type="pct"/>
            <w:vAlign w:val="top"/>
          </w:tcPr>
          <w:p w14:paraId="5C0FB9AF" w14:textId="494DA34E"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(604)</w:t>
            </w:r>
          </w:p>
        </w:tc>
        <w:tc>
          <w:tcPr>
            <w:tcW w:w="731" w:type="pct"/>
            <w:vAlign w:val="top"/>
          </w:tcPr>
          <w:p w14:paraId="6253681B" w14:textId="67179C93"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(294)</w:t>
            </w:r>
          </w:p>
        </w:tc>
      </w:tr>
      <w:tr w:rsidR="00EA009D" w:rsidRPr="00D84113" w14:paraId="46258EB9"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57955C9" w14:textId="12F1D3A5" w:rsidR="00EA009D" w:rsidRDefault="00EA009D" w:rsidP="00ED07AF">
            <w:pPr>
              <w:pStyle w:val="TableBullet"/>
              <w:spacing w:before="60" w:after="60"/>
            </w:pPr>
            <w:r>
              <w:t>Non assessable and non deductible for income tax purposes</w:t>
            </w:r>
          </w:p>
        </w:tc>
        <w:tc>
          <w:tcPr>
            <w:tcW w:w="737" w:type="pct"/>
            <w:vAlign w:val="top"/>
          </w:tcPr>
          <w:p w14:paraId="5ADCE360" w14:textId="76D2DEAA"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8,882</w:t>
            </w:r>
          </w:p>
        </w:tc>
        <w:tc>
          <w:tcPr>
            <w:tcW w:w="731" w:type="pct"/>
            <w:vAlign w:val="top"/>
          </w:tcPr>
          <w:p w14:paraId="670BAE2B" w14:textId="1CE62ADB"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20,774</w:t>
            </w:r>
          </w:p>
        </w:tc>
      </w:tr>
      <w:tr w:rsidR="00EA009D" w:rsidRPr="00D84113" w14:paraId="3B3456B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1866ECF" w14:textId="5A8DF6B0" w:rsidR="00EA009D" w:rsidRDefault="00EA009D" w:rsidP="00ED07AF">
            <w:pPr>
              <w:pStyle w:val="TableBullet"/>
              <w:spacing w:before="60" w:after="60"/>
            </w:pPr>
            <w:r>
              <w:t>Assessable income not booked</w:t>
            </w:r>
          </w:p>
        </w:tc>
        <w:tc>
          <w:tcPr>
            <w:tcW w:w="737" w:type="pct"/>
            <w:vAlign w:val="top"/>
          </w:tcPr>
          <w:p w14:paraId="6D55C54D" w14:textId="5365C78A"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4,590</w:t>
            </w:r>
          </w:p>
        </w:tc>
        <w:tc>
          <w:tcPr>
            <w:tcW w:w="731" w:type="pct"/>
            <w:vAlign w:val="top"/>
          </w:tcPr>
          <w:p w14:paraId="0E7F0D77" w14:textId="63D9C69B"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3,643</w:t>
            </w:r>
          </w:p>
        </w:tc>
      </w:tr>
      <w:tr w:rsidR="00EA009D" w:rsidRPr="00612C15" w14:paraId="51986405"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1432583C" w14:textId="30DFAFD0" w:rsidR="00EA009D" w:rsidRPr="00612C15" w:rsidRDefault="00EA009D" w:rsidP="00ED07AF">
            <w:pPr>
              <w:pStyle w:val="TableBodyText"/>
              <w:rPr>
                <w:rStyle w:val="Bold"/>
              </w:rPr>
            </w:pPr>
            <w:r>
              <w:rPr>
                <w:rStyle w:val="Bold"/>
              </w:rPr>
              <w:t>Income tax as reported in the Statement of Profit or Loss and Other Comprehensive Income</w:t>
            </w:r>
          </w:p>
        </w:tc>
        <w:tc>
          <w:tcPr>
            <w:tcW w:w="737" w:type="pct"/>
            <w:tcBorders>
              <w:top w:val="single" w:sz="4" w:space="0" w:color="auto"/>
              <w:bottom w:val="single" w:sz="4" w:space="0" w:color="auto"/>
            </w:tcBorders>
            <w:vAlign w:val="top"/>
          </w:tcPr>
          <w:p w14:paraId="6A6FA2FA" w14:textId="4D5A594F" w:rsidR="00EA009D" w:rsidRPr="00612C15" w:rsidRDefault="00EA009D"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100,671</w:t>
            </w:r>
          </w:p>
        </w:tc>
        <w:tc>
          <w:tcPr>
            <w:tcW w:w="731" w:type="pct"/>
            <w:tcBorders>
              <w:top w:val="single" w:sz="4" w:space="0" w:color="auto"/>
              <w:bottom w:val="single" w:sz="4" w:space="0" w:color="auto"/>
            </w:tcBorders>
            <w:vAlign w:val="top"/>
          </w:tcPr>
          <w:p w14:paraId="57CC3EF7" w14:textId="77777777" w:rsidR="00EA009D" w:rsidRPr="00612C15" w:rsidRDefault="00EA009D"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121,596</w:t>
            </w:r>
          </w:p>
        </w:tc>
      </w:tr>
    </w:tbl>
    <w:p w14:paraId="1BE4BEF3" w14:textId="4B2BBB3B" w:rsidR="00EA009D" w:rsidRPr="00EA009D" w:rsidRDefault="00EA009D" w:rsidP="00EA009D">
      <w:pPr>
        <w:pStyle w:val="Heading5"/>
        <w:rPr>
          <w:lang w:eastAsia="en-US"/>
        </w:rPr>
      </w:pPr>
      <w:r>
        <w:rPr>
          <w:lang w:eastAsia="en-US"/>
        </w:rPr>
        <w:t>Income tax liability</w:t>
      </w:r>
    </w:p>
    <w:tbl>
      <w:tblPr>
        <w:tblStyle w:val="Style1"/>
        <w:tblW w:w="5000" w:type="pct"/>
        <w:tblLook w:val="04A0" w:firstRow="1" w:lastRow="0" w:firstColumn="1" w:lastColumn="0" w:noHBand="0" w:noVBand="1"/>
      </w:tblPr>
      <w:tblGrid>
        <w:gridCol w:w="6803"/>
        <w:gridCol w:w="1420"/>
        <w:gridCol w:w="1408"/>
      </w:tblGrid>
      <w:tr w:rsidR="00EA009D" w:rsidRPr="00ED07AF" w14:paraId="5FF0BBF9"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317E2853" w14:textId="77777777" w:rsidR="00EA009D" w:rsidRPr="00ED07AF" w:rsidRDefault="00EA009D" w:rsidP="00ED07AF">
            <w:bookmarkStart w:id="946" w:name="ColumnTitle_51"/>
            <w:r w:rsidRPr="00ED07AF">
              <w:t>Item</w:t>
            </w:r>
          </w:p>
        </w:tc>
        <w:tc>
          <w:tcPr>
            <w:tcW w:w="737" w:type="pct"/>
            <w:tcBorders>
              <w:top w:val="single" w:sz="4" w:space="0" w:color="auto"/>
            </w:tcBorders>
            <w:vAlign w:val="bottom"/>
          </w:tcPr>
          <w:p w14:paraId="4FDDCCE5"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2021</w:t>
            </w:r>
          </w:p>
          <w:p w14:paraId="0B0A57BE"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 thousands)</w:t>
            </w:r>
          </w:p>
        </w:tc>
        <w:tc>
          <w:tcPr>
            <w:tcW w:w="731" w:type="pct"/>
            <w:tcBorders>
              <w:top w:val="single" w:sz="4" w:space="0" w:color="auto"/>
            </w:tcBorders>
            <w:vAlign w:val="bottom"/>
          </w:tcPr>
          <w:p w14:paraId="26D4D2BE"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2020</w:t>
            </w:r>
          </w:p>
          <w:p w14:paraId="4DA577C6"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 thousands)</w:t>
            </w:r>
          </w:p>
        </w:tc>
      </w:tr>
      <w:bookmarkEnd w:id="946"/>
      <w:tr w:rsidR="00EA009D" w:rsidRPr="00D84113" w14:paraId="1C5B1AEB"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1681F84" w14:textId="785C6133" w:rsidR="00EA009D" w:rsidRDefault="00EA009D" w:rsidP="00ED07AF">
            <w:pPr>
              <w:pStyle w:val="TableBodyText"/>
            </w:pPr>
            <w:r>
              <w:t>Current tax liability</w:t>
            </w:r>
          </w:p>
        </w:tc>
        <w:tc>
          <w:tcPr>
            <w:tcW w:w="737" w:type="pct"/>
            <w:vAlign w:val="top"/>
          </w:tcPr>
          <w:p w14:paraId="028DDF8D" w14:textId="3102CCE0"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19,469</w:t>
            </w:r>
          </w:p>
        </w:tc>
        <w:tc>
          <w:tcPr>
            <w:tcW w:w="731" w:type="pct"/>
            <w:vAlign w:val="top"/>
          </w:tcPr>
          <w:p w14:paraId="17C5DA79" w14:textId="31F91123"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12,824</w:t>
            </w:r>
          </w:p>
        </w:tc>
      </w:tr>
      <w:tr w:rsidR="00EA009D" w:rsidRPr="00612C15" w14:paraId="2FE8F040"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57306785" w14:textId="36DE64E6" w:rsidR="00EA009D" w:rsidRPr="00612C15" w:rsidRDefault="00EA009D" w:rsidP="00ED07AF">
            <w:pPr>
              <w:pStyle w:val="TableBodyText"/>
              <w:rPr>
                <w:rStyle w:val="Bold"/>
              </w:rPr>
            </w:pPr>
            <w:r>
              <w:rPr>
                <w:rStyle w:val="Bold"/>
              </w:rPr>
              <w:t>Total income tax liability</w:t>
            </w:r>
          </w:p>
        </w:tc>
        <w:tc>
          <w:tcPr>
            <w:tcW w:w="737" w:type="pct"/>
            <w:tcBorders>
              <w:top w:val="single" w:sz="4" w:space="0" w:color="auto"/>
              <w:bottom w:val="single" w:sz="4" w:space="0" w:color="auto"/>
            </w:tcBorders>
            <w:vAlign w:val="top"/>
          </w:tcPr>
          <w:p w14:paraId="7700430A" w14:textId="3B7292BA" w:rsidR="00EA009D" w:rsidRPr="00612C15" w:rsidRDefault="00EA009D"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19,469</w:t>
            </w:r>
          </w:p>
        </w:tc>
        <w:tc>
          <w:tcPr>
            <w:tcW w:w="731" w:type="pct"/>
            <w:tcBorders>
              <w:top w:val="single" w:sz="4" w:space="0" w:color="auto"/>
              <w:bottom w:val="single" w:sz="4" w:space="0" w:color="auto"/>
            </w:tcBorders>
            <w:vAlign w:val="top"/>
          </w:tcPr>
          <w:p w14:paraId="6018BBC9" w14:textId="5EA12B63" w:rsidR="00EA009D" w:rsidRPr="00612C15" w:rsidRDefault="00EA009D"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12,824</w:t>
            </w:r>
          </w:p>
        </w:tc>
      </w:tr>
    </w:tbl>
    <w:p w14:paraId="1AEE330A" w14:textId="49A273EC" w:rsidR="00EA009D" w:rsidRPr="00EA009D" w:rsidRDefault="00EA009D" w:rsidP="002B25DA">
      <w:pPr>
        <w:pStyle w:val="Heading5"/>
        <w:keepNext/>
        <w:rPr>
          <w:lang w:eastAsia="en-US"/>
        </w:rPr>
      </w:pPr>
      <w:r>
        <w:rPr>
          <w:lang w:eastAsia="en-US"/>
        </w:rPr>
        <w:lastRenderedPageBreak/>
        <w:t>Income tax recognised in other comprehensive income</w:t>
      </w:r>
    </w:p>
    <w:tbl>
      <w:tblPr>
        <w:tblStyle w:val="Style1"/>
        <w:tblW w:w="5000" w:type="pct"/>
        <w:tblLook w:val="04A0" w:firstRow="1" w:lastRow="0" w:firstColumn="1" w:lastColumn="0" w:noHBand="0" w:noVBand="1"/>
      </w:tblPr>
      <w:tblGrid>
        <w:gridCol w:w="6803"/>
        <w:gridCol w:w="1420"/>
        <w:gridCol w:w="1408"/>
      </w:tblGrid>
      <w:tr w:rsidR="00EA009D" w:rsidRPr="00ED07AF" w14:paraId="68C0D5B0"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3F28D7EE" w14:textId="77777777" w:rsidR="00EA009D" w:rsidRPr="00ED07AF" w:rsidRDefault="00EA009D" w:rsidP="00ED07AF">
            <w:bookmarkStart w:id="947" w:name="ColumnTitle_52"/>
            <w:r w:rsidRPr="00ED07AF">
              <w:t>Item</w:t>
            </w:r>
          </w:p>
        </w:tc>
        <w:tc>
          <w:tcPr>
            <w:tcW w:w="737" w:type="pct"/>
            <w:tcBorders>
              <w:top w:val="single" w:sz="4" w:space="0" w:color="auto"/>
            </w:tcBorders>
            <w:vAlign w:val="bottom"/>
          </w:tcPr>
          <w:p w14:paraId="1CF0A260"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2021</w:t>
            </w:r>
          </w:p>
          <w:p w14:paraId="5691F957"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 thousands)</w:t>
            </w:r>
          </w:p>
        </w:tc>
        <w:tc>
          <w:tcPr>
            <w:tcW w:w="731" w:type="pct"/>
            <w:tcBorders>
              <w:top w:val="single" w:sz="4" w:space="0" w:color="auto"/>
            </w:tcBorders>
            <w:vAlign w:val="bottom"/>
          </w:tcPr>
          <w:p w14:paraId="39176ED9"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2020</w:t>
            </w:r>
          </w:p>
          <w:p w14:paraId="5304586B" w14:textId="77777777" w:rsidR="00EA009D" w:rsidRPr="00ED07AF" w:rsidRDefault="00EA009D" w:rsidP="00ED07AF">
            <w:pPr>
              <w:cnfStyle w:val="100000000000" w:firstRow="1" w:lastRow="0" w:firstColumn="0" w:lastColumn="0" w:oddVBand="0" w:evenVBand="0" w:oddHBand="0" w:evenHBand="0" w:firstRowFirstColumn="0" w:firstRowLastColumn="0" w:lastRowFirstColumn="0" w:lastRowLastColumn="0"/>
            </w:pPr>
            <w:r w:rsidRPr="00ED07AF">
              <w:t>($ thousands)</w:t>
            </w:r>
          </w:p>
        </w:tc>
      </w:tr>
      <w:bookmarkEnd w:id="947"/>
      <w:tr w:rsidR="00EA009D" w:rsidRPr="00D84113" w14:paraId="436DB99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8D2B274" w14:textId="22DA248C" w:rsidR="00EA009D" w:rsidRPr="00C05457" w:rsidRDefault="00EA009D" w:rsidP="00ED07AF">
            <w:pPr>
              <w:pStyle w:val="TableBodyText"/>
              <w:rPr>
                <w:rStyle w:val="Bold"/>
              </w:rPr>
            </w:pPr>
            <w:r w:rsidRPr="00C05457">
              <w:rPr>
                <w:rStyle w:val="Bold"/>
              </w:rPr>
              <w:t>Deferred tax arising on items recognised in other comprehensive income</w:t>
            </w:r>
          </w:p>
        </w:tc>
        <w:tc>
          <w:tcPr>
            <w:tcW w:w="737" w:type="pct"/>
            <w:vAlign w:val="top"/>
          </w:tcPr>
          <w:p w14:paraId="5614ED19" w14:textId="076C8E46" w:rsidR="00EA009D"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7BD8B391" w14:textId="01EE1E16" w:rsidR="00EA009D"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N/A</w:t>
            </w:r>
          </w:p>
        </w:tc>
      </w:tr>
      <w:tr w:rsidR="00EA009D" w:rsidRPr="00D84113" w14:paraId="505FF2A8"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16AF651" w14:textId="5369976E" w:rsidR="00EA009D" w:rsidRDefault="00EA009D" w:rsidP="00ED07AF">
            <w:pPr>
              <w:pStyle w:val="TableBodyText"/>
            </w:pPr>
            <w:r>
              <w:t>Increase in deferred tax on land &amp; buildings revalued</w:t>
            </w:r>
          </w:p>
        </w:tc>
        <w:tc>
          <w:tcPr>
            <w:tcW w:w="737" w:type="pct"/>
            <w:vAlign w:val="top"/>
          </w:tcPr>
          <w:p w14:paraId="6F7841A3" w14:textId="446763AA"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62,884</w:t>
            </w:r>
          </w:p>
        </w:tc>
        <w:tc>
          <w:tcPr>
            <w:tcW w:w="731" w:type="pct"/>
            <w:vAlign w:val="top"/>
          </w:tcPr>
          <w:p w14:paraId="737AFD9A" w14:textId="3E098286"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N/A</w:t>
            </w:r>
          </w:p>
        </w:tc>
      </w:tr>
      <w:tr w:rsidR="00EA009D" w:rsidRPr="00D84113" w14:paraId="2870DA72"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8A2CD45" w14:textId="3B52774D" w:rsidR="00EA009D" w:rsidRDefault="00EA009D" w:rsidP="00ED07AF">
            <w:pPr>
              <w:pStyle w:val="TableBodyText"/>
            </w:pPr>
            <w:r>
              <w:t>Reversal of deferred tax on disposal of land previously revalued</w:t>
            </w:r>
          </w:p>
        </w:tc>
        <w:tc>
          <w:tcPr>
            <w:tcW w:w="737" w:type="pct"/>
            <w:vAlign w:val="top"/>
          </w:tcPr>
          <w:p w14:paraId="68A979A6" w14:textId="2AEFC984"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(39)</w:t>
            </w:r>
          </w:p>
        </w:tc>
        <w:tc>
          <w:tcPr>
            <w:tcW w:w="731" w:type="pct"/>
            <w:vAlign w:val="top"/>
          </w:tcPr>
          <w:p w14:paraId="48ACCE3D" w14:textId="7E8835DA"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(974)</w:t>
            </w:r>
          </w:p>
        </w:tc>
      </w:tr>
      <w:tr w:rsidR="00EA009D" w:rsidRPr="00D84113" w14:paraId="33E1A8CB"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3C5BC6E" w14:textId="23BDA33A" w:rsidR="00EA009D" w:rsidRDefault="00EA009D" w:rsidP="00ED07AF">
            <w:pPr>
              <w:pStyle w:val="TableBodyText"/>
            </w:pPr>
            <w:r>
              <w:t>Increase in deferred tax on infrastructure assets revalued</w:t>
            </w:r>
          </w:p>
        </w:tc>
        <w:tc>
          <w:tcPr>
            <w:tcW w:w="737" w:type="pct"/>
            <w:vAlign w:val="top"/>
          </w:tcPr>
          <w:p w14:paraId="13DAB2F6" w14:textId="7D3F39A3"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27,173</w:t>
            </w:r>
          </w:p>
        </w:tc>
        <w:tc>
          <w:tcPr>
            <w:tcW w:w="731" w:type="pct"/>
            <w:vAlign w:val="top"/>
          </w:tcPr>
          <w:p w14:paraId="48104987" w14:textId="67D77D89"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N/A</w:t>
            </w:r>
          </w:p>
        </w:tc>
      </w:tr>
      <w:tr w:rsidR="00EA009D" w:rsidRPr="00D84113" w14:paraId="361DF6A5"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4B448A3" w14:textId="25B8CD6E" w:rsidR="00EA009D" w:rsidRDefault="00EA009D" w:rsidP="00ED07AF">
            <w:pPr>
              <w:pStyle w:val="TableBodyText"/>
            </w:pPr>
            <w:r>
              <w:t>Actuarial gains (losses) on the defined benefit plan</w:t>
            </w:r>
          </w:p>
        </w:tc>
        <w:tc>
          <w:tcPr>
            <w:tcW w:w="737" w:type="pct"/>
            <w:vAlign w:val="top"/>
          </w:tcPr>
          <w:p w14:paraId="5353659D" w14:textId="3293FB0F"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3,084</w:t>
            </w:r>
          </w:p>
        </w:tc>
        <w:tc>
          <w:tcPr>
            <w:tcW w:w="731" w:type="pct"/>
            <w:vAlign w:val="top"/>
          </w:tcPr>
          <w:p w14:paraId="416E0E0E" w14:textId="2B7EB6DD" w:rsidR="00EA009D" w:rsidRDefault="00EA009D" w:rsidP="00ED07AF">
            <w:pPr>
              <w:pStyle w:val="TableBodyText"/>
              <w:cnfStyle w:val="000000000000" w:firstRow="0" w:lastRow="0" w:firstColumn="0" w:lastColumn="0" w:oddVBand="0" w:evenVBand="0" w:oddHBand="0" w:evenHBand="0" w:firstRowFirstColumn="0" w:firstRowLastColumn="0" w:lastRowFirstColumn="0" w:lastRowLastColumn="0"/>
            </w:pPr>
            <w:r>
              <w:t>(334)</w:t>
            </w:r>
          </w:p>
        </w:tc>
      </w:tr>
      <w:tr w:rsidR="00EA009D" w:rsidRPr="00612C15" w14:paraId="3AD3BC6E"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637494C3" w14:textId="21CE1FA6" w:rsidR="00EA009D" w:rsidRPr="00612C15" w:rsidRDefault="00C05457" w:rsidP="00ED07AF">
            <w:pPr>
              <w:pStyle w:val="TableBodyText"/>
              <w:rPr>
                <w:rStyle w:val="Bold"/>
              </w:rPr>
            </w:pPr>
            <w:r>
              <w:rPr>
                <w:rStyle w:val="Bold"/>
              </w:rPr>
              <w:t>Total income tax recognised in other comprehensive income</w:t>
            </w:r>
          </w:p>
        </w:tc>
        <w:tc>
          <w:tcPr>
            <w:tcW w:w="737" w:type="pct"/>
            <w:tcBorders>
              <w:top w:val="single" w:sz="4" w:space="0" w:color="auto"/>
              <w:bottom w:val="single" w:sz="4" w:space="0" w:color="auto"/>
            </w:tcBorders>
            <w:vAlign w:val="top"/>
          </w:tcPr>
          <w:p w14:paraId="0A7BF9AD" w14:textId="3609527F" w:rsidR="00EA009D" w:rsidRPr="00612C15"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93,102</w:t>
            </w:r>
          </w:p>
        </w:tc>
        <w:tc>
          <w:tcPr>
            <w:tcW w:w="731" w:type="pct"/>
            <w:tcBorders>
              <w:top w:val="single" w:sz="4" w:space="0" w:color="auto"/>
              <w:bottom w:val="single" w:sz="4" w:space="0" w:color="auto"/>
            </w:tcBorders>
            <w:vAlign w:val="top"/>
          </w:tcPr>
          <w:p w14:paraId="5126067D" w14:textId="2675964C" w:rsidR="00EA009D" w:rsidRPr="00612C15"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(1,308)</w:t>
            </w:r>
          </w:p>
        </w:tc>
      </w:tr>
    </w:tbl>
    <w:p w14:paraId="717D25AB" w14:textId="63B9A672" w:rsidR="00C05457" w:rsidRPr="00EA009D" w:rsidRDefault="00C05457" w:rsidP="00C05457">
      <w:pPr>
        <w:pStyle w:val="Heading4"/>
      </w:pPr>
      <w:bookmarkStart w:id="948" w:name="Note382"/>
      <w:r>
        <w:t xml:space="preserve">3.8.2 </w:t>
      </w:r>
      <w:bookmarkEnd w:id="948"/>
      <w:r>
        <w:t>Net deferred tax liabilities – non-current</w:t>
      </w:r>
    </w:p>
    <w:tbl>
      <w:tblPr>
        <w:tblStyle w:val="Style1"/>
        <w:tblW w:w="5000" w:type="pct"/>
        <w:tblLook w:val="04A0" w:firstRow="1" w:lastRow="0" w:firstColumn="1" w:lastColumn="0" w:noHBand="0" w:noVBand="1"/>
      </w:tblPr>
      <w:tblGrid>
        <w:gridCol w:w="6803"/>
        <w:gridCol w:w="1420"/>
        <w:gridCol w:w="1408"/>
      </w:tblGrid>
      <w:tr w:rsidR="00C05457" w:rsidRPr="00ED07AF" w14:paraId="17ABC1F6"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691B0136" w14:textId="77777777" w:rsidR="00C05457" w:rsidRPr="00ED07AF" w:rsidRDefault="00C05457" w:rsidP="00ED07AF">
            <w:bookmarkStart w:id="949" w:name="ColumnTitle_53"/>
            <w:r w:rsidRPr="00ED07AF">
              <w:t>Item</w:t>
            </w:r>
          </w:p>
        </w:tc>
        <w:tc>
          <w:tcPr>
            <w:tcW w:w="737" w:type="pct"/>
            <w:tcBorders>
              <w:top w:val="single" w:sz="4" w:space="0" w:color="auto"/>
            </w:tcBorders>
            <w:vAlign w:val="bottom"/>
          </w:tcPr>
          <w:p w14:paraId="4C0A6AA1" w14:textId="77777777" w:rsidR="00C05457" w:rsidRPr="00ED07AF" w:rsidRDefault="00C05457" w:rsidP="00ED07AF">
            <w:pPr>
              <w:cnfStyle w:val="100000000000" w:firstRow="1" w:lastRow="0" w:firstColumn="0" w:lastColumn="0" w:oddVBand="0" w:evenVBand="0" w:oddHBand="0" w:evenHBand="0" w:firstRowFirstColumn="0" w:firstRowLastColumn="0" w:lastRowFirstColumn="0" w:lastRowLastColumn="0"/>
            </w:pPr>
            <w:r w:rsidRPr="00ED07AF">
              <w:t>2021</w:t>
            </w:r>
          </w:p>
          <w:p w14:paraId="46A97F8D" w14:textId="77777777" w:rsidR="00C05457" w:rsidRPr="00ED07AF" w:rsidRDefault="00C05457" w:rsidP="00ED07AF">
            <w:pPr>
              <w:cnfStyle w:val="100000000000" w:firstRow="1" w:lastRow="0" w:firstColumn="0" w:lastColumn="0" w:oddVBand="0" w:evenVBand="0" w:oddHBand="0" w:evenHBand="0" w:firstRowFirstColumn="0" w:firstRowLastColumn="0" w:lastRowFirstColumn="0" w:lastRowLastColumn="0"/>
            </w:pPr>
            <w:r w:rsidRPr="00ED07AF">
              <w:t>($ thousands)</w:t>
            </w:r>
          </w:p>
        </w:tc>
        <w:tc>
          <w:tcPr>
            <w:tcW w:w="731" w:type="pct"/>
            <w:tcBorders>
              <w:top w:val="single" w:sz="4" w:space="0" w:color="auto"/>
            </w:tcBorders>
            <w:vAlign w:val="bottom"/>
          </w:tcPr>
          <w:p w14:paraId="6F8F0EA0" w14:textId="77777777" w:rsidR="00C05457" w:rsidRPr="00ED07AF" w:rsidRDefault="00C05457" w:rsidP="00ED07AF">
            <w:pPr>
              <w:cnfStyle w:val="100000000000" w:firstRow="1" w:lastRow="0" w:firstColumn="0" w:lastColumn="0" w:oddVBand="0" w:evenVBand="0" w:oddHBand="0" w:evenHBand="0" w:firstRowFirstColumn="0" w:firstRowLastColumn="0" w:lastRowFirstColumn="0" w:lastRowLastColumn="0"/>
            </w:pPr>
            <w:r w:rsidRPr="00ED07AF">
              <w:t>2020</w:t>
            </w:r>
          </w:p>
          <w:p w14:paraId="5E30F820" w14:textId="77777777" w:rsidR="00C05457" w:rsidRPr="00ED07AF" w:rsidRDefault="00C05457" w:rsidP="00ED07AF">
            <w:pPr>
              <w:cnfStyle w:val="100000000000" w:firstRow="1" w:lastRow="0" w:firstColumn="0" w:lastColumn="0" w:oddVBand="0" w:evenVBand="0" w:oddHBand="0" w:evenHBand="0" w:firstRowFirstColumn="0" w:firstRowLastColumn="0" w:lastRowFirstColumn="0" w:lastRowLastColumn="0"/>
            </w:pPr>
            <w:r w:rsidRPr="00ED07AF">
              <w:t>($ thousands)</w:t>
            </w:r>
          </w:p>
        </w:tc>
      </w:tr>
      <w:bookmarkEnd w:id="949"/>
      <w:tr w:rsidR="00C05457" w:rsidRPr="00D84113" w14:paraId="2CD757FE"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33CC825" w14:textId="539775C9" w:rsidR="00C05457" w:rsidRPr="00C05457" w:rsidRDefault="00C05457" w:rsidP="00ED07AF">
            <w:pPr>
              <w:pStyle w:val="TableBodyText"/>
              <w:rPr>
                <w:rStyle w:val="Bold"/>
              </w:rPr>
            </w:pPr>
            <w:r>
              <w:rPr>
                <w:rStyle w:val="Bold"/>
              </w:rPr>
              <w:t>Amounts recognised in Profit or Loss</w:t>
            </w:r>
          </w:p>
        </w:tc>
        <w:tc>
          <w:tcPr>
            <w:tcW w:w="737" w:type="pct"/>
            <w:vAlign w:val="top"/>
          </w:tcPr>
          <w:p w14:paraId="3DD6FBBF" w14:textId="77777777"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7B84B316" w14:textId="77777777"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N/A</w:t>
            </w:r>
          </w:p>
        </w:tc>
      </w:tr>
      <w:tr w:rsidR="00C05457" w:rsidRPr="00D84113" w14:paraId="395A8056"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C576EA2" w14:textId="70E7E5CB" w:rsidR="00C05457" w:rsidRDefault="00C05457" w:rsidP="00ED07AF">
            <w:pPr>
              <w:pStyle w:val="TableBodyText"/>
            </w:pPr>
            <w:r>
              <w:t>Property, plant and equipment</w:t>
            </w:r>
          </w:p>
        </w:tc>
        <w:tc>
          <w:tcPr>
            <w:tcW w:w="737" w:type="pct"/>
            <w:vAlign w:val="top"/>
          </w:tcPr>
          <w:p w14:paraId="213C2202" w14:textId="7178FBB9"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167,485</w:t>
            </w:r>
          </w:p>
        </w:tc>
        <w:tc>
          <w:tcPr>
            <w:tcW w:w="731" w:type="pct"/>
            <w:vAlign w:val="top"/>
          </w:tcPr>
          <w:p w14:paraId="1AF16272" w14:textId="5E5C95D4"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196,680</w:t>
            </w:r>
          </w:p>
        </w:tc>
      </w:tr>
      <w:tr w:rsidR="00C05457" w:rsidRPr="00D84113" w14:paraId="2C5366DB"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FFA43AC" w14:textId="2D50A994" w:rsidR="00C05457" w:rsidRDefault="00C05457" w:rsidP="00ED07AF">
            <w:pPr>
              <w:pStyle w:val="TableBodyText"/>
            </w:pPr>
            <w:r>
              <w:t>Employee entitlements</w:t>
            </w:r>
          </w:p>
        </w:tc>
        <w:tc>
          <w:tcPr>
            <w:tcW w:w="737" w:type="pct"/>
            <w:vAlign w:val="top"/>
          </w:tcPr>
          <w:p w14:paraId="1F0314EC" w14:textId="5FAF0586"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(12,805)</w:t>
            </w:r>
          </w:p>
        </w:tc>
        <w:tc>
          <w:tcPr>
            <w:tcW w:w="731" w:type="pct"/>
            <w:vAlign w:val="top"/>
          </w:tcPr>
          <w:p w14:paraId="544669BD" w14:textId="6E3AB1B4"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(12,165)</w:t>
            </w:r>
          </w:p>
        </w:tc>
      </w:tr>
      <w:tr w:rsidR="00C05457" w:rsidRPr="00D84113" w14:paraId="27341C5D"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69DA851" w14:textId="50CB6324" w:rsidR="00C05457" w:rsidRDefault="00C05457" w:rsidP="00ED07AF">
            <w:pPr>
              <w:pStyle w:val="TableBodyText"/>
            </w:pPr>
            <w:r>
              <w:t>Developer contributions</w:t>
            </w:r>
          </w:p>
        </w:tc>
        <w:tc>
          <w:tcPr>
            <w:tcW w:w="737" w:type="pct"/>
            <w:vAlign w:val="top"/>
          </w:tcPr>
          <w:p w14:paraId="394EED37" w14:textId="0E13EF00"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277</w:t>
            </w:r>
          </w:p>
        </w:tc>
        <w:tc>
          <w:tcPr>
            <w:tcW w:w="731" w:type="pct"/>
            <w:vAlign w:val="top"/>
          </w:tcPr>
          <w:p w14:paraId="23EF1CE4" w14:textId="4017BA95"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619</w:t>
            </w:r>
          </w:p>
        </w:tc>
      </w:tr>
      <w:tr w:rsidR="00C05457" w:rsidRPr="00D84113" w14:paraId="574F2511"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8E1A48D" w14:textId="435A8357" w:rsidR="00C05457" w:rsidRDefault="00C05457" w:rsidP="00ED07AF">
            <w:pPr>
              <w:pStyle w:val="TableBodyText"/>
            </w:pPr>
            <w:r>
              <w:t>Provisions</w:t>
            </w:r>
          </w:p>
        </w:tc>
        <w:tc>
          <w:tcPr>
            <w:tcW w:w="737" w:type="pct"/>
            <w:vAlign w:val="top"/>
          </w:tcPr>
          <w:p w14:paraId="73726B18" w14:textId="6E829F95"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(2,861)</w:t>
            </w:r>
          </w:p>
        </w:tc>
        <w:tc>
          <w:tcPr>
            <w:tcW w:w="731" w:type="pct"/>
            <w:vAlign w:val="top"/>
          </w:tcPr>
          <w:p w14:paraId="07836891" w14:textId="56F11AB3"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(2,220)</w:t>
            </w:r>
          </w:p>
        </w:tc>
      </w:tr>
      <w:tr w:rsidR="00C05457" w:rsidRPr="00D84113" w14:paraId="2EAFFF72"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96BF2FF" w14:textId="70ED2626" w:rsidR="00C05457" w:rsidRDefault="00C05457" w:rsidP="00ED07AF">
            <w:pPr>
              <w:pStyle w:val="TableBodyText"/>
            </w:pPr>
            <w:r>
              <w:t>Revenue in advance</w:t>
            </w:r>
          </w:p>
        </w:tc>
        <w:tc>
          <w:tcPr>
            <w:tcW w:w="737" w:type="pct"/>
            <w:vAlign w:val="top"/>
          </w:tcPr>
          <w:p w14:paraId="5D55DE87" w14:textId="4EC01C7D"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(22,545)</w:t>
            </w:r>
          </w:p>
        </w:tc>
        <w:tc>
          <w:tcPr>
            <w:tcW w:w="731" w:type="pct"/>
            <w:vAlign w:val="top"/>
          </w:tcPr>
          <w:p w14:paraId="4246BC3B" w14:textId="7ABD0A0B"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(20,086)</w:t>
            </w:r>
          </w:p>
        </w:tc>
      </w:tr>
      <w:tr w:rsidR="00C05457" w:rsidRPr="00D84113" w14:paraId="330746BC"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AF79BA1" w14:textId="7CE6B9DF" w:rsidR="00C05457" w:rsidRDefault="00DC0A06" w:rsidP="00ED07AF">
            <w:pPr>
              <w:pStyle w:val="TableBodyText"/>
            </w:pPr>
            <w:r>
              <w:t>Victorian Desalination Plant</w:t>
            </w:r>
            <w:r w:rsidR="00C05457">
              <w:t xml:space="preserve"> service concession liability</w:t>
            </w:r>
          </w:p>
        </w:tc>
        <w:tc>
          <w:tcPr>
            <w:tcW w:w="737" w:type="pct"/>
            <w:vAlign w:val="top"/>
          </w:tcPr>
          <w:p w14:paraId="781A4A13" w14:textId="103BBCD9"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93,490</w:t>
            </w:r>
          </w:p>
        </w:tc>
        <w:tc>
          <w:tcPr>
            <w:tcW w:w="731" w:type="pct"/>
            <w:vAlign w:val="top"/>
          </w:tcPr>
          <w:p w14:paraId="2398ABE5" w14:textId="5EDE9EF2"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95,919</w:t>
            </w:r>
          </w:p>
        </w:tc>
      </w:tr>
      <w:tr w:rsidR="00C05457" w:rsidRPr="00D84113" w14:paraId="42C54951"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3F77DE1" w14:textId="6729D8F2" w:rsidR="00C05457" w:rsidRDefault="00C05457" w:rsidP="00ED07AF">
            <w:pPr>
              <w:pStyle w:val="TableBodyText"/>
            </w:pPr>
            <w:r>
              <w:t>Other</w:t>
            </w:r>
          </w:p>
        </w:tc>
        <w:tc>
          <w:tcPr>
            <w:tcW w:w="737" w:type="pct"/>
            <w:vAlign w:val="top"/>
          </w:tcPr>
          <w:p w14:paraId="68A4E898" w14:textId="23181E17"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(6,414)</w:t>
            </w:r>
          </w:p>
        </w:tc>
        <w:tc>
          <w:tcPr>
            <w:tcW w:w="731" w:type="pct"/>
            <w:vAlign w:val="top"/>
          </w:tcPr>
          <w:p w14:paraId="197BF07A" w14:textId="5023A2C9"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(5,532)</w:t>
            </w:r>
          </w:p>
        </w:tc>
      </w:tr>
      <w:tr w:rsidR="00C05457" w:rsidRPr="00612C15" w14:paraId="750964C1"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5763C3AB" w14:textId="1039584E" w:rsidR="00C05457" w:rsidRPr="00612C15" w:rsidRDefault="00C05457" w:rsidP="00ED07AF">
            <w:pPr>
              <w:pStyle w:val="TableBodyText"/>
              <w:rPr>
                <w:rStyle w:val="Bold"/>
              </w:rPr>
            </w:pPr>
            <w:r>
              <w:rPr>
                <w:rStyle w:val="Bold"/>
              </w:rPr>
              <w:t>Total recognised in Profit or Loss</w:t>
            </w:r>
          </w:p>
        </w:tc>
        <w:tc>
          <w:tcPr>
            <w:tcW w:w="737" w:type="pct"/>
            <w:tcBorders>
              <w:top w:val="single" w:sz="4" w:space="0" w:color="auto"/>
              <w:bottom w:val="single" w:sz="4" w:space="0" w:color="auto"/>
            </w:tcBorders>
            <w:vAlign w:val="top"/>
          </w:tcPr>
          <w:p w14:paraId="29564F17" w14:textId="72437D37" w:rsidR="00C05457" w:rsidRPr="00612C15"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216,627</w:t>
            </w:r>
          </w:p>
        </w:tc>
        <w:tc>
          <w:tcPr>
            <w:tcW w:w="731" w:type="pct"/>
            <w:tcBorders>
              <w:top w:val="single" w:sz="4" w:space="0" w:color="auto"/>
              <w:bottom w:val="single" w:sz="4" w:space="0" w:color="auto"/>
            </w:tcBorders>
            <w:vAlign w:val="top"/>
          </w:tcPr>
          <w:p w14:paraId="6F24E245" w14:textId="4052A4F5" w:rsidR="00C05457" w:rsidRPr="00612C15"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253,215</w:t>
            </w:r>
          </w:p>
        </w:tc>
      </w:tr>
      <w:tr w:rsidR="00C05457" w:rsidRPr="00612C15" w14:paraId="31A9CDCD" w14:textId="77777777" w:rsidTr="00C05457">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top"/>
          </w:tcPr>
          <w:p w14:paraId="39EDEA11" w14:textId="15F982BB" w:rsidR="00C05457" w:rsidRPr="00C05457" w:rsidRDefault="00C05457" w:rsidP="00ED07AF">
            <w:pPr>
              <w:pStyle w:val="TableBodyText"/>
              <w:rPr>
                <w:rStyle w:val="Bold"/>
              </w:rPr>
            </w:pPr>
            <w:r w:rsidRPr="00C05457">
              <w:rPr>
                <w:rStyle w:val="Bold"/>
              </w:rPr>
              <w:t>Amounts recognised in Other Comprehensive Income</w:t>
            </w:r>
          </w:p>
        </w:tc>
        <w:tc>
          <w:tcPr>
            <w:tcW w:w="737" w:type="pct"/>
            <w:tcBorders>
              <w:top w:val="single" w:sz="4" w:space="0" w:color="auto"/>
            </w:tcBorders>
            <w:vAlign w:val="top"/>
          </w:tcPr>
          <w:p w14:paraId="7739732D" w14:textId="2049F0AE"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tcBorders>
              <w:top w:val="single" w:sz="4" w:space="0" w:color="auto"/>
            </w:tcBorders>
            <w:vAlign w:val="top"/>
          </w:tcPr>
          <w:p w14:paraId="72047FDA" w14:textId="6B2B9F17"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N/A</w:t>
            </w:r>
          </w:p>
        </w:tc>
      </w:tr>
      <w:tr w:rsidR="00C05457" w:rsidRPr="00612C15" w14:paraId="36FA2EFD" w14:textId="77777777" w:rsidTr="00C05457">
        <w:tc>
          <w:tcPr>
            <w:cnfStyle w:val="001000000000" w:firstRow="0" w:lastRow="0" w:firstColumn="1" w:lastColumn="0" w:oddVBand="0" w:evenVBand="0" w:oddHBand="0" w:evenHBand="0" w:firstRowFirstColumn="0" w:firstRowLastColumn="0" w:lastRowFirstColumn="0" w:lastRowLastColumn="0"/>
            <w:tcW w:w="3532" w:type="pct"/>
            <w:vAlign w:val="top"/>
          </w:tcPr>
          <w:p w14:paraId="489E75FF" w14:textId="0477A3BC" w:rsidR="00C05457" w:rsidRDefault="00C05457" w:rsidP="00ED07AF">
            <w:pPr>
              <w:pStyle w:val="TableBodyText"/>
            </w:pPr>
            <w:r>
              <w:t>Net gains on revaluation of land and buildings</w:t>
            </w:r>
          </w:p>
        </w:tc>
        <w:tc>
          <w:tcPr>
            <w:tcW w:w="737" w:type="pct"/>
            <w:vAlign w:val="top"/>
          </w:tcPr>
          <w:p w14:paraId="022182DE" w14:textId="09B56951"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119,554</w:t>
            </w:r>
          </w:p>
        </w:tc>
        <w:tc>
          <w:tcPr>
            <w:tcW w:w="731" w:type="pct"/>
            <w:vAlign w:val="top"/>
          </w:tcPr>
          <w:p w14:paraId="5AA64036" w14:textId="3690F948"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56,709</w:t>
            </w:r>
          </w:p>
        </w:tc>
      </w:tr>
      <w:tr w:rsidR="00C05457" w:rsidRPr="00612C15" w14:paraId="4DF9CB7C" w14:textId="77777777" w:rsidTr="00C05457">
        <w:tc>
          <w:tcPr>
            <w:cnfStyle w:val="001000000000" w:firstRow="0" w:lastRow="0" w:firstColumn="1" w:lastColumn="0" w:oddVBand="0" w:evenVBand="0" w:oddHBand="0" w:evenHBand="0" w:firstRowFirstColumn="0" w:firstRowLastColumn="0" w:lastRowFirstColumn="0" w:lastRowLastColumn="0"/>
            <w:tcW w:w="3532" w:type="pct"/>
            <w:vAlign w:val="top"/>
          </w:tcPr>
          <w:p w14:paraId="5FA70ED9" w14:textId="3F4BB0E4" w:rsidR="00C05457" w:rsidRDefault="00C05457" w:rsidP="00ED07AF">
            <w:pPr>
              <w:pStyle w:val="TableBodyText"/>
            </w:pPr>
            <w:r>
              <w:t>Net gains on revaluation of infrastructure assets</w:t>
            </w:r>
          </w:p>
        </w:tc>
        <w:tc>
          <w:tcPr>
            <w:tcW w:w="737" w:type="pct"/>
            <w:vAlign w:val="top"/>
          </w:tcPr>
          <w:p w14:paraId="26F174F9" w14:textId="08AEBEAD"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934,758</w:t>
            </w:r>
          </w:p>
        </w:tc>
        <w:tc>
          <w:tcPr>
            <w:tcW w:w="731" w:type="pct"/>
            <w:vAlign w:val="top"/>
          </w:tcPr>
          <w:p w14:paraId="18213BA4" w14:textId="74D8D22F"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907,585</w:t>
            </w:r>
          </w:p>
        </w:tc>
      </w:tr>
      <w:tr w:rsidR="00C05457" w:rsidRPr="00612C15" w14:paraId="2739CC6C" w14:textId="77777777" w:rsidTr="00C05457">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01CE3C43" w14:textId="1FF97CFF" w:rsidR="00C05457" w:rsidRDefault="00C05457" w:rsidP="00ED07AF">
            <w:pPr>
              <w:pStyle w:val="TableBodyText"/>
            </w:pPr>
            <w:r>
              <w:t>Actuarial gain on the defined benefit plan</w:t>
            </w:r>
          </w:p>
        </w:tc>
        <w:tc>
          <w:tcPr>
            <w:tcW w:w="737" w:type="pct"/>
            <w:tcBorders>
              <w:bottom w:val="single" w:sz="4" w:space="0" w:color="auto"/>
            </w:tcBorders>
            <w:vAlign w:val="top"/>
          </w:tcPr>
          <w:p w14:paraId="5FEA7BCD" w14:textId="3D9B3B51"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11,393</w:t>
            </w:r>
          </w:p>
        </w:tc>
        <w:tc>
          <w:tcPr>
            <w:tcW w:w="731" w:type="pct"/>
            <w:tcBorders>
              <w:bottom w:val="single" w:sz="4" w:space="0" w:color="auto"/>
            </w:tcBorders>
            <w:vAlign w:val="top"/>
          </w:tcPr>
          <w:p w14:paraId="419C60C9" w14:textId="2ECB361B" w:rsid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pPr>
            <w:r>
              <w:t>8,309</w:t>
            </w:r>
          </w:p>
        </w:tc>
      </w:tr>
      <w:tr w:rsidR="00C05457" w:rsidRPr="00C05457" w14:paraId="1010F916" w14:textId="77777777" w:rsidTr="00C05457">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7FC818C2" w14:textId="55146F63" w:rsidR="00C05457" w:rsidRPr="00C05457" w:rsidRDefault="00C05457" w:rsidP="00ED07AF">
            <w:pPr>
              <w:pStyle w:val="TableBodyText"/>
              <w:rPr>
                <w:rStyle w:val="Bold"/>
              </w:rPr>
            </w:pPr>
            <w:r w:rsidRPr="00C05457">
              <w:rPr>
                <w:rStyle w:val="Bold"/>
              </w:rPr>
              <w:t>Total recognised in Other Comprehensive Income</w:t>
            </w:r>
          </w:p>
        </w:tc>
        <w:tc>
          <w:tcPr>
            <w:tcW w:w="737" w:type="pct"/>
            <w:tcBorders>
              <w:top w:val="single" w:sz="4" w:space="0" w:color="auto"/>
              <w:bottom w:val="single" w:sz="4" w:space="0" w:color="auto"/>
            </w:tcBorders>
            <w:vAlign w:val="top"/>
          </w:tcPr>
          <w:p w14:paraId="3A6AB639" w14:textId="2F60584E" w:rsidR="00C05457" w:rsidRP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05457">
              <w:rPr>
                <w:rStyle w:val="Bold"/>
              </w:rPr>
              <w:t>1,065,705</w:t>
            </w:r>
          </w:p>
        </w:tc>
        <w:tc>
          <w:tcPr>
            <w:tcW w:w="731" w:type="pct"/>
            <w:tcBorders>
              <w:top w:val="single" w:sz="4" w:space="0" w:color="auto"/>
              <w:bottom w:val="single" w:sz="4" w:space="0" w:color="auto"/>
            </w:tcBorders>
            <w:vAlign w:val="top"/>
          </w:tcPr>
          <w:p w14:paraId="2ADD8A57" w14:textId="3F36908C" w:rsidR="00C05457" w:rsidRP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05457">
              <w:rPr>
                <w:rStyle w:val="Bold"/>
              </w:rPr>
              <w:t>972,603</w:t>
            </w:r>
          </w:p>
        </w:tc>
      </w:tr>
      <w:tr w:rsidR="00C05457" w:rsidRPr="00C05457" w14:paraId="796CFDA9"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38063602" w14:textId="70D97A6D" w:rsidR="00C05457" w:rsidRPr="00C05457" w:rsidRDefault="00C05457" w:rsidP="00ED07AF">
            <w:pPr>
              <w:pStyle w:val="TableBodyText"/>
              <w:rPr>
                <w:rStyle w:val="Bold"/>
              </w:rPr>
            </w:pPr>
            <w:r w:rsidRPr="00C05457">
              <w:rPr>
                <w:rStyle w:val="Bold"/>
              </w:rPr>
              <w:t>Net deferred tax liability</w:t>
            </w:r>
          </w:p>
        </w:tc>
        <w:tc>
          <w:tcPr>
            <w:tcW w:w="737" w:type="pct"/>
            <w:tcBorders>
              <w:top w:val="single" w:sz="4" w:space="0" w:color="auto"/>
              <w:bottom w:val="single" w:sz="4" w:space="0" w:color="auto"/>
            </w:tcBorders>
            <w:vAlign w:val="top"/>
          </w:tcPr>
          <w:p w14:paraId="6152CB75" w14:textId="75D4E670" w:rsidR="00C05457" w:rsidRP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05457">
              <w:rPr>
                <w:rStyle w:val="Bold"/>
              </w:rPr>
              <w:t>1,282,332</w:t>
            </w:r>
          </w:p>
        </w:tc>
        <w:tc>
          <w:tcPr>
            <w:tcW w:w="731" w:type="pct"/>
            <w:tcBorders>
              <w:top w:val="single" w:sz="4" w:space="0" w:color="auto"/>
              <w:bottom w:val="single" w:sz="4" w:space="0" w:color="auto"/>
            </w:tcBorders>
            <w:vAlign w:val="top"/>
          </w:tcPr>
          <w:p w14:paraId="40543473" w14:textId="03BEA55D" w:rsidR="00C05457" w:rsidRPr="00C05457" w:rsidRDefault="00C05457" w:rsidP="00ED07AF">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05457">
              <w:rPr>
                <w:rStyle w:val="Bold"/>
              </w:rPr>
              <w:t>1,225,818</w:t>
            </w:r>
          </w:p>
        </w:tc>
      </w:tr>
    </w:tbl>
    <w:p w14:paraId="5E41E8EF" w14:textId="3354F901" w:rsidR="00EA009D" w:rsidRDefault="00C05457" w:rsidP="002B25DA">
      <w:pPr>
        <w:pStyle w:val="Heading5"/>
        <w:keepNext/>
        <w:keepLines/>
      </w:pPr>
      <w:r>
        <w:lastRenderedPageBreak/>
        <w:t>Movements</w:t>
      </w:r>
    </w:p>
    <w:tbl>
      <w:tblPr>
        <w:tblStyle w:val="Style1"/>
        <w:tblW w:w="5000" w:type="pct"/>
        <w:tblLook w:val="04A0" w:firstRow="1" w:lastRow="0" w:firstColumn="1" w:lastColumn="0" w:noHBand="0" w:noVBand="1"/>
      </w:tblPr>
      <w:tblGrid>
        <w:gridCol w:w="6803"/>
        <w:gridCol w:w="1420"/>
        <w:gridCol w:w="1408"/>
      </w:tblGrid>
      <w:tr w:rsidR="00C05457" w:rsidRPr="00B85DB5" w14:paraId="4102EC3C"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03F76986" w14:textId="77777777" w:rsidR="00C05457" w:rsidRPr="00B85DB5" w:rsidRDefault="00C05457" w:rsidP="002B25DA">
            <w:pPr>
              <w:keepNext/>
              <w:keepLines/>
            </w:pPr>
            <w:bookmarkStart w:id="950" w:name="ColumnTitle_54"/>
            <w:r w:rsidRPr="00B85DB5">
              <w:t>Item</w:t>
            </w:r>
          </w:p>
        </w:tc>
        <w:tc>
          <w:tcPr>
            <w:tcW w:w="737" w:type="pct"/>
            <w:tcBorders>
              <w:top w:val="single" w:sz="4" w:space="0" w:color="auto"/>
            </w:tcBorders>
            <w:vAlign w:val="bottom"/>
          </w:tcPr>
          <w:p w14:paraId="4597E3A4" w14:textId="77777777" w:rsidR="00C05457" w:rsidRPr="00B85DB5" w:rsidRDefault="00C05457" w:rsidP="002B25DA">
            <w:pPr>
              <w:keepNext/>
              <w:keepLines/>
              <w:cnfStyle w:val="100000000000" w:firstRow="1" w:lastRow="0" w:firstColumn="0" w:lastColumn="0" w:oddVBand="0" w:evenVBand="0" w:oddHBand="0" w:evenHBand="0" w:firstRowFirstColumn="0" w:firstRowLastColumn="0" w:lastRowFirstColumn="0" w:lastRowLastColumn="0"/>
            </w:pPr>
            <w:r w:rsidRPr="00B85DB5">
              <w:t>2021</w:t>
            </w:r>
          </w:p>
          <w:p w14:paraId="6F04D9A0" w14:textId="77777777" w:rsidR="00C05457" w:rsidRPr="00B85DB5" w:rsidRDefault="00C05457" w:rsidP="002B25DA">
            <w:pPr>
              <w:keepNext/>
              <w:keepLines/>
              <w:cnfStyle w:val="100000000000" w:firstRow="1" w:lastRow="0" w:firstColumn="0" w:lastColumn="0" w:oddVBand="0" w:evenVBand="0" w:oddHBand="0" w:evenHBand="0" w:firstRowFirstColumn="0" w:firstRowLastColumn="0" w:lastRowFirstColumn="0" w:lastRowLastColumn="0"/>
            </w:pPr>
            <w:r w:rsidRPr="00B85DB5">
              <w:t>($ thousands)</w:t>
            </w:r>
          </w:p>
        </w:tc>
        <w:tc>
          <w:tcPr>
            <w:tcW w:w="731" w:type="pct"/>
            <w:tcBorders>
              <w:top w:val="single" w:sz="4" w:space="0" w:color="auto"/>
            </w:tcBorders>
            <w:vAlign w:val="bottom"/>
          </w:tcPr>
          <w:p w14:paraId="281DC12B" w14:textId="77777777" w:rsidR="00C05457" w:rsidRPr="00B85DB5" w:rsidRDefault="00C05457" w:rsidP="002B25DA">
            <w:pPr>
              <w:keepNext/>
              <w:keepLines/>
              <w:cnfStyle w:val="100000000000" w:firstRow="1" w:lastRow="0" w:firstColumn="0" w:lastColumn="0" w:oddVBand="0" w:evenVBand="0" w:oddHBand="0" w:evenHBand="0" w:firstRowFirstColumn="0" w:firstRowLastColumn="0" w:lastRowFirstColumn="0" w:lastRowLastColumn="0"/>
            </w:pPr>
            <w:r w:rsidRPr="00B85DB5">
              <w:t>2020</w:t>
            </w:r>
          </w:p>
          <w:p w14:paraId="188853C8" w14:textId="77777777" w:rsidR="00C05457" w:rsidRPr="00B85DB5" w:rsidRDefault="00C05457" w:rsidP="002B25DA">
            <w:pPr>
              <w:keepNext/>
              <w:keepLines/>
              <w:cnfStyle w:val="100000000000" w:firstRow="1" w:lastRow="0" w:firstColumn="0" w:lastColumn="0" w:oddVBand="0" w:evenVBand="0" w:oddHBand="0" w:evenHBand="0" w:firstRowFirstColumn="0" w:firstRowLastColumn="0" w:lastRowFirstColumn="0" w:lastRowLastColumn="0"/>
            </w:pPr>
            <w:r w:rsidRPr="00B85DB5">
              <w:t>($ thousands)</w:t>
            </w:r>
          </w:p>
        </w:tc>
      </w:tr>
      <w:bookmarkEnd w:id="950"/>
      <w:tr w:rsidR="00C05457" w:rsidRPr="00D84113" w14:paraId="1FF9D5F4"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00F6D104" w14:textId="762B0146" w:rsidR="00C05457" w:rsidRDefault="00C05457" w:rsidP="002B25DA">
            <w:pPr>
              <w:pStyle w:val="TableBodyText"/>
              <w:keepNext/>
              <w:keepLines/>
            </w:pPr>
            <w:r>
              <w:t>Opening balance</w:t>
            </w:r>
          </w:p>
        </w:tc>
        <w:tc>
          <w:tcPr>
            <w:tcW w:w="737" w:type="pct"/>
            <w:vAlign w:val="top"/>
          </w:tcPr>
          <w:p w14:paraId="17BD2434" w14:textId="5C4A9A20" w:rsidR="00C05457" w:rsidRDefault="00C05457"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1,225,818</w:t>
            </w:r>
          </w:p>
        </w:tc>
        <w:tc>
          <w:tcPr>
            <w:tcW w:w="731" w:type="pct"/>
            <w:vAlign w:val="top"/>
          </w:tcPr>
          <w:p w14:paraId="4E2296A3" w14:textId="1071FC4A" w:rsidR="00C05457" w:rsidRDefault="00C05457"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1,246,337</w:t>
            </w:r>
          </w:p>
        </w:tc>
      </w:tr>
      <w:tr w:rsidR="00C05457" w:rsidRPr="00D84113" w14:paraId="4A9AAEF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E91AEA2" w14:textId="1E98509A" w:rsidR="00C05457" w:rsidRDefault="00C05457" w:rsidP="002B25DA">
            <w:pPr>
              <w:pStyle w:val="TableBodyText"/>
              <w:keepNext/>
              <w:keepLines/>
            </w:pPr>
            <w:r>
              <w:t>Credited to Profit or Loss</w:t>
            </w:r>
          </w:p>
        </w:tc>
        <w:tc>
          <w:tcPr>
            <w:tcW w:w="737" w:type="pct"/>
            <w:vAlign w:val="top"/>
          </w:tcPr>
          <w:p w14:paraId="45E55125" w14:textId="6B63CA41" w:rsidR="00C05457" w:rsidRDefault="00C05457"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(36,511)</w:t>
            </w:r>
          </w:p>
        </w:tc>
        <w:tc>
          <w:tcPr>
            <w:tcW w:w="731" w:type="pct"/>
            <w:vAlign w:val="top"/>
          </w:tcPr>
          <w:p w14:paraId="0966DF8C" w14:textId="00BE18E3" w:rsidR="00C05457" w:rsidRDefault="00C05457"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(19,114)</w:t>
            </w:r>
          </w:p>
        </w:tc>
      </w:tr>
      <w:tr w:rsidR="00C05457" w:rsidRPr="00D84113" w14:paraId="579DC41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B36060E" w14:textId="2F065439" w:rsidR="00C05457" w:rsidRDefault="00C05457" w:rsidP="002B25DA">
            <w:pPr>
              <w:pStyle w:val="TableBodyText"/>
              <w:keepNext/>
              <w:keepLines/>
            </w:pPr>
            <w:r>
              <w:t>Debited to Other Comprehensive Income</w:t>
            </w:r>
          </w:p>
        </w:tc>
        <w:tc>
          <w:tcPr>
            <w:tcW w:w="737" w:type="pct"/>
            <w:vAlign w:val="top"/>
          </w:tcPr>
          <w:p w14:paraId="52930AE5" w14:textId="33E1A15A" w:rsidR="00C05457" w:rsidRDefault="00C05457"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93,102</w:t>
            </w:r>
          </w:p>
        </w:tc>
        <w:tc>
          <w:tcPr>
            <w:tcW w:w="731" w:type="pct"/>
            <w:vAlign w:val="top"/>
          </w:tcPr>
          <w:p w14:paraId="6E15DBCA" w14:textId="60914948" w:rsidR="00C05457" w:rsidRDefault="00C05457"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(1,308)</w:t>
            </w:r>
          </w:p>
        </w:tc>
      </w:tr>
      <w:tr w:rsidR="00C05457" w:rsidRPr="00D84113" w14:paraId="678A7241"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A78ECB0" w14:textId="2476F6D5" w:rsidR="00C05457" w:rsidRDefault="00C05457" w:rsidP="00B85DB5">
            <w:pPr>
              <w:pStyle w:val="TableBodyText"/>
            </w:pPr>
            <w:r>
              <w:t>Adjustment in respect of deferred tax of prior period</w:t>
            </w:r>
          </w:p>
        </w:tc>
        <w:tc>
          <w:tcPr>
            <w:tcW w:w="737" w:type="pct"/>
            <w:vAlign w:val="top"/>
          </w:tcPr>
          <w:p w14:paraId="6C1D1492" w14:textId="38B332A1" w:rsidR="00C05457" w:rsidRDefault="00C05457" w:rsidP="00B85DB5">
            <w:pPr>
              <w:pStyle w:val="TableBodyText"/>
              <w:cnfStyle w:val="000000000000" w:firstRow="0" w:lastRow="0" w:firstColumn="0" w:lastColumn="0" w:oddVBand="0" w:evenVBand="0" w:oddHBand="0" w:evenHBand="0" w:firstRowFirstColumn="0" w:firstRowLastColumn="0" w:lastRowFirstColumn="0" w:lastRowLastColumn="0"/>
            </w:pPr>
            <w:r>
              <w:t>(77)</w:t>
            </w:r>
          </w:p>
        </w:tc>
        <w:tc>
          <w:tcPr>
            <w:tcW w:w="731" w:type="pct"/>
            <w:vAlign w:val="top"/>
          </w:tcPr>
          <w:p w14:paraId="32AB0FD0" w14:textId="30C2C954" w:rsidR="00C05457" w:rsidRDefault="00C05457" w:rsidP="00B85DB5">
            <w:pPr>
              <w:pStyle w:val="TableBodyText"/>
              <w:cnfStyle w:val="000000000000" w:firstRow="0" w:lastRow="0" w:firstColumn="0" w:lastColumn="0" w:oddVBand="0" w:evenVBand="0" w:oddHBand="0" w:evenHBand="0" w:firstRowFirstColumn="0" w:firstRowLastColumn="0" w:lastRowFirstColumn="0" w:lastRowLastColumn="0"/>
            </w:pPr>
            <w:r>
              <w:t>(97)</w:t>
            </w:r>
          </w:p>
        </w:tc>
      </w:tr>
      <w:tr w:rsidR="00C05457" w:rsidRPr="00612C15" w14:paraId="27AD0F88" w14:textId="77777777" w:rsidTr="00CC055E">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454E23B2" w14:textId="4F01D6A5" w:rsidR="00C05457" w:rsidRPr="00612C15" w:rsidRDefault="00C05457" w:rsidP="00B85DB5">
            <w:pPr>
              <w:pStyle w:val="TableBodyText"/>
              <w:rPr>
                <w:rStyle w:val="Bold"/>
              </w:rPr>
            </w:pPr>
            <w:r>
              <w:rPr>
                <w:rStyle w:val="Bold"/>
              </w:rPr>
              <w:t>Closing balance</w:t>
            </w:r>
          </w:p>
        </w:tc>
        <w:tc>
          <w:tcPr>
            <w:tcW w:w="737" w:type="pct"/>
            <w:tcBorders>
              <w:top w:val="single" w:sz="4" w:space="0" w:color="auto"/>
              <w:bottom w:val="single" w:sz="4" w:space="0" w:color="auto"/>
            </w:tcBorders>
            <w:vAlign w:val="top"/>
          </w:tcPr>
          <w:p w14:paraId="61BC35B5" w14:textId="0E9BAE59" w:rsidR="00C05457" w:rsidRPr="00612C15" w:rsidRDefault="00C05457"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1,282,332</w:t>
            </w:r>
          </w:p>
        </w:tc>
        <w:tc>
          <w:tcPr>
            <w:tcW w:w="731" w:type="pct"/>
            <w:tcBorders>
              <w:top w:val="single" w:sz="4" w:space="0" w:color="auto"/>
              <w:bottom w:val="single" w:sz="4" w:space="0" w:color="auto"/>
            </w:tcBorders>
            <w:vAlign w:val="top"/>
          </w:tcPr>
          <w:p w14:paraId="0C655CFD" w14:textId="4CF33A25" w:rsidR="00C05457" w:rsidRPr="00612C15" w:rsidRDefault="00C05457"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1,225,818</w:t>
            </w:r>
          </w:p>
        </w:tc>
      </w:tr>
      <w:tr w:rsidR="00C05457" w:rsidRPr="00612C15" w14:paraId="5FC9A8D2" w14:textId="77777777" w:rsidTr="00CC055E">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top"/>
          </w:tcPr>
          <w:p w14:paraId="07557890" w14:textId="7748B7AD" w:rsidR="00C05457" w:rsidRDefault="00C05457" w:rsidP="00B85DB5">
            <w:pPr>
              <w:pStyle w:val="TableBodyText"/>
            </w:pPr>
            <w:r>
              <w:t>Net deferred tax liabilities to be recovered after more than 12 months</w:t>
            </w:r>
          </w:p>
        </w:tc>
        <w:tc>
          <w:tcPr>
            <w:tcW w:w="737" w:type="pct"/>
            <w:tcBorders>
              <w:top w:val="single" w:sz="4" w:space="0" w:color="auto"/>
            </w:tcBorders>
            <w:vAlign w:val="top"/>
          </w:tcPr>
          <w:p w14:paraId="74FEF18B" w14:textId="6972BFE2" w:rsidR="00C05457" w:rsidRDefault="00C05457" w:rsidP="00B85DB5">
            <w:pPr>
              <w:pStyle w:val="TableBodyText"/>
              <w:cnfStyle w:val="000000000000" w:firstRow="0" w:lastRow="0" w:firstColumn="0" w:lastColumn="0" w:oddVBand="0" w:evenVBand="0" w:oddHBand="0" w:evenHBand="0" w:firstRowFirstColumn="0" w:firstRowLastColumn="0" w:lastRowFirstColumn="0" w:lastRowLastColumn="0"/>
            </w:pPr>
            <w:r>
              <w:t>1,314,932</w:t>
            </w:r>
          </w:p>
        </w:tc>
        <w:tc>
          <w:tcPr>
            <w:tcW w:w="731" w:type="pct"/>
            <w:tcBorders>
              <w:top w:val="single" w:sz="4" w:space="0" w:color="auto"/>
            </w:tcBorders>
            <w:vAlign w:val="top"/>
          </w:tcPr>
          <w:p w14:paraId="738566E7" w14:textId="26F0B707" w:rsidR="00C05457" w:rsidRDefault="00C05457" w:rsidP="00B85DB5">
            <w:pPr>
              <w:pStyle w:val="TableBodyText"/>
              <w:cnfStyle w:val="000000000000" w:firstRow="0" w:lastRow="0" w:firstColumn="0" w:lastColumn="0" w:oddVBand="0" w:evenVBand="0" w:oddHBand="0" w:evenHBand="0" w:firstRowFirstColumn="0" w:firstRowLastColumn="0" w:lastRowFirstColumn="0" w:lastRowLastColumn="0"/>
            </w:pPr>
            <w:r>
              <w:t>1,255,946</w:t>
            </w:r>
          </w:p>
        </w:tc>
      </w:tr>
      <w:tr w:rsidR="00C05457" w:rsidRPr="00612C15" w14:paraId="699E31F7" w14:textId="77777777" w:rsidTr="00CC055E">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5E11AD18" w14:textId="5D563042" w:rsidR="00C05457" w:rsidRDefault="00C05457" w:rsidP="00B85DB5">
            <w:pPr>
              <w:pStyle w:val="TableBodyText"/>
            </w:pPr>
            <w:r>
              <w:t>Net deferred tax liabilities to be recovered within 12 months</w:t>
            </w:r>
          </w:p>
        </w:tc>
        <w:tc>
          <w:tcPr>
            <w:tcW w:w="737" w:type="pct"/>
            <w:tcBorders>
              <w:bottom w:val="single" w:sz="4" w:space="0" w:color="auto"/>
            </w:tcBorders>
            <w:vAlign w:val="top"/>
          </w:tcPr>
          <w:p w14:paraId="672A51DA" w14:textId="220BF939" w:rsidR="00C05457" w:rsidRDefault="00C05457" w:rsidP="00B85DB5">
            <w:pPr>
              <w:pStyle w:val="TableBodyText"/>
              <w:cnfStyle w:val="000000000000" w:firstRow="0" w:lastRow="0" w:firstColumn="0" w:lastColumn="0" w:oddVBand="0" w:evenVBand="0" w:oddHBand="0" w:evenHBand="0" w:firstRowFirstColumn="0" w:firstRowLastColumn="0" w:lastRowFirstColumn="0" w:lastRowLastColumn="0"/>
            </w:pPr>
            <w:r>
              <w:t>(32,600)</w:t>
            </w:r>
          </w:p>
        </w:tc>
        <w:tc>
          <w:tcPr>
            <w:tcW w:w="731" w:type="pct"/>
            <w:tcBorders>
              <w:bottom w:val="single" w:sz="4" w:space="0" w:color="auto"/>
            </w:tcBorders>
            <w:vAlign w:val="top"/>
          </w:tcPr>
          <w:p w14:paraId="5D92F3C2" w14:textId="6DEF60B4" w:rsidR="00C05457" w:rsidRDefault="00C05457" w:rsidP="00B85DB5">
            <w:pPr>
              <w:pStyle w:val="TableBodyText"/>
              <w:cnfStyle w:val="000000000000" w:firstRow="0" w:lastRow="0" w:firstColumn="0" w:lastColumn="0" w:oddVBand="0" w:evenVBand="0" w:oddHBand="0" w:evenHBand="0" w:firstRowFirstColumn="0" w:firstRowLastColumn="0" w:lastRowFirstColumn="0" w:lastRowLastColumn="0"/>
            </w:pPr>
            <w:r>
              <w:t>(30,128)</w:t>
            </w:r>
          </w:p>
        </w:tc>
      </w:tr>
      <w:tr w:rsidR="00C05457" w:rsidRPr="00B85DB5" w14:paraId="4BFE6AAD"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0273F2E9" w14:textId="7AC92C6B" w:rsidR="00C05457" w:rsidRPr="00B85DB5" w:rsidRDefault="00C05457" w:rsidP="00B85DB5">
            <w:pPr>
              <w:pStyle w:val="TableBodyText"/>
              <w:rPr>
                <w:rStyle w:val="Bold"/>
              </w:rPr>
            </w:pPr>
            <w:r w:rsidRPr="00B85DB5">
              <w:rPr>
                <w:rStyle w:val="Bold"/>
              </w:rPr>
              <w:t>Total non-current liabilities – deferred tax liabilities</w:t>
            </w:r>
          </w:p>
        </w:tc>
        <w:tc>
          <w:tcPr>
            <w:tcW w:w="737" w:type="pct"/>
            <w:tcBorders>
              <w:top w:val="single" w:sz="4" w:space="0" w:color="auto"/>
              <w:bottom w:val="single" w:sz="4" w:space="0" w:color="auto"/>
            </w:tcBorders>
            <w:vAlign w:val="top"/>
          </w:tcPr>
          <w:p w14:paraId="353A9216" w14:textId="58D24271" w:rsidR="00C05457" w:rsidRPr="00B85DB5" w:rsidRDefault="00C05457"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B85DB5">
              <w:rPr>
                <w:rStyle w:val="Bold"/>
              </w:rPr>
              <w:t>1,282,332</w:t>
            </w:r>
          </w:p>
        </w:tc>
        <w:tc>
          <w:tcPr>
            <w:tcW w:w="731" w:type="pct"/>
            <w:tcBorders>
              <w:top w:val="single" w:sz="4" w:space="0" w:color="auto"/>
              <w:bottom w:val="single" w:sz="4" w:space="0" w:color="auto"/>
            </w:tcBorders>
            <w:vAlign w:val="top"/>
          </w:tcPr>
          <w:p w14:paraId="23032DBD" w14:textId="31B869B9" w:rsidR="00C05457" w:rsidRPr="00B85DB5" w:rsidRDefault="00C05457"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B85DB5">
              <w:rPr>
                <w:rStyle w:val="Bold"/>
              </w:rPr>
              <w:t>1,225,818</w:t>
            </w:r>
          </w:p>
        </w:tc>
      </w:tr>
    </w:tbl>
    <w:p w14:paraId="56712A32" w14:textId="437FA572" w:rsidR="00DC0D74" w:rsidRPr="00EA009D" w:rsidRDefault="00DC0D74" w:rsidP="00DC0D74">
      <w:pPr>
        <w:pStyle w:val="Heading3"/>
      </w:pPr>
      <w:bookmarkStart w:id="951" w:name="Note39"/>
      <w:bookmarkStart w:id="952" w:name="_Toc89723126"/>
      <w:bookmarkStart w:id="953" w:name="_Ref89843633"/>
      <w:bookmarkStart w:id="954" w:name="_Ref89845227"/>
      <w:bookmarkStart w:id="955" w:name="_Toc90326071"/>
      <w:bookmarkStart w:id="956" w:name="_Toc93659477"/>
      <w:r>
        <w:t>3.9</w:t>
      </w:r>
      <w:bookmarkEnd w:id="951"/>
      <w:r>
        <w:t xml:space="preserve"> Payables</w:t>
      </w:r>
      <w:bookmarkEnd w:id="952"/>
      <w:bookmarkEnd w:id="953"/>
      <w:bookmarkEnd w:id="954"/>
      <w:bookmarkEnd w:id="955"/>
      <w:bookmarkEnd w:id="956"/>
    </w:p>
    <w:tbl>
      <w:tblPr>
        <w:tblStyle w:val="Style1"/>
        <w:tblW w:w="5000" w:type="pct"/>
        <w:tblLook w:val="04A0" w:firstRow="1" w:lastRow="0" w:firstColumn="1" w:lastColumn="0" w:noHBand="0" w:noVBand="1"/>
      </w:tblPr>
      <w:tblGrid>
        <w:gridCol w:w="6803"/>
        <w:gridCol w:w="1420"/>
        <w:gridCol w:w="1408"/>
      </w:tblGrid>
      <w:tr w:rsidR="00DC0D74" w:rsidRPr="00B85DB5" w14:paraId="3BC5B4E0"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4E6CA877" w14:textId="77777777" w:rsidR="00DC0D74" w:rsidRPr="00B85DB5" w:rsidRDefault="00DC0D74" w:rsidP="00B85DB5">
            <w:bookmarkStart w:id="957" w:name="ColumnTitle_55"/>
            <w:r w:rsidRPr="00B85DB5">
              <w:t>Item</w:t>
            </w:r>
          </w:p>
        </w:tc>
        <w:tc>
          <w:tcPr>
            <w:tcW w:w="737" w:type="pct"/>
            <w:tcBorders>
              <w:top w:val="single" w:sz="4" w:space="0" w:color="auto"/>
            </w:tcBorders>
            <w:vAlign w:val="bottom"/>
          </w:tcPr>
          <w:p w14:paraId="3987B113"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2021</w:t>
            </w:r>
          </w:p>
          <w:p w14:paraId="25A1098F"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 thousands)</w:t>
            </w:r>
          </w:p>
        </w:tc>
        <w:tc>
          <w:tcPr>
            <w:tcW w:w="731" w:type="pct"/>
            <w:tcBorders>
              <w:top w:val="single" w:sz="4" w:space="0" w:color="auto"/>
            </w:tcBorders>
            <w:vAlign w:val="bottom"/>
          </w:tcPr>
          <w:p w14:paraId="2DF87CC1"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2020</w:t>
            </w:r>
          </w:p>
          <w:p w14:paraId="30D6CEBB"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 thousands)</w:t>
            </w:r>
          </w:p>
        </w:tc>
      </w:tr>
      <w:bookmarkEnd w:id="957"/>
      <w:tr w:rsidR="00DC0D74" w:rsidRPr="00D84113" w14:paraId="551646EB"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AB8C028" w14:textId="3184ABAB" w:rsidR="00DC0D74" w:rsidRPr="00C05457" w:rsidRDefault="00DC0D74" w:rsidP="00B85DB5">
            <w:pPr>
              <w:pStyle w:val="TableBodyText"/>
              <w:rPr>
                <w:rStyle w:val="Bold"/>
              </w:rPr>
            </w:pPr>
            <w:r>
              <w:rPr>
                <w:rStyle w:val="Bold"/>
              </w:rPr>
              <w:t>Current</w:t>
            </w:r>
          </w:p>
        </w:tc>
        <w:tc>
          <w:tcPr>
            <w:tcW w:w="737" w:type="pct"/>
            <w:vAlign w:val="top"/>
          </w:tcPr>
          <w:p w14:paraId="0CB07CA6" w14:textId="7777777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69AAB608" w14:textId="7777777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N/A</w:t>
            </w:r>
          </w:p>
        </w:tc>
      </w:tr>
      <w:tr w:rsidR="00DC0D74" w:rsidRPr="00D84113" w14:paraId="5E3C605F"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2AB826E" w14:textId="67218DEB" w:rsidR="00DC0D74" w:rsidRDefault="00DC0D74" w:rsidP="00B85DB5">
            <w:pPr>
              <w:pStyle w:val="TableBodyText"/>
            </w:pPr>
            <w:r>
              <w:t>Trade creditors</w:t>
            </w:r>
          </w:p>
        </w:tc>
        <w:tc>
          <w:tcPr>
            <w:tcW w:w="737" w:type="pct"/>
            <w:vAlign w:val="top"/>
          </w:tcPr>
          <w:p w14:paraId="18B7A6BB" w14:textId="760F900A"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129,080</w:t>
            </w:r>
          </w:p>
        </w:tc>
        <w:tc>
          <w:tcPr>
            <w:tcW w:w="731" w:type="pct"/>
            <w:vAlign w:val="top"/>
          </w:tcPr>
          <w:p w14:paraId="58841592" w14:textId="1E35F899"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84,981</w:t>
            </w:r>
          </w:p>
        </w:tc>
      </w:tr>
      <w:tr w:rsidR="00DC0D74" w:rsidRPr="00D84113" w14:paraId="6AE55287"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D4A10A6" w14:textId="0264D87E" w:rsidR="00DC0D74" w:rsidRDefault="00DC0D74" w:rsidP="00B85DB5">
            <w:pPr>
              <w:pStyle w:val="TableBodyText"/>
            </w:pPr>
            <w:r>
              <w:t>Interest payable</w:t>
            </w:r>
          </w:p>
        </w:tc>
        <w:tc>
          <w:tcPr>
            <w:tcW w:w="737" w:type="pct"/>
            <w:vAlign w:val="top"/>
          </w:tcPr>
          <w:p w14:paraId="2D6D9EFA" w14:textId="6A983089"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32,732</w:t>
            </w:r>
          </w:p>
        </w:tc>
        <w:tc>
          <w:tcPr>
            <w:tcW w:w="731" w:type="pct"/>
            <w:vAlign w:val="top"/>
          </w:tcPr>
          <w:p w14:paraId="61789B29" w14:textId="1BD800C8"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37,479</w:t>
            </w:r>
          </w:p>
        </w:tc>
      </w:tr>
      <w:tr w:rsidR="00DC0D74" w:rsidRPr="00D84113" w14:paraId="6214F473"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7A9BEEB0" w14:textId="22DB3768" w:rsidR="00DC0D74" w:rsidRDefault="00DC0D74" w:rsidP="00B85DB5">
            <w:pPr>
              <w:pStyle w:val="TableBodyText"/>
            </w:pPr>
            <w:r>
              <w:t>Accruals</w:t>
            </w:r>
          </w:p>
        </w:tc>
        <w:tc>
          <w:tcPr>
            <w:tcW w:w="737" w:type="pct"/>
            <w:vAlign w:val="top"/>
          </w:tcPr>
          <w:p w14:paraId="4B20DAA3" w14:textId="4E96DA5E"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190,326</w:t>
            </w:r>
          </w:p>
        </w:tc>
        <w:tc>
          <w:tcPr>
            <w:tcW w:w="731" w:type="pct"/>
            <w:vAlign w:val="top"/>
          </w:tcPr>
          <w:p w14:paraId="46706D11" w14:textId="44D3219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194,382</w:t>
            </w:r>
          </w:p>
        </w:tc>
      </w:tr>
      <w:tr w:rsidR="00DC0D74" w:rsidRPr="00D84113" w14:paraId="41FC7E03" w14:textId="77777777" w:rsidTr="00DC0D74">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58F2C05C" w14:textId="50A08CB2" w:rsidR="00DC0D74" w:rsidRDefault="00DC0D74" w:rsidP="00B85DB5">
            <w:pPr>
              <w:pStyle w:val="TableBodyText"/>
            </w:pPr>
            <w:r>
              <w:t>Other payables</w:t>
            </w:r>
          </w:p>
        </w:tc>
        <w:tc>
          <w:tcPr>
            <w:tcW w:w="737" w:type="pct"/>
            <w:tcBorders>
              <w:bottom w:val="single" w:sz="4" w:space="0" w:color="auto"/>
            </w:tcBorders>
            <w:vAlign w:val="top"/>
          </w:tcPr>
          <w:p w14:paraId="73CA686E" w14:textId="161C41D2"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6,198</w:t>
            </w:r>
          </w:p>
        </w:tc>
        <w:tc>
          <w:tcPr>
            <w:tcW w:w="731" w:type="pct"/>
            <w:tcBorders>
              <w:bottom w:val="single" w:sz="4" w:space="0" w:color="auto"/>
            </w:tcBorders>
            <w:vAlign w:val="top"/>
          </w:tcPr>
          <w:p w14:paraId="37152A17" w14:textId="61DD932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4,826</w:t>
            </w:r>
          </w:p>
        </w:tc>
      </w:tr>
      <w:tr w:rsidR="00DC0D74" w:rsidRPr="00612C15" w14:paraId="41D54482" w14:textId="77777777" w:rsidTr="00DC0D74">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top"/>
          </w:tcPr>
          <w:p w14:paraId="13FB78F1" w14:textId="3C6F4F01" w:rsidR="00DC0D74" w:rsidRPr="00612C15" w:rsidRDefault="00DC0D74" w:rsidP="00B85DB5">
            <w:pPr>
              <w:pStyle w:val="TableBodyText"/>
              <w:rPr>
                <w:rStyle w:val="Bold"/>
              </w:rPr>
            </w:pPr>
            <w:r>
              <w:rPr>
                <w:rStyle w:val="Bold"/>
              </w:rPr>
              <w:t>Total current payables</w:t>
            </w:r>
          </w:p>
        </w:tc>
        <w:tc>
          <w:tcPr>
            <w:tcW w:w="737" w:type="pct"/>
            <w:tcBorders>
              <w:top w:val="single" w:sz="4" w:space="0" w:color="auto"/>
            </w:tcBorders>
            <w:vAlign w:val="top"/>
          </w:tcPr>
          <w:p w14:paraId="315B60B6" w14:textId="5293E193" w:rsidR="00DC0D74" w:rsidRPr="00612C15"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358,336</w:t>
            </w:r>
          </w:p>
        </w:tc>
        <w:tc>
          <w:tcPr>
            <w:tcW w:w="731" w:type="pct"/>
            <w:tcBorders>
              <w:top w:val="single" w:sz="4" w:space="0" w:color="auto"/>
            </w:tcBorders>
            <w:vAlign w:val="top"/>
          </w:tcPr>
          <w:p w14:paraId="1999F193" w14:textId="4975C22F" w:rsidR="00DC0D74" w:rsidRPr="00612C15"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321,668</w:t>
            </w:r>
          </w:p>
        </w:tc>
      </w:tr>
      <w:tr w:rsidR="00DC0D74" w:rsidRPr="00612C15" w14:paraId="09B9A8CA" w14:textId="77777777" w:rsidTr="00DC0D74">
        <w:tc>
          <w:tcPr>
            <w:cnfStyle w:val="001000000000" w:firstRow="0" w:lastRow="0" w:firstColumn="1" w:lastColumn="0" w:oddVBand="0" w:evenVBand="0" w:oddHBand="0" w:evenHBand="0" w:firstRowFirstColumn="0" w:firstRowLastColumn="0" w:lastRowFirstColumn="0" w:lastRowLastColumn="0"/>
            <w:tcW w:w="3532" w:type="pct"/>
            <w:vAlign w:val="top"/>
          </w:tcPr>
          <w:p w14:paraId="2DB1FA3B" w14:textId="17E77B92" w:rsidR="00DC0D74" w:rsidRPr="00C05457" w:rsidRDefault="00DC0D74" w:rsidP="00B85DB5">
            <w:pPr>
              <w:pStyle w:val="TableBodyText"/>
              <w:rPr>
                <w:rStyle w:val="Bold"/>
              </w:rPr>
            </w:pPr>
            <w:r>
              <w:rPr>
                <w:rStyle w:val="Bold"/>
              </w:rPr>
              <w:t>Non-current</w:t>
            </w:r>
          </w:p>
        </w:tc>
        <w:tc>
          <w:tcPr>
            <w:tcW w:w="737" w:type="pct"/>
            <w:vAlign w:val="top"/>
          </w:tcPr>
          <w:p w14:paraId="1FD97C75" w14:textId="7777777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758851DE" w14:textId="7777777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N/A</w:t>
            </w:r>
          </w:p>
        </w:tc>
      </w:tr>
      <w:tr w:rsidR="00DC0D74" w:rsidRPr="00612C15" w14:paraId="44500C6E"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28CF9AB" w14:textId="4A414B64" w:rsidR="00DC0D74" w:rsidRDefault="00DC0D74" w:rsidP="00B85DB5">
            <w:pPr>
              <w:pStyle w:val="TableBodyText"/>
            </w:pPr>
            <w:r>
              <w:t>Other payables</w:t>
            </w:r>
          </w:p>
        </w:tc>
        <w:tc>
          <w:tcPr>
            <w:tcW w:w="737" w:type="pct"/>
            <w:vAlign w:val="top"/>
          </w:tcPr>
          <w:p w14:paraId="6552D602" w14:textId="7FF5E7AE"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3,014</w:t>
            </w:r>
          </w:p>
        </w:tc>
        <w:tc>
          <w:tcPr>
            <w:tcW w:w="731" w:type="pct"/>
            <w:vAlign w:val="top"/>
          </w:tcPr>
          <w:p w14:paraId="35E8F01B" w14:textId="77A44375"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467</w:t>
            </w:r>
          </w:p>
        </w:tc>
      </w:tr>
      <w:tr w:rsidR="00DC0D74" w:rsidRPr="00C05457" w14:paraId="01B8FBB2"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5D42E86D" w14:textId="11672D8A" w:rsidR="00DC0D74" w:rsidRPr="00C05457" w:rsidRDefault="00DC0D74" w:rsidP="00B85DB5">
            <w:pPr>
              <w:pStyle w:val="TableBodyText"/>
              <w:rPr>
                <w:rStyle w:val="Bold"/>
              </w:rPr>
            </w:pPr>
            <w:r>
              <w:rPr>
                <w:rStyle w:val="Bold"/>
              </w:rPr>
              <w:t>Total non-current payables</w:t>
            </w:r>
          </w:p>
        </w:tc>
        <w:tc>
          <w:tcPr>
            <w:tcW w:w="737" w:type="pct"/>
            <w:tcBorders>
              <w:top w:val="single" w:sz="4" w:space="0" w:color="auto"/>
              <w:bottom w:val="single" w:sz="4" w:space="0" w:color="auto"/>
            </w:tcBorders>
            <w:vAlign w:val="top"/>
          </w:tcPr>
          <w:p w14:paraId="6ADB86A5" w14:textId="5724FE5B" w:rsidR="00DC0D74" w:rsidRPr="00C05457"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3,014</w:t>
            </w:r>
          </w:p>
        </w:tc>
        <w:tc>
          <w:tcPr>
            <w:tcW w:w="731" w:type="pct"/>
            <w:tcBorders>
              <w:top w:val="single" w:sz="4" w:space="0" w:color="auto"/>
              <w:bottom w:val="single" w:sz="4" w:space="0" w:color="auto"/>
            </w:tcBorders>
            <w:vAlign w:val="top"/>
          </w:tcPr>
          <w:p w14:paraId="02C95B1C" w14:textId="3EDE1C2D" w:rsidR="00DC0D74" w:rsidRPr="00C05457"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467</w:t>
            </w:r>
          </w:p>
        </w:tc>
      </w:tr>
      <w:tr w:rsidR="00DC0D74" w:rsidRPr="00C05457" w14:paraId="111DF4C0"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309C89D3" w14:textId="4CE0FB8D" w:rsidR="00DC0D74" w:rsidRPr="00C05457" w:rsidRDefault="00DC0D74" w:rsidP="00B85DB5">
            <w:pPr>
              <w:pStyle w:val="TableBodyText"/>
              <w:rPr>
                <w:rStyle w:val="Bold"/>
              </w:rPr>
            </w:pPr>
            <w:r>
              <w:rPr>
                <w:rStyle w:val="Bold"/>
              </w:rPr>
              <w:t>Total payables</w:t>
            </w:r>
          </w:p>
        </w:tc>
        <w:tc>
          <w:tcPr>
            <w:tcW w:w="737" w:type="pct"/>
            <w:tcBorders>
              <w:top w:val="single" w:sz="4" w:space="0" w:color="auto"/>
              <w:bottom w:val="single" w:sz="4" w:space="0" w:color="auto"/>
            </w:tcBorders>
            <w:vAlign w:val="top"/>
          </w:tcPr>
          <w:p w14:paraId="006029EF" w14:textId="72E80FE3" w:rsidR="00DC0D74" w:rsidRPr="00C05457"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361,350</w:t>
            </w:r>
          </w:p>
        </w:tc>
        <w:tc>
          <w:tcPr>
            <w:tcW w:w="731" w:type="pct"/>
            <w:tcBorders>
              <w:top w:val="single" w:sz="4" w:space="0" w:color="auto"/>
              <w:bottom w:val="single" w:sz="4" w:space="0" w:color="auto"/>
            </w:tcBorders>
            <w:vAlign w:val="top"/>
          </w:tcPr>
          <w:p w14:paraId="04357033" w14:textId="2EFC4B1E" w:rsidR="00DC0D74" w:rsidRPr="00C05457"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322,135</w:t>
            </w:r>
          </w:p>
        </w:tc>
      </w:tr>
    </w:tbl>
    <w:p w14:paraId="67D7E34B" w14:textId="4CD411BA" w:rsidR="00DC0D74" w:rsidRDefault="00DC0D74" w:rsidP="00DC0D74">
      <w:pPr>
        <w:pStyle w:val="BodyText"/>
      </w:pPr>
      <w:r w:rsidRPr="00DC0D74">
        <w:rPr>
          <w:rStyle w:val="Bold"/>
        </w:rPr>
        <w:t>Trade creditors</w:t>
      </w:r>
      <w:r>
        <w:t xml:space="preserve"> represent liabilities for goods or services provided to the Corporation prior to the end of the financial year, where invoices have been received and processed but not yet paid. The amounts are unsecured and are usually paid within30 days of recognition or in accordance with contract terms. Payments for invoices with a contract value of less than $3 million are paid within 10 business days in line with the Victorian Government's Fair Payment Policy.</w:t>
      </w:r>
    </w:p>
    <w:p w14:paraId="5DE17487" w14:textId="55D86315" w:rsidR="00C05457" w:rsidRDefault="00DC0D74" w:rsidP="00DC0D74">
      <w:pPr>
        <w:pStyle w:val="BodyText"/>
      </w:pPr>
      <w:r w:rsidRPr="00DC0D74">
        <w:rPr>
          <w:rStyle w:val="Bold"/>
        </w:rPr>
        <w:t>Interest payable</w:t>
      </w:r>
      <w:r>
        <w:t xml:space="preserve"> is recognised as an expense in the reporting period in which it is payable and accrued in accordance with the terms and conditions of the underlying financial instruments or other contracts.</w:t>
      </w:r>
    </w:p>
    <w:p w14:paraId="0ED1053D" w14:textId="10917DCD" w:rsidR="00DC0D74" w:rsidRDefault="00DC0D74" w:rsidP="00DC0D74">
      <w:pPr>
        <w:pStyle w:val="BodyText"/>
      </w:pPr>
      <w:r w:rsidRPr="00DC0D74">
        <w:rPr>
          <w:rStyle w:val="Bold"/>
        </w:rPr>
        <w:t>Accruals</w:t>
      </w:r>
      <w:r>
        <w:t xml:space="preserve"> represent liabilities for goods or services provided to the Corporation prior to the end of the financial year, where invoices have not yet been received or processed and are not yet paid. The amounts are based on estimates, are unsecured and are usually paid within 30 days of recognition (payments for invoices with a contract value of less than $3 million are paid within 10 business days in line with the Victorian Government's Fair Payment Policy).</w:t>
      </w:r>
    </w:p>
    <w:p w14:paraId="3984172E" w14:textId="2F2CD0AE" w:rsidR="00612C15" w:rsidRDefault="00DC0D74" w:rsidP="00DC0D74">
      <w:pPr>
        <w:pStyle w:val="BodyText"/>
      </w:pPr>
      <w:r w:rsidRPr="00DC0D74">
        <w:rPr>
          <w:rStyle w:val="Bold"/>
        </w:rPr>
        <w:lastRenderedPageBreak/>
        <w:t>Other payables</w:t>
      </w:r>
      <w:r>
        <w:t xml:space="preserve"> primarily represent liabilities for miscellaneous security deposits held.</w:t>
      </w:r>
    </w:p>
    <w:p w14:paraId="5C230EBB" w14:textId="229545E6" w:rsidR="00DC0D74" w:rsidRPr="00EA009D" w:rsidRDefault="00DC0D74" w:rsidP="00DC0D74">
      <w:pPr>
        <w:pStyle w:val="Heading3"/>
      </w:pPr>
      <w:bookmarkStart w:id="958" w:name="Note310"/>
      <w:bookmarkStart w:id="959" w:name="_Toc89723127"/>
      <w:bookmarkStart w:id="960" w:name="_Ref89843641"/>
      <w:bookmarkStart w:id="961" w:name="_Ref89845234"/>
      <w:bookmarkStart w:id="962" w:name="_Toc90326072"/>
      <w:bookmarkStart w:id="963" w:name="_Toc93659478"/>
      <w:r>
        <w:t>3.10</w:t>
      </w:r>
      <w:bookmarkEnd w:id="958"/>
      <w:r>
        <w:t xml:space="preserve"> Contract liabilities</w:t>
      </w:r>
      <w:bookmarkEnd w:id="959"/>
      <w:bookmarkEnd w:id="960"/>
      <w:bookmarkEnd w:id="961"/>
      <w:bookmarkEnd w:id="962"/>
      <w:bookmarkEnd w:id="963"/>
    </w:p>
    <w:tbl>
      <w:tblPr>
        <w:tblStyle w:val="Style1"/>
        <w:tblW w:w="5000" w:type="pct"/>
        <w:tblLook w:val="04A0" w:firstRow="1" w:lastRow="0" w:firstColumn="1" w:lastColumn="0" w:noHBand="0" w:noVBand="1"/>
      </w:tblPr>
      <w:tblGrid>
        <w:gridCol w:w="6803"/>
        <w:gridCol w:w="1420"/>
        <w:gridCol w:w="1408"/>
      </w:tblGrid>
      <w:tr w:rsidR="00DC0D74" w:rsidRPr="00B85DB5" w14:paraId="60E64D02"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47F912D8" w14:textId="77777777" w:rsidR="00DC0D74" w:rsidRPr="00B85DB5" w:rsidRDefault="00DC0D74" w:rsidP="00B85DB5">
            <w:bookmarkStart w:id="964" w:name="ColumnTitle_56"/>
            <w:r w:rsidRPr="00B85DB5">
              <w:t>Item</w:t>
            </w:r>
          </w:p>
        </w:tc>
        <w:tc>
          <w:tcPr>
            <w:tcW w:w="737" w:type="pct"/>
            <w:tcBorders>
              <w:top w:val="single" w:sz="4" w:space="0" w:color="auto"/>
            </w:tcBorders>
            <w:vAlign w:val="bottom"/>
          </w:tcPr>
          <w:p w14:paraId="3954CC6C"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2021</w:t>
            </w:r>
          </w:p>
          <w:p w14:paraId="053330EA"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 thousands)</w:t>
            </w:r>
          </w:p>
        </w:tc>
        <w:tc>
          <w:tcPr>
            <w:tcW w:w="731" w:type="pct"/>
            <w:tcBorders>
              <w:top w:val="single" w:sz="4" w:space="0" w:color="auto"/>
            </w:tcBorders>
            <w:vAlign w:val="bottom"/>
          </w:tcPr>
          <w:p w14:paraId="17E84725"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2020</w:t>
            </w:r>
          </w:p>
          <w:p w14:paraId="44FE0A84"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 thousands)</w:t>
            </w:r>
          </w:p>
        </w:tc>
      </w:tr>
      <w:bookmarkEnd w:id="964"/>
      <w:tr w:rsidR="00DC0D74" w:rsidRPr="00D84113" w14:paraId="77BFCEE3"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7E252482" w14:textId="77777777" w:rsidR="00DC0D74" w:rsidRPr="00C05457" w:rsidRDefault="00DC0D74" w:rsidP="00B85DB5">
            <w:pPr>
              <w:pStyle w:val="TableBodyText"/>
              <w:rPr>
                <w:rStyle w:val="Bold"/>
              </w:rPr>
            </w:pPr>
            <w:r>
              <w:rPr>
                <w:rStyle w:val="Bold"/>
              </w:rPr>
              <w:t>Current</w:t>
            </w:r>
          </w:p>
        </w:tc>
        <w:tc>
          <w:tcPr>
            <w:tcW w:w="737" w:type="pct"/>
            <w:vAlign w:val="top"/>
          </w:tcPr>
          <w:p w14:paraId="71F686CF" w14:textId="7777777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199EAF82" w14:textId="77777777"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N/A</w:t>
            </w:r>
          </w:p>
        </w:tc>
      </w:tr>
      <w:tr w:rsidR="00DC0D74" w:rsidRPr="00D84113" w14:paraId="6671C360"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470D14E" w14:textId="7D674467" w:rsidR="00DC0D74" w:rsidRDefault="00DC0D74" w:rsidP="00B85DB5">
            <w:pPr>
              <w:pStyle w:val="TableBodyText"/>
            </w:pPr>
            <w:r>
              <w:t>Unearned revenue from contracts with customers</w:t>
            </w:r>
          </w:p>
        </w:tc>
        <w:tc>
          <w:tcPr>
            <w:tcW w:w="737" w:type="pct"/>
            <w:vAlign w:val="top"/>
          </w:tcPr>
          <w:p w14:paraId="471A541C" w14:textId="0DD04164"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72,254</w:t>
            </w:r>
          </w:p>
        </w:tc>
        <w:tc>
          <w:tcPr>
            <w:tcW w:w="731" w:type="pct"/>
            <w:vAlign w:val="top"/>
          </w:tcPr>
          <w:p w14:paraId="5819878B" w14:textId="574A3354"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66,523</w:t>
            </w:r>
          </w:p>
        </w:tc>
      </w:tr>
      <w:tr w:rsidR="00DC0D74" w:rsidRPr="00D84113" w14:paraId="62AEF35A" w14:textId="77777777" w:rsidTr="00DC0D74">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35611896" w14:textId="544FC931" w:rsidR="00DC0D74" w:rsidRDefault="00DC0D74" w:rsidP="00B85DB5">
            <w:pPr>
              <w:pStyle w:val="TableBodyText"/>
            </w:pPr>
            <w:r>
              <w:t>Other unearned income</w:t>
            </w:r>
          </w:p>
        </w:tc>
        <w:tc>
          <w:tcPr>
            <w:tcW w:w="737" w:type="pct"/>
            <w:tcBorders>
              <w:bottom w:val="single" w:sz="4" w:space="0" w:color="auto"/>
            </w:tcBorders>
            <w:vAlign w:val="top"/>
          </w:tcPr>
          <w:p w14:paraId="68F8FCBE" w14:textId="5C8682CB"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6,971</w:t>
            </w:r>
          </w:p>
        </w:tc>
        <w:tc>
          <w:tcPr>
            <w:tcW w:w="731" w:type="pct"/>
            <w:tcBorders>
              <w:bottom w:val="single" w:sz="4" w:space="0" w:color="auto"/>
            </w:tcBorders>
            <w:vAlign w:val="top"/>
          </w:tcPr>
          <w:p w14:paraId="33050574" w14:textId="34AE6934"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7,097</w:t>
            </w:r>
          </w:p>
        </w:tc>
      </w:tr>
      <w:tr w:rsidR="00DC0D74" w:rsidRPr="00612C15" w14:paraId="5C8C90D0" w14:textId="77777777" w:rsidTr="00DC0D74">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0EC748CD" w14:textId="42AEF734" w:rsidR="00DC0D74" w:rsidRPr="00612C15" w:rsidRDefault="00DC0D74" w:rsidP="00B85DB5">
            <w:pPr>
              <w:pStyle w:val="TableBodyText"/>
              <w:rPr>
                <w:rStyle w:val="Bold"/>
              </w:rPr>
            </w:pPr>
            <w:r>
              <w:rPr>
                <w:rStyle w:val="Bold"/>
              </w:rPr>
              <w:t>Total current contract liabilities</w:t>
            </w:r>
          </w:p>
        </w:tc>
        <w:tc>
          <w:tcPr>
            <w:tcW w:w="737" w:type="pct"/>
            <w:tcBorders>
              <w:top w:val="single" w:sz="4" w:space="0" w:color="auto"/>
              <w:bottom w:val="single" w:sz="4" w:space="0" w:color="auto"/>
            </w:tcBorders>
            <w:vAlign w:val="top"/>
          </w:tcPr>
          <w:p w14:paraId="0E40A39D" w14:textId="19D2036E" w:rsidR="00DC0D74" w:rsidRPr="00612C15"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79,225</w:t>
            </w:r>
          </w:p>
        </w:tc>
        <w:tc>
          <w:tcPr>
            <w:tcW w:w="731" w:type="pct"/>
            <w:tcBorders>
              <w:top w:val="single" w:sz="4" w:space="0" w:color="auto"/>
              <w:bottom w:val="single" w:sz="4" w:space="0" w:color="auto"/>
            </w:tcBorders>
            <w:vAlign w:val="top"/>
          </w:tcPr>
          <w:p w14:paraId="60D167EB" w14:textId="0B6CDB98" w:rsidR="00DC0D74" w:rsidRPr="00612C15"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73,620</w:t>
            </w:r>
          </w:p>
        </w:tc>
      </w:tr>
    </w:tbl>
    <w:p w14:paraId="04BA5449" w14:textId="76300C8E" w:rsidR="00DC0D74" w:rsidRDefault="00DC0D74" w:rsidP="00DC0D74">
      <w:pPr>
        <w:pStyle w:val="BodyText"/>
      </w:pPr>
      <w:r w:rsidRPr="00DC0D74">
        <w:rPr>
          <w:rStyle w:val="Bold"/>
        </w:rPr>
        <w:t>Unearned revenue from contracts with customers</w:t>
      </w:r>
      <w:r>
        <w:t xml:space="preserve"> represents consideration received in advance of the Corporation performing its contract obligations and will be recognised as revenue when the services are performed. This solely comprises developer contributions revenue. Refer to note </w:t>
      </w:r>
      <w:r w:rsidR="00506A67">
        <w:fldChar w:fldCharType="begin"/>
      </w:r>
      <w:r w:rsidR="00506A67">
        <w:instrText xml:space="preserve"> REF Note21 \h </w:instrText>
      </w:r>
      <w:r w:rsidR="00506A67">
        <w:fldChar w:fldCharType="separate"/>
      </w:r>
      <w:r w:rsidR="00472151" w:rsidRPr="00D84113">
        <w:t xml:space="preserve">2.1 </w:t>
      </w:r>
      <w:r w:rsidR="00506A67">
        <w:fldChar w:fldCharType="end"/>
      </w:r>
      <w:r>
        <w:t>.</w:t>
      </w:r>
    </w:p>
    <w:p w14:paraId="6DC04451" w14:textId="569BDA24" w:rsidR="00DC0D74" w:rsidRPr="00EA009D" w:rsidRDefault="00DC0D74" w:rsidP="00DC0D74">
      <w:pPr>
        <w:pStyle w:val="Heading4"/>
      </w:pPr>
      <w:r>
        <w:t>Unearned revenue from contracts with customers</w:t>
      </w:r>
    </w:p>
    <w:tbl>
      <w:tblPr>
        <w:tblStyle w:val="Style1"/>
        <w:tblW w:w="5000" w:type="pct"/>
        <w:tblLook w:val="04A0" w:firstRow="1" w:lastRow="0" w:firstColumn="1" w:lastColumn="0" w:noHBand="0" w:noVBand="1"/>
      </w:tblPr>
      <w:tblGrid>
        <w:gridCol w:w="6803"/>
        <w:gridCol w:w="1420"/>
        <w:gridCol w:w="1408"/>
      </w:tblGrid>
      <w:tr w:rsidR="00DC0D74" w:rsidRPr="00B85DB5" w14:paraId="0E57DD18"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0409CF17" w14:textId="77777777" w:rsidR="00DC0D74" w:rsidRPr="00B85DB5" w:rsidRDefault="00DC0D74" w:rsidP="00B85DB5">
            <w:bookmarkStart w:id="965" w:name="ColumnTitle_57"/>
            <w:r w:rsidRPr="00B85DB5">
              <w:t>Item</w:t>
            </w:r>
          </w:p>
        </w:tc>
        <w:tc>
          <w:tcPr>
            <w:tcW w:w="737" w:type="pct"/>
            <w:tcBorders>
              <w:top w:val="single" w:sz="4" w:space="0" w:color="auto"/>
            </w:tcBorders>
            <w:vAlign w:val="bottom"/>
          </w:tcPr>
          <w:p w14:paraId="075A5BFB"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2021</w:t>
            </w:r>
          </w:p>
          <w:p w14:paraId="30876F9F"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 thousands)</w:t>
            </w:r>
          </w:p>
        </w:tc>
        <w:tc>
          <w:tcPr>
            <w:tcW w:w="731" w:type="pct"/>
            <w:tcBorders>
              <w:top w:val="single" w:sz="4" w:space="0" w:color="auto"/>
            </w:tcBorders>
            <w:vAlign w:val="bottom"/>
          </w:tcPr>
          <w:p w14:paraId="56D1EC85"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2020</w:t>
            </w:r>
          </w:p>
          <w:p w14:paraId="4E6B8847" w14:textId="77777777" w:rsidR="00DC0D74" w:rsidRPr="00B85DB5" w:rsidRDefault="00DC0D74" w:rsidP="00B85DB5">
            <w:pPr>
              <w:cnfStyle w:val="100000000000" w:firstRow="1" w:lastRow="0" w:firstColumn="0" w:lastColumn="0" w:oddVBand="0" w:evenVBand="0" w:oddHBand="0" w:evenHBand="0" w:firstRowFirstColumn="0" w:firstRowLastColumn="0" w:lastRowFirstColumn="0" w:lastRowLastColumn="0"/>
            </w:pPr>
            <w:r w:rsidRPr="00B85DB5">
              <w:t>($ thousands)</w:t>
            </w:r>
          </w:p>
        </w:tc>
      </w:tr>
      <w:bookmarkEnd w:id="965"/>
      <w:tr w:rsidR="00DC0D74" w:rsidRPr="00D84113" w14:paraId="37068A5B"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29F0B8A6" w14:textId="66F16AB6" w:rsidR="00DC0D74" w:rsidRDefault="00DC0D74" w:rsidP="00B85DB5">
            <w:pPr>
              <w:pStyle w:val="TableBodyText"/>
            </w:pPr>
            <w:r>
              <w:t>Unearned revenue at the beginning of the financial year</w:t>
            </w:r>
          </w:p>
        </w:tc>
        <w:tc>
          <w:tcPr>
            <w:tcW w:w="737" w:type="pct"/>
            <w:vAlign w:val="top"/>
          </w:tcPr>
          <w:p w14:paraId="12E88376" w14:textId="350B7D40"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66,523</w:t>
            </w:r>
          </w:p>
        </w:tc>
        <w:tc>
          <w:tcPr>
            <w:tcW w:w="731" w:type="pct"/>
            <w:vAlign w:val="top"/>
          </w:tcPr>
          <w:p w14:paraId="7D080075" w14:textId="1B7913F1"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71,036</w:t>
            </w:r>
          </w:p>
        </w:tc>
      </w:tr>
      <w:tr w:rsidR="00DC0D74" w:rsidRPr="00D84113" w14:paraId="35A646AA"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1BA3FDDB" w14:textId="127219FD" w:rsidR="00DC0D74" w:rsidRDefault="00DC0D74" w:rsidP="00B85DB5">
            <w:pPr>
              <w:pStyle w:val="TableBodyText"/>
            </w:pPr>
            <w:r>
              <w:t>Consideration received in the year before performance obligations are satisfied</w:t>
            </w:r>
          </w:p>
        </w:tc>
        <w:tc>
          <w:tcPr>
            <w:tcW w:w="737" w:type="pct"/>
            <w:vAlign w:val="top"/>
          </w:tcPr>
          <w:p w14:paraId="7D4E8017" w14:textId="72E44AE3"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192,452</w:t>
            </w:r>
          </w:p>
        </w:tc>
        <w:tc>
          <w:tcPr>
            <w:tcW w:w="731" w:type="pct"/>
            <w:vAlign w:val="top"/>
          </w:tcPr>
          <w:p w14:paraId="4794E1C6" w14:textId="6918A56E"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183,043</w:t>
            </w:r>
          </w:p>
        </w:tc>
      </w:tr>
      <w:tr w:rsidR="00DC0D74" w:rsidRPr="00D84113" w14:paraId="2BE98FCA"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10F696A9" w14:textId="23D5AE8A" w:rsidR="00DC0D74" w:rsidRDefault="00DC0D74" w:rsidP="00B85DB5">
            <w:pPr>
              <w:pStyle w:val="TableBodyText"/>
            </w:pPr>
            <w:r>
              <w:t>Performance obligations satisfied during the period and recognised as revenue (net of interest)</w:t>
            </w:r>
          </w:p>
        </w:tc>
        <w:tc>
          <w:tcPr>
            <w:tcW w:w="737" w:type="pct"/>
            <w:tcBorders>
              <w:bottom w:val="single" w:sz="4" w:space="0" w:color="auto"/>
            </w:tcBorders>
            <w:vAlign w:val="top"/>
          </w:tcPr>
          <w:p w14:paraId="5EFE7D73" w14:textId="1670D6C6"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(186,721)</w:t>
            </w:r>
          </w:p>
        </w:tc>
        <w:tc>
          <w:tcPr>
            <w:tcW w:w="731" w:type="pct"/>
            <w:tcBorders>
              <w:bottom w:val="single" w:sz="4" w:space="0" w:color="auto"/>
            </w:tcBorders>
            <w:vAlign w:val="top"/>
          </w:tcPr>
          <w:p w14:paraId="641F9D7C" w14:textId="5DC47F51" w:rsidR="00DC0D74" w:rsidRDefault="00DC0D74" w:rsidP="00B85DB5">
            <w:pPr>
              <w:pStyle w:val="TableBodyText"/>
              <w:cnfStyle w:val="000000000000" w:firstRow="0" w:lastRow="0" w:firstColumn="0" w:lastColumn="0" w:oddVBand="0" w:evenVBand="0" w:oddHBand="0" w:evenHBand="0" w:firstRowFirstColumn="0" w:firstRowLastColumn="0" w:lastRowFirstColumn="0" w:lastRowLastColumn="0"/>
            </w:pPr>
            <w:r>
              <w:t>(187,556)</w:t>
            </w:r>
          </w:p>
        </w:tc>
      </w:tr>
      <w:tr w:rsidR="00DC0D74" w:rsidRPr="00612C15" w14:paraId="6177E2CE"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3A3E07E2" w14:textId="23B4F655" w:rsidR="00DC0D74" w:rsidRPr="00612C15" w:rsidRDefault="00DC0D74" w:rsidP="00B85DB5">
            <w:pPr>
              <w:pStyle w:val="TableBodyText"/>
              <w:rPr>
                <w:rStyle w:val="Bold"/>
              </w:rPr>
            </w:pPr>
            <w:r>
              <w:rPr>
                <w:rStyle w:val="Bold"/>
              </w:rPr>
              <w:t>Unearned revenue from contracts with customers</w:t>
            </w:r>
          </w:p>
        </w:tc>
        <w:tc>
          <w:tcPr>
            <w:tcW w:w="737" w:type="pct"/>
            <w:tcBorders>
              <w:top w:val="single" w:sz="4" w:space="0" w:color="auto"/>
              <w:bottom w:val="single" w:sz="4" w:space="0" w:color="auto"/>
            </w:tcBorders>
            <w:vAlign w:val="top"/>
          </w:tcPr>
          <w:p w14:paraId="78C13839" w14:textId="59EDE951" w:rsidR="00DC0D74" w:rsidRPr="00612C15"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72,254</w:t>
            </w:r>
          </w:p>
        </w:tc>
        <w:tc>
          <w:tcPr>
            <w:tcW w:w="731" w:type="pct"/>
            <w:tcBorders>
              <w:top w:val="single" w:sz="4" w:space="0" w:color="auto"/>
              <w:bottom w:val="single" w:sz="4" w:space="0" w:color="auto"/>
            </w:tcBorders>
            <w:vAlign w:val="top"/>
          </w:tcPr>
          <w:p w14:paraId="2796DBB8" w14:textId="08153A39" w:rsidR="00DC0D74" w:rsidRPr="00612C15" w:rsidRDefault="00DC0D74"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66,523</w:t>
            </w:r>
          </w:p>
        </w:tc>
      </w:tr>
    </w:tbl>
    <w:p w14:paraId="2E4B2DE0" w14:textId="111BAD14" w:rsidR="00DA71F3" w:rsidRDefault="00BD3B8C" w:rsidP="00BD3B8C">
      <w:pPr>
        <w:pStyle w:val="BodyText"/>
      </w:pPr>
      <w:r w:rsidRPr="00BD3B8C">
        <w:rPr>
          <w:rStyle w:val="Bold"/>
        </w:rPr>
        <w:t>Other unearned revenue</w:t>
      </w:r>
      <w:r>
        <w:t xml:space="preserve"> represents revenue received in advance in relation to other income (that is, grants) and will be recognised as revenue when the services are performed.</w:t>
      </w:r>
    </w:p>
    <w:p w14:paraId="5F623A2E" w14:textId="107D3AC0" w:rsidR="00BD3B8C" w:rsidRPr="00EA009D" w:rsidRDefault="00BD3B8C" w:rsidP="00BD3B8C">
      <w:pPr>
        <w:pStyle w:val="Heading3"/>
      </w:pPr>
      <w:bookmarkStart w:id="966" w:name="Note311"/>
      <w:bookmarkStart w:id="967" w:name="_Toc89723128"/>
      <w:bookmarkStart w:id="968" w:name="_Ref89806542"/>
      <w:bookmarkStart w:id="969" w:name="_Ref89843652"/>
      <w:bookmarkStart w:id="970" w:name="_Ref89845244"/>
      <w:bookmarkStart w:id="971" w:name="_Toc90326073"/>
      <w:bookmarkStart w:id="972" w:name="_Toc93659479"/>
      <w:r>
        <w:t xml:space="preserve">3.11 </w:t>
      </w:r>
      <w:bookmarkEnd w:id="966"/>
      <w:r>
        <w:t>Other current assets</w:t>
      </w:r>
      <w:bookmarkEnd w:id="967"/>
      <w:bookmarkEnd w:id="968"/>
      <w:bookmarkEnd w:id="969"/>
      <w:bookmarkEnd w:id="970"/>
      <w:bookmarkEnd w:id="971"/>
      <w:bookmarkEnd w:id="972"/>
    </w:p>
    <w:tbl>
      <w:tblPr>
        <w:tblStyle w:val="Style1"/>
        <w:tblW w:w="5000" w:type="pct"/>
        <w:tblLook w:val="04A0" w:firstRow="1" w:lastRow="0" w:firstColumn="1" w:lastColumn="0" w:noHBand="0" w:noVBand="1"/>
      </w:tblPr>
      <w:tblGrid>
        <w:gridCol w:w="6803"/>
        <w:gridCol w:w="1420"/>
        <w:gridCol w:w="1408"/>
      </w:tblGrid>
      <w:tr w:rsidR="00BD3B8C" w:rsidRPr="00B85DB5" w14:paraId="6B1FE212"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565ED0EC" w14:textId="77777777" w:rsidR="00BD3B8C" w:rsidRPr="00B85DB5" w:rsidRDefault="00BD3B8C" w:rsidP="00B85DB5">
            <w:bookmarkStart w:id="973" w:name="ColumnTitle_58"/>
            <w:r w:rsidRPr="00B85DB5">
              <w:t>Item</w:t>
            </w:r>
          </w:p>
        </w:tc>
        <w:tc>
          <w:tcPr>
            <w:tcW w:w="737" w:type="pct"/>
            <w:tcBorders>
              <w:top w:val="single" w:sz="4" w:space="0" w:color="auto"/>
            </w:tcBorders>
            <w:vAlign w:val="bottom"/>
          </w:tcPr>
          <w:p w14:paraId="0E81E240" w14:textId="77777777" w:rsidR="00BD3B8C" w:rsidRPr="00B85DB5" w:rsidRDefault="00BD3B8C" w:rsidP="00B85DB5">
            <w:pPr>
              <w:cnfStyle w:val="100000000000" w:firstRow="1" w:lastRow="0" w:firstColumn="0" w:lastColumn="0" w:oddVBand="0" w:evenVBand="0" w:oddHBand="0" w:evenHBand="0" w:firstRowFirstColumn="0" w:firstRowLastColumn="0" w:lastRowFirstColumn="0" w:lastRowLastColumn="0"/>
            </w:pPr>
            <w:r w:rsidRPr="00B85DB5">
              <w:t>2021</w:t>
            </w:r>
          </w:p>
          <w:p w14:paraId="27D17609" w14:textId="77777777" w:rsidR="00BD3B8C" w:rsidRPr="00B85DB5" w:rsidRDefault="00BD3B8C" w:rsidP="00B85DB5">
            <w:pPr>
              <w:cnfStyle w:val="100000000000" w:firstRow="1" w:lastRow="0" w:firstColumn="0" w:lastColumn="0" w:oddVBand="0" w:evenVBand="0" w:oddHBand="0" w:evenHBand="0" w:firstRowFirstColumn="0" w:firstRowLastColumn="0" w:lastRowFirstColumn="0" w:lastRowLastColumn="0"/>
            </w:pPr>
            <w:r w:rsidRPr="00B85DB5">
              <w:t>($ thousands)</w:t>
            </w:r>
          </w:p>
        </w:tc>
        <w:tc>
          <w:tcPr>
            <w:tcW w:w="731" w:type="pct"/>
            <w:tcBorders>
              <w:top w:val="single" w:sz="4" w:space="0" w:color="auto"/>
            </w:tcBorders>
            <w:vAlign w:val="bottom"/>
          </w:tcPr>
          <w:p w14:paraId="29AA075F" w14:textId="77777777" w:rsidR="00BD3B8C" w:rsidRPr="00B85DB5" w:rsidRDefault="00BD3B8C" w:rsidP="00B85DB5">
            <w:pPr>
              <w:cnfStyle w:val="100000000000" w:firstRow="1" w:lastRow="0" w:firstColumn="0" w:lastColumn="0" w:oddVBand="0" w:evenVBand="0" w:oddHBand="0" w:evenHBand="0" w:firstRowFirstColumn="0" w:firstRowLastColumn="0" w:lastRowFirstColumn="0" w:lastRowLastColumn="0"/>
            </w:pPr>
            <w:r w:rsidRPr="00B85DB5">
              <w:t>2020</w:t>
            </w:r>
          </w:p>
          <w:p w14:paraId="7AE981A7" w14:textId="77777777" w:rsidR="00BD3B8C" w:rsidRPr="00B85DB5" w:rsidRDefault="00BD3B8C" w:rsidP="00B85DB5">
            <w:pPr>
              <w:cnfStyle w:val="100000000000" w:firstRow="1" w:lastRow="0" w:firstColumn="0" w:lastColumn="0" w:oddVBand="0" w:evenVBand="0" w:oddHBand="0" w:evenHBand="0" w:firstRowFirstColumn="0" w:firstRowLastColumn="0" w:lastRowFirstColumn="0" w:lastRowLastColumn="0"/>
            </w:pPr>
            <w:r w:rsidRPr="00B85DB5">
              <w:t>($ thousands)</w:t>
            </w:r>
          </w:p>
        </w:tc>
      </w:tr>
      <w:bookmarkEnd w:id="973"/>
      <w:tr w:rsidR="00BD3B8C" w:rsidRPr="00D84113" w14:paraId="6C531D99"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36229046" w14:textId="1A5108BE" w:rsidR="00BD3B8C" w:rsidRDefault="00BD3B8C" w:rsidP="00B85DB5">
            <w:pPr>
              <w:pStyle w:val="TableBodyText"/>
            </w:pPr>
            <w:r>
              <w:t>Prepayments</w:t>
            </w:r>
          </w:p>
        </w:tc>
        <w:tc>
          <w:tcPr>
            <w:tcW w:w="737" w:type="pct"/>
            <w:vAlign w:val="top"/>
          </w:tcPr>
          <w:p w14:paraId="67058F97" w14:textId="049DB876" w:rsidR="00BD3B8C" w:rsidRDefault="00BD3B8C" w:rsidP="00B85DB5">
            <w:pPr>
              <w:pStyle w:val="TableBodyText"/>
              <w:cnfStyle w:val="000000000000" w:firstRow="0" w:lastRow="0" w:firstColumn="0" w:lastColumn="0" w:oddVBand="0" w:evenVBand="0" w:oddHBand="0" w:evenHBand="0" w:firstRowFirstColumn="0" w:firstRowLastColumn="0" w:lastRowFirstColumn="0" w:lastRowLastColumn="0"/>
            </w:pPr>
            <w:r>
              <w:t>7,845</w:t>
            </w:r>
          </w:p>
        </w:tc>
        <w:tc>
          <w:tcPr>
            <w:tcW w:w="731" w:type="pct"/>
            <w:vAlign w:val="top"/>
          </w:tcPr>
          <w:p w14:paraId="5B627C9B" w14:textId="7839E9C0" w:rsidR="00BD3B8C" w:rsidRDefault="00BD3B8C" w:rsidP="00B85DB5">
            <w:pPr>
              <w:pStyle w:val="TableBodyText"/>
              <w:cnfStyle w:val="000000000000" w:firstRow="0" w:lastRow="0" w:firstColumn="0" w:lastColumn="0" w:oddVBand="0" w:evenVBand="0" w:oddHBand="0" w:evenHBand="0" w:firstRowFirstColumn="0" w:firstRowLastColumn="0" w:lastRowFirstColumn="0" w:lastRowLastColumn="0"/>
            </w:pPr>
            <w:r>
              <w:t>8,507</w:t>
            </w:r>
          </w:p>
        </w:tc>
      </w:tr>
      <w:tr w:rsidR="00BD3B8C" w:rsidRPr="00D84113" w14:paraId="48843D2D"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4BA367E0" w14:textId="724CAB78" w:rsidR="00BD3B8C" w:rsidRDefault="00BD3B8C" w:rsidP="00B85DB5">
            <w:pPr>
              <w:pStyle w:val="TableBodyText"/>
            </w:pPr>
            <w:r>
              <w:t>Inventories</w:t>
            </w:r>
          </w:p>
        </w:tc>
        <w:tc>
          <w:tcPr>
            <w:tcW w:w="737" w:type="pct"/>
            <w:tcBorders>
              <w:bottom w:val="single" w:sz="4" w:space="0" w:color="auto"/>
            </w:tcBorders>
            <w:vAlign w:val="top"/>
          </w:tcPr>
          <w:p w14:paraId="56D4C86D" w14:textId="57B820BB" w:rsidR="00BD3B8C" w:rsidRDefault="00BD3B8C" w:rsidP="00B85DB5">
            <w:pPr>
              <w:pStyle w:val="TableBodyText"/>
              <w:cnfStyle w:val="000000000000" w:firstRow="0" w:lastRow="0" w:firstColumn="0" w:lastColumn="0" w:oddVBand="0" w:evenVBand="0" w:oddHBand="0" w:evenHBand="0" w:firstRowFirstColumn="0" w:firstRowLastColumn="0" w:lastRowFirstColumn="0" w:lastRowLastColumn="0"/>
            </w:pPr>
            <w:r>
              <w:t>9,429</w:t>
            </w:r>
          </w:p>
        </w:tc>
        <w:tc>
          <w:tcPr>
            <w:tcW w:w="731" w:type="pct"/>
            <w:tcBorders>
              <w:bottom w:val="single" w:sz="4" w:space="0" w:color="auto"/>
            </w:tcBorders>
            <w:vAlign w:val="top"/>
          </w:tcPr>
          <w:p w14:paraId="3C19E573" w14:textId="060229D0" w:rsidR="00BD3B8C" w:rsidRDefault="00BD3B8C" w:rsidP="00B85DB5">
            <w:pPr>
              <w:pStyle w:val="TableBodyText"/>
              <w:cnfStyle w:val="000000000000" w:firstRow="0" w:lastRow="0" w:firstColumn="0" w:lastColumn="0" w:oddVBand="0" w:evenVBand="0" w:oddHBand="0" w:evenHBand="0" w:firstRowFirstColumn="0" w:firstRowLastColumn="0" w:lastRowFirstColumn="0" w:lastRowLastColumn="0"/>
            </w:pPr>
            <w:r>
              <w:t>9,955</w:t>
            </w:r>
          </w:p>
        </w:tc>
      </w:tr>
      <w:tr w:rsidR="00BD3B8C" w:rsidRPr="00612C15" w14:paraId="3C518759"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bottom w:val="single" w:sz="4" w:space="0" w:color="auto"/>
            </w:tcBorders>
            <w:vAlign w:val="top"/>
          </w:tcPr>
          <w:p w14:paraId="142BBD5E" w14:textId="6F636118" w:rsidR="00BD3B8C" w:rsidRPr="00612C15" w:rsidRDefault="00BD3B8C" w:rsidP="00B85DB5">
            <w:pPr>
              <w:pStyle w:val="TableBodyText"/>
              <w:rPr>
                <w:rStyle w:val="Bold"/>
              </w:rPr>
            </w:pPr>
            <w:r>
              <w:rPr>
                <w:rStyle w:val="Bold"/>
              </w:rPr>
              <w:t>Total other current assets</w:t>
            </w:r>
          </w:p>
        </w:tc>
        <w:tc>
          <w:tcPr>
            <w:tcW w:w="737" w:type="pct"/>
            <w:tcBorders>
              <w:top w:val="single" w:sz="4" w:space="0" w:color="auto"/>
              <w:bottom w:val="single" w:sz="4" w:space="0" w:color="auto"/>
            </w:tcBorders>
            <w:vAlign w:val="top"/>
          </w:tcPr>
          <w:p w14:paraId="6D0C86B4" w14:textId="521CEFD1" w:rsidR="00BD3B8C" w:rsidRPr="00612C15" w:rsidRDefault="00BD3B8C"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17,274</w:t>
            </w:r>
          </w:p>
        </w:tc>
        <w:tc>
          <w:tcPr>
            <w:tcW w:w="731" w:type="pct"/>
            <w:tcBorders>
              <w:top w:val="single" w:sz="4" w:space="0" w:color="auto"/>
              <w:bottom w:val="single" w:sz="4" w:space="0" w:color="auto"/>
            </w:tcBorders>
            <w:vAlign w:val="top"/>
          </w:tcPr>
          <w:p w14:paraId="14989324" w14:textId="12BBAF43" w:rsidR="00BD3B8C" w:rsidRPr="00612C15" w:rsidRDefault="00BD3B8C" w:rsidP="00B85DB5">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18,462</w:t>
            </w:r>
          </w:p>
        </w:tc>
      </w:tr>
    </w:tbl>
    <w:p w14:paraId="6DCB8D3D" w14:textId="2696028B" w:rsidR="00BD3B8C" w:rsidRDefault="00BD3B8C" w:rsidP="00BD3B8C">
      <w:pPr>
        <w:pStyle w:val="BodyText"/>
      </w:pPr>
      <w:r w:rsidRPr="00BD3B8C">
        <w:rPr>
          <w:rStyle w:val="Bold"/>
        </w:rPr>
        <w:t>Prepayments</w:t>
      </w:r>
      <w:r>
        <w:t xml:space="preserve"> represent payments in advance of receipt of goods or services or that part of expenditure made in one accounting period covering a term extending beyond that period.</w:t>
      </w:r>
    </w:p>
    <w:p w14:paraId="7A6A9983" w14:textId="1B1AA9FB" w:rsidR="00BD3B8C" w:rsidRDefault="00BD3B8C" w:rsidP="00BD3B8C">
      <w:pPr>
        <w:pStyle w:val="BodyText"/>
      </w:pPr>
      <w:r w:rsidRPr="00BD3B8C">
        <w:rPr>
          <w:rStyle w:val="Bold"/>
        </w:rPr>
        <w:t>Inventories</w:t>
      </w:r>
      <w:r>
        <w:t xml:space="preserve"> are used in the construction of new works and for the repair and maintenance of existing assets. Inventories are valued at the lower of cost and net realisable value.</w:t>
      </w:r>
    </w:p>
    <w:p w14:paraId="14C14F6B" w14:textId="16BB3D8F" w:rsidR="00BD3B8C" w:rsidRPr="00EA009D" w:rsidRDefault="00BD3B8C" w:rsidP="00BD3B8C">
      <w:pPr>
        <w:pStyle w:val="Heading3"/>
      </w:pPr>
      <w:bookmarkStart w:id="974" w:name="Note312"/>
      <w:bookmarkStart w:id="975" w:name="_Toc89723129"/>
      <w:bookmarkStart w:id="976" w:name="_Ref89844001"/>
      <w:bookmarkStart w:id="977" w:name="_Ref89844004"/>
      <w:bookmarkStart w:id="978" w:name="_Ref89845257"/>
      <w:bookmarkStart w:id="979" w:name="_Toc90326074"/>
      <w:bookmarkStart w:id="980" w:name="_Toc93659480"/>
      <w:r>
        <w:lastRenderedPageBreak/>
        <w:t xml:space="preserve">3.12 </w:t>
      </w:r>
      <w:bookmarkEnd w:id="974"/>
      <w:r>
        <w:t>Provisions</w:t>
      </w:r>
      <w:bookmarkEnd w:id="975"/>
      <w:bookmarkEnd w:id="976"/>
      <w:bookmarkEnd w:id="977"/>
      <w:bookmarkEnd w:id="978"/>
      <w:bookmarkEnd w:id="979"/>
      <w:bookmarkEnd w:id="980"/>
    </w:p>
    <w:tbl>
      <w:tblPr>
        <w:tblStyle w:val="Style1"/>
        <w:tblW w:w="5000" w:type="pct"/>
        <w:tblLook w:val="04A0" w:firstRow="1" w:lastRow="0" w:firstColumn="1" w:lastColumn="0" w:noHBand="0" w:noVBand="1"/>
      </w:tblPr>
      <w:tblGrid>
        <w:gridCol w:w="6803"/>
        <w:gridCol w:w="1420"/>
        <w:gridCol w:w="1408"/>
      </w:tblGrid>
      <w:tr w:rsidR="00BD3B8C" w:rsidRPr="00AA67AE" w14:paraId="533C2BD6"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571072CB" w14:textId="77777777" w:rsidR="00BD3B8C" w:rsidRPr="00AA67AE" w:rsidRDefault="00BD3B8C" w:rsidP="00AA67AE">
            <w:bookmarkStart w:id="981" w:name="ColumnTitle_59"/>
            <w:r w:rsidRPr="00AA67AE">
              <w:t>Item</w:t>
            </w:r>
          </w:p>
        </w:tc>
        <w:tc>
          <w:tcPr>
            <w:tcW w:w="737" w:type="pct"/>
            <w:tcBorders>
              <w:top w:val="single" w:sz="4" w:space="0" w:color="auto"/>
            </w:tcBorders>
            <w:vAlign w:val="bottom"/>
          </w:tcPr>
          <w:p w14:paraId="2D10B50E" w14:textId="77777777" w:rsidR="00BD3B8C" w:rsidRPr="00AA67AE" w:rsidRDefault="00BD3B8C" w:rsidP="00AA67AE">
            <w:pPr>
              <w:cnfStyle w:val="100000000000" w:firstRow="1" w:lastRow="0" w:firstColumn="0" w:lastColumn="0" w:oddVBand="0" w:evenVBand="0" w:oddHBand="0" w:evenHBand="0" w:firstRowFirstColumn="0" w:firstRowLastColumn="0" w:lastRowFirstColumn="0" w:lastRowLastColumn="0"/>
            </w:pPr>
            <w:r w:rsidRPr="00AA67AE">
              <w:t>2021</w:t>
            </w:r>
          </w:p>
          <w:p w14:paraId="74FEB5B8" w14:textId="77777777" w:rsidR="00BD3B8C" w:rsidRPr="00AA67AE" w:rsidRDefault="00BD3B8C" w:rsidP="00AA67AE">
            <w:pPr>
              <w:cnfStyle w:val="100000000000" w:firstRow="1" w:lastRow="0" w:firstColumn="0" w:lastColumn="0" w:oddVBand="0" w:evenVBand="0" w:oddHBand="0" w:evenHBand="0" w:firstRowFirstColumn="0" w:firstRowLastColumn="0" w:lastRowFirstColumn="0" w:lastRowLastColumn="0"/>
            </w:pPr>
            <w:r w:rsidRPr="00AA67AE">
              <w:t>($ thousands)</w:t>
            </w:r>
          </w:p>
        </w:tc>
        <w:tc>
          <w:tcPr>
            <w:tcW w:w="731" w:type="pct"/>
            <w:tcBorders>
              <w:top w:val="single" w:sz="4" w:space="0" w:color="auto"/>
            </w:tcBorders>
            <w:vAlign w:val="bottom"/>
          </w:tcPr>
          <w:p w14:paraId="6A8E59AA" w14:textId="77777777" w:rsidR="00BD3B8C" w:rsidRPr="00AA67AE" w:rsidRDefault="00BD3B8C" w:rsidP="00AA67AE">
            <w:pPr>
              <w:cnfStyle w:val="100000000000" w:firstRow="1" w:lastRow="0" w:firstColumn="0" w:lastColumn="0" w:oddVBand="0" w:evenVBand="0" w:oddHBand="0" w:evenHBand="0" w:firstRowFirstColumn="0" w:firstRowLastColumn="0" w:lastRowFirstColumn="0" w:lastRowLastColumn="0"/>
            </w:pPr>
            <w:r w:rsidRPr="00AA67AE">
              <w:t>2020</w:t>
            </w:r>
          </w:p>
          <w:p w14:paraId="7212B87B" w14:textId="77777777" w:rsidR="00BD3B8C" w:rsidRPr="00AA67AE" w:rsidRDefault="00BD3B8C" w:rsidP="00AA67AE">
            <w:pPr>
              <w:cnfStyle w:val="100000000000" w:firstRow="1" w:lastRow="0" w:firstColumn="0" w:lastColumn="0" w:oddVBand="0" w:evenVBand="0" w:oddHBand="0" w:evenHBand="0" w:firstRowFirstColumn="0" w:firstRowLastColumn="0" w:lastRowFirstColumn="0" w:lastRowLastColumn="0"/>
            </w:pPr>
            <w:r w:rsidRPr="00AA67AE">
              <w:t>($ thousands)</w:t>
            </w:r>
          </w:p>
        </w:tc>
      </w:tr>
      <w:bookmarkEnd w:id="981"/>
      <w:tr w:rsidR="00BD3B8C" w:rsidRPr="00D84113" w14:paraId="45BE8245"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5357A8CC" w14:textId="0758E860" w:rsidR="00BD3B8C" w:rsidRPr="00BD3B8C" w:rsidRDefault="00BD3B8C" w:rsidP="00AA67AE">
            <w:pPr>
              <w:pStyle w:val="TableBodyText"/>
              <w:rPr>
                <w:rStyle w:val="Bold"/>
              </w:rPr>
            </w:pPr>
            <w:r w:rsidRPr="00BD3B8C">
              <w:rPr>
                <w:rStyle w:val="Bold"/>
              </w:rPr>
              <w:t>Current</w:t>
            </w:r>
          </w:p>
        </w:tc>
        <w:tc>
          <w:tcPr>
            <w:tcW w:w="737" w:type="pct"/>
            <w:vAlign w:val="top"/>
          </w:tcPr>
          <w:p w14:paraId="64F383FB" w14:textId="23DAA518"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6D1B2745" w14:textId="20D5AF3F"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N/A</w:t>
            </w:r>
          </w:p>
        </w:tc>
      </w:tr>
      <w:tr w:rsidR="00BD3B8C" w:rsidRPr="00D84113" w14:paraId="18B86F39"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466A92F9" w14:textId="5F171916" w:rsidR="00BD3B8C" w:rsidRDefault="00BD3B8C" w:rsidP="00AA67AE">
            <w:pPr>
              <w:pStyle w:val="TableBodyText"/>
            </w:pPr>
            <w:r>
              <w:t>Insurance claims</w:t>
            </w:r>
          </w:p>
        </w:tc>
        <w:tc>
          <w:tcPr>
            <w:tcW w:w="737" w:type="pct"/>
            <w:vAlign w:val="top"/>
          </w:tcPr>
          <w:p w14:paraId="01953952" w14:textId="5355B320"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421</w:t>
            </w:r>
          </w:p>
        </w:tc>
        <w:tc>
          <w:tcPr>
            <w:tcW w:w="731" w:type="pct"/>
            <w:vAlign w:val="top"/>
          </w:tcPr>
          <w:p w14:paraId="54C4B09E" w14:textId="618C8831"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842</w:t>
            </w:r>
          </w:p>
        </w:tc>
      </w:tr>
      <w:tr w:rsidR="00BD3B8C" w:rsidRPr="00D84113" w14:paraId="786BFCE8" w14:textId="77777777" w:rsidTr="00BD3B8C">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768FAA22" w14:textId="04F22BDB" w:rsidR="00BD3B8C" w:rsidRDefault="00BD3B8C" w:rsidP="00AA67AE">
            <w:pPr>
              <w:pStyle w:val="TableBodyText"/>
            </w:pPr>
            <w:r>
              <w:t>Other provisions</w:t>
            </w:r>
          </w:p>
        </w:tc>
        <w:tc>
          <w:tcPr>
            <w:tcW w:w="737" w:type="pct"/>
            <w:tcBorders>
              <w:bottom w:val="single" w:sz="4" w:space="0" w:color="auto"/>
            </w:tcBorders>
            <w:vAlign w:val="top"/>
          </w:tcPr>
          <w:p w14:paraId="007EBEAF" w14:textId="777F7F91"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5,056</w:t>
            </w:r>
          </w:p>
        </w:tc>
        <w:tc>
          <w:tcPr>
            <w:tcW w:w="731" w:type="pct"/>
            <w:tcBorders>
              <w:bottom w:val="single" w:sz="4" w:space="0" w:color="auto"/>
            </w:tcBorders>
            <w:vAlign w:val="top"/>
          </w:tcPr>
          <w:p w14:paraId="1965FB72" w14:textId="420139F9"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3,341</w:t>
            </w:r>
          </w:p>
        </w:tc>
      </w:tr>
      <w:tr w:rsidR="00BD3B8C" w:rsidRPr="00BD3B8C" w14:paraId="746F8246" w14:textId="77777777" w:rsidTr="00BD3B8C">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top"/>
          </w:tcPr>
          <w:p w14:paraId="776DC77E" w14:textId="31E9CBB6" w:rsidR="00BD3B8C" w:rsidRPr="00BD3B8C" w:rsidRDefault="00BD3B8C" w:rsidP="00AA67AE">
            <w:pPr>
              <w:pStyle w:val="TableBodyText"/>
              <w:rPr>
                <w:rStyle w:val="Bold"/>
              </w:rPr>
            </w:pPr>
            <w:r w:rsidRPr="00BD3B8C">
              <w:rPr>
                <w:rStyle w:val="Bold"/>
              </w:rPr>
              <w:t>Total provisions – current</w:t>
            </w:r>
          </w:p>
        </w:tc>
        <w:tc>
          <w:tcPr>
            <w:tcW w:w="737" w:type="pct"/>
            <w:tcBorders>
              <w:top w:val="single" w:sz="4" w:space="0" w:color="auto"/>
            </w:tcBorders>
            <w:vAlign w:val="top"/>
          </w:tcPr>
          <w:p w14:paraId="498B1FCA" w14:textId="5AE64C2F" w:rsidR="00BD3B8C" w:rsidRP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BD3B8C">
              <w:rPr>
                <w:rStyle w:val="Bold"/>
              </w:rPr>
              <w:t>5,477</w:t>
            </w:r>
          </w:p>
        </w:tc>
        <w:tc>
          <w:tcPr>
            <w:tcW w:w="731" w:type="pct"/>
            <w:tcBorders>
              <w:top w:val="single" w:sz="4" w:space="0" w:color="auto"/>
            </w:tcBorders>
            <w:vAlign w:val="top"/>
          </w:tcPr>
          <w:p w14:paraId="794F5B53" w14:textId="0502FA15" w:rsidR="00BD3B8C" w:rsidRP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BD3B8C">
              <w:rPr>
                <w:rStyle w:val="Bold"/>
              </w:rPr>
              <w:t>4,183</w:t>
            </w:r>
          </w:p>
        </w:tc>
      </w:tr>
      <w:tr w:rsidR="00BD3B8C" w:rsidRPr="00D84113" w14:paraId="2F734C5A" w14:textId="77777777" w:rsidTr="00BD3B8C">
        <w:tc>
          <w:tcPr>
            <w:cnfStyle w:val="001000000000" w:firstRow="0" w:lastRow="0" w:firstColumn="1" w:lastColumn="0" w:oddVBand="0" w:evenVBand="0" w:oddHBand="0" w:evenHBand="0" w:firstRowFirstColumn="0" w:firstRowLastColumn="0" w:lastRowFirstColumn="0" w:lastRowLastColumn="0"/>
            <w:tcW w:w="3532" w:type="pct"/>
            <w:vAlign w:val="top"/>
          </w:tcPr>
          <w:p w14:paraId="2EEF9FDC" w14:textId="074017E7" w:rsidR="00BD3B8C" w:rsidRPr="00BD3B8C" w:rsidRDefault="00BD3B8C" w:rsidP="00AA67AE">
            <w:pPr>
              <w:pStyle w:val="TableBodyText"/>
              <w:rPr>
                <w:rStyle w:val="Bold"/>
              </w:rPr>
            </w:pPr>
            <w:r w:rsidRPr="00BD3B8C">
              <w:rPr>
                <w:rStyle w:val="Bold"/>
              </w:rPr>
              <w:t>Non-current</w:t>
            </w:r>
          </w:p>
        </w:tc>
        <w:tc>
          <w:tcPr>
            <w:tcW w:w="737" w:type="pct"/>
            <w:vAlign w:val="top"/>
          </w:tcPr>
          <w:p w14:paraId="39D48CF8" w14:textId="422F7A4B"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2A30DBF7" w14:textId="7ED4A5A3"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N/A</w:t>
            </w:r>
          </w:p>
        </w:tc>
      </w:tr>
      <w:tr w:rsidR="00BD3B8C" w:rsidRPr="00D84113" w14:paraId="7D81D604" w14:textId="77777777" w:rsidTr="00BD3B8C">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3757CF2C" w14:textId="093753F7" w:rsidR="00BD3B8C" w:rsidRDefault="00BD3B8C" w:rsidP="00AA67AE">
            <w:pPr>
              <w:pStyle w:val="TableBodyText"/>
            </w:pPr>
            <w:r>
              <w:t>Insurance claims</w:t>
            </w:r>
          </w:p>
        </w:tc>
        <w:tc>
          <w:tcPr>
            <w:tcW w:w="737" w:type="pct"/>
            <w:tcBorders>
              <w:bottom w:val="single" w:sz="4" w:space="0" w:color="auto"/>
            </w:tcBorders>
            <w:vAlign w:val="top"/>
          </w:tcPr>
          <w:p w14:paraId="3EB39829" w14:textId="5A34E587"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595</w:t>
            </w:r>
          </w:p>
        </w:tc>
        <w:tc>
          <w:tcPr>
            <w:tcW w:w="731" w:type="pct"/>
            <w:tcBorders>
              <w:bottom w:val="single" w:sz="4" w:space="0" w:color="auto"/>
            </w:tcBorders>
            <w:vAlign w:val="top"/>
          </w:tcPr>
          <w:p w14:paraId="0AE13A2F" w14:textId="77C64E70" w:rsid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pPr>
            <w:r>
              <w:t>1,223</w:t>
            </w:r>
          </w:p>
        </w:tc>
      </w:tr>
      <w:tr w:rsidR="00BD3B8C" w:rsidRPr="00BD3B8C" w14:paraId="46F135A2"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347F0083" w14:textId="67E699E7" w:rsidR="00BD3B8C" w:rsidRPr="00BD3B8C" w:rsidRDefault="00BD3B8C" w:rsidP="00AA67AE">
            <w:pPr>
              <w:pStyle w:val="TableBodyText"/>
              <w:rPr>
                <w:rStyle w:val="Bold"/>
              </w:rPr>
            </w:pPr>
            <w:r w:rsidRPr="00BD3B8C">
              <w:rPr>
                <w:rStyle w:val="Bold"/>
              </w:rPr>
              <w:t>Total provisions – non-current</w:t>
            </w:r>
          </w:p>
        </w:tc>
        <w:tc>
          <w:tcPr>
            <w:tcW w:w="737" w:type="pct"/>
            <w:tcBorders>
              <w:bottom w:val="single" w:sz="4" w:space="0" w:color="auto"/>
            </w:tcBorders>
            <w:vAlign w:val="top"/>
          </w:tcPr>
          <w:p w14:paraId="074361CF" w14:textId="3E3C9911" w:rsidR="00BD3B8C" w:rsidRP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BD3B8C">
              <w:rPr>
                <w:rStyle w:val="Bold"/>
              </w:rPr>
              <w:t>595</w:t>
            </w:r>
          </w:p>
        </w:tc>
        <w:tc>
          <w:tcPr>
            <w:tcW w:w="731" w:type="pct"/>
            <w:tcBorders>
              <w:bottom w:val="single" w:sz="4" w:space="0" w:color="auto"/>
            </w:tcBorders>
            <w:vAlign w:val="top"/>
          </w:tcPr>
          <w:p w14:paraId="3F0BE8DD" w14:textId="6363DDF8" w:rsidR="00BD3B8C" w:rsidRP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BD3B8C">
              <w:rPr>
                <w:rStyle w:val="Bold"/>
              </w:rPr>
              <w:t>1,223</w:t>
            </w:r>
          </w:p>
        </w:tc>
      </w:tr>
      <w:tr w:rsidR="00BD3B8C" w:rsidRPr="00BD3B8C" w14:paraId="41F1BECC"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1020C12B" w14:textId="02D52130" w:rsidR="00BD3B8C" w:rsidRPr="00BD3B8C" w:rsidRDefault="00BD3B8C" w:rsidP="00AA67AE">
            <w:pPr>
              <w:pStyle w:val="TableBodyText"/>
              <w:rPr>
                <w:rStyle w:val="Bold"/>
              </w:rPr>
            </w:pPr>
            <w:r w:rsidRPr="00BD3B8C">
              <w:rPr>
                <w:rStyle w:val="Bold"/>
              </w:rPr>
              <w:t>Total provisions</w:t>
            </w:r>
          </w:p>
        </w:tc>
        <w:tc>
          <w:tcPr>
            <w:tcW w:w="737" w:type="pct"/>
            <w:tcBorders>
              <w:bottom w:val="single" w:sz="4" w:space="0" w:color="auto"/>
            </w:tcBorders>
            <w:vAlign w:val="top"/>
          </w:tcPr>
          <w:p w14:paraId="539F3BBA" w14:textId="70396D85" w:rsidR="00BD3B8C" w:rsidRPr="00BD3B8C" w:rsidRDefault="00BD3B8C"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BD3B8C">
              <w:rPr>
                <w:rStyle w:val="Bold"/>
              </w:rPr>
              <w:t>6,072</w:t>
            </w:r>
          </w:p>
        </w:tc>
        <w:tc>
          <w:tcPr>
            <w:tcW w:w="731" w:type="pct"/>
            <w:tcBorders>
              <w:bottom w:val="single" w:sz="4" w:space="0" w:color="auto"/>
            </w:tcBorders>
            <w:vAlign w:val="top"/>
          </w:tcPr>
          <w:p w14:paraId="1EC335C0" w14:textId="3F3608A7" w:rsidR="00BD3B8C" w:rsidRPr="00BD3B8C" w:rsidRDefault="00AA67AE"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5,406</w:t>
            </w:r>
          </w:p>
        </w:tc>
      </w:tr>
    </w:tbl>
    <w:p w14:paraId="2B16AD4C" w14:textId="2EFFB7E3" w:rsidR="009E366A" w:rsidRPr="00EA009D" w:rsidRDefault="009E366A" w:rsidP="009E366A">
      <w:pPr>
        <w:pStyle w:val="Heading4"/>
      </w:pPr>
      <w:r>
        <w:t>Reconciliation of movement in provisions</w:t>
      </w:r>
    </w:p>
    <w:tbl>
      <w:tblPr>
        <w:tblStyle w:val="Style1"/>
        <w:tblW w:w="5000" w:type="pct"/>
        <w:tblLook w:val="04A0" w:firstRow="1" w:lastRow="0" w:firstColumn="1" w:lastColumn="0" w:noHBand="0" w:noVBand="1"/>
      </w:tblPr>
      <w:tblGrid>
        <w:gridCol w:w="5102"/>
        <w:gridCol w:w="1703"/>
        <w:gridCol w:w="1445"/>
        <w:gridCol w:w="1381"/>
      </w:tblGrid>
      <w:tr w:rsidR="009E366A" w:rsidRPr="00AA67AE" w14:paraId="52B308E5"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49" w:type="pct"/>
            <w:tcBorders>
              <w:top w:val="single" w:sz="4" w:space="0" w:color="auto"/>
            </w:tcBorders>
            <w:vAlign w:val="bottom"/>
          </w:tcPr>
          <w:p w14:paraId="2003121B" w14:textId="77777777" w:rsidR="009E366A" w:rsidRPr="00AA67AE" w:rsidRDefault="009E366A" w:rsidP="00AA67AE">
            <w:bookmarkStart w:id="982" w:name="ColumnTitle_60"/>
            <w:r w:rsidRPr="00AA67AE">
              <w:t>Item</w:t>
            </w:r>
          </w:p>
        </w:tc>
        <w:tc>
          <w:tcPr>
            <w:tcW w:w="884" w:type="pct"/>
            <w:tcBorders>
              <w:top w:val="single" w:sz="4" w:space="0" w:color="auto"/>
            </w:tcBorders>
            <w:vAlign w:val="bottom"/>
          </w:tcPr>
          <w:p w14:paraId="440BD60C" w14:textId="792A17E8" w:rsidR="009E366A" w:rsidRPr="00AA67AE" w:rsidRDefault="009E366A" w:rsidP="00AA67AE">
            <w:pPr>
              <w:cnfStyle w:val="100000000000" w:firstRow="1" w:lastRow="0" w:firstColumn="0" w:lastColumn="0" w:oddVBand="0" w:evenVBand="0" w:oddHBand="0" w:evenHBand="0" w:firstRowFirstColumn="0" w:firstRowLastColumn="0" w:lastRowFirstColumn="0" w:lastRowLastColumn="0"/>
            </w:pPr>
            <w:r w:rsidRPr="00AA67AE">
              <w:t>Insurance</w:t>
            </w:r>
            <w:r w:rsidR="00AA67AE">
              <w:br/>
            </w:r>
            <w:r w:rsidRPr="00AA67AE">
              <w:t>claims</w:t>
            </w:r>
          </w:p>
          <w:p w14:paraId="6EFC9715" w14:textId="26560381" w:rsidR="009E366A" w:rsidRPr="00AA67AE" w:rsidRDefault="009E366A" w:rsidP="00AA67AE">
            <w:pPr>
              <w:cnfStyle w:val="100000000000" w:firstRow="1" w:lastRow="0" w:firstColumn="0" w:lastColumn="0" w:oddVBand="0" w:evenVBand="0" w:oddHBand="0" w:evenHBand="0" w:firstRowFirstColumn="0" w:firstRowLastColumn="0" w:lastRowFirstColumn="0" w:lastRowLastColumn="0"/>
            </w:pPr>
            <w:r w:rsidRPr="00AA67AE">
              <w:t>($ thousands)</w:t>
            </w:r>
          </w:p>
        </w:tc>
        <w:tc>
          <w:tcPr>
            <w:tcW w:w="750" w:type="pct"/>
            <w:tcBorders>
              <w:top w:val="single" w:sz="4" w:space="0" w:color="auto"/>
            </w:tcBorders>
            <w:vAlign w:val="bottom"/>
          </w:tcPr>
          <w:p w14:paraId="30DA52F4" w14:textId="72A32FF8" w:rsidR="009E366A" w:rsidRPr="00AA67AE" w:rsidRDefault="009E366A" w:rsidP="00AA67AE">
            <w:pPr>
              <w:cnfStyle w:val="100000000000" w:firstRow="1" w:lastRow="0" w:firstColumn="0" w:lastColumn="0" w:oddVBand="0" w:evenVBand="0" w:oddHBand="0" w:evenHBand="0" w:firstRowFirstColumn="0" w:firstRowLastColumn="0" w:lastRowFirstColumn="0" w:lastRowLastColumn="0"/>
            </w:pPr>
            <w:r w:rsidRPr="00AA67AE">
              <w:t>Other</w:t>
            </w:r>
            <w:r w:rsidR="00AA67AE">
              <w:t xml:space="preserve"> </w:t>
            </w:r>
            <w:r w:rsidRPr="00AA67AE">
              <w:t>provisions</w:t>
            </w:r>
          </w:p>
          <w:p w14:paraId="42AD1682" w14:textId="77777777" w:rsidR="009E366A" w:rsidRPr="00AA67AE" w:rsidRDefault="009E366A" w:rsidP="00AA67AE">
            <w:pPr>
              <w:cnfStyle w:val="100000000000" w:firstRow="1" w:lastRow="0" w:firstColumn="0" w:lastColumn="0" w:oddVBand="0" w:evenVBand="0" w:oddHBand="0" w:evenHBand="0" w:firstRowFirstColumn="0" w:firstRowLastColumn="0" w:lastRowFirstColumn="0" w:lastRowLastColumn="0"/>
            </w:pPr>
            <w:r w:rsidRPr="00AA67AE">
              <w:t>($ thousands)</w:t>
            </w:r>
          </w:p>
        </w:tc>
        <w:tc>
          <w:tcPr>
            <w:tcW w:w="717" w:type="pct"/>
            <w:tcBorders>
              <w:top w:val="single" w:sz="4" w:space="0" w:color="auto"/>
            </w:tcBorders>
            <w:vAlign w:val="bottom"/>
          </w:tcPr>
          <w:p w14:paraId="05455817" w14:textId="36DFEA13" w:rsidR="009E366A" w:rsidRPr="00AA67AE" w:rsidRDefault="009E366A" w:rsidP="00AA67AE">
            <w:pPr>
              <w:cnfStyle w:val="100000000000" w:firstRow="1" w:lastRow="0" w:firstColumn="0" w:lastColumn="0" w:oddVBand="0" w:evenVBand="0" w:oddHBand="0" w:evenHBand="0" w:firstRowFirstColumn="0" w:firstRowLastColumn="0" w:lastRowFirstColumn="0" w:lastRowLastColumn="0"/>
            </w:pPr>
            <w:r w:rsidRPr="00AA67AE">
              <w:t>Total</w:t>
            </w:r>
          </w:p>
          <w:p w14:paraId="50511C2F" w14:textId="77777777" w:rsidR="009E366A" w:rsidRPr="00AA67AE" w:rsidRDefault="009E366A" w:rsidP="00AA67AE">
            <w:pPr>
              <w:cnfStyle w:val="100000000000" w:firstRow="1" w:lastRow="0" w:firstColumn="0" w:lastColumn="0" w:oddVBand="0" w:evenVBand="0" w:oddHBand="0" w:evenHBand="0" w:firstRowFirstColumn="0" w:firstRowLastColumn="0" w:lastRowFirstColumn="0" w:lastRowLastColumn="0"/>
            </w:pPr>
            <w:r w:rsidRPr="00AA67AE">
              <w:t>($ thousands)</w:t>
            </w:r>
          </w:p>
        </w:tc>
      </w:tr>
      <w:bookmarkEnd w:id="982"/>
      <w:tr w:rsidR="009E366A" w:rsidRPr="00D84113" w14:paraId="6D593F40" w14:textId="77777777" w:rsidTr="009E366A">
        <w:tc>
          <w:tcPr>
            <w:cnfStyle w:val="001000000000" w:firstRow="0" w:lastRow="0" w:firstColumn="1" w:lastColumn="0" w:oddVBand="0" w:evenVBand="0" w:oddHBand="0" w:evenHBand="0" w:firstRowFirstColumn="0" w:firstRowLastColumn="0" w:lastRowFirstColumn="0" w:lastRowLastColumn="0"/>
            <w:tcW w:w="2649" w:type="pct"/>
            <w:vAlign w:val="top"/>
          </w:tcPr>
          <w:p w14:paraId="39692085" w14:textId="7269F59C" w:rsidR="009E366A" w:rsidRPr="00BD3B8C" w:rsidRDefault="009E366A" w:rsidP="00AA67AE">
            <w:pPr>
              <w:pStyle w:val="TableBodyText"/>
              <w:rPr>
                <w:rStyle w:val="Bold"/>
              </w:rPr>
            </w:pPr>
            <w:r>
              <w:rPr>
                <w:rStyle w:val="Bold"/>
              </w:rPr>
              <w:t>Carrying amount at 1 July 2020</w:t>
            </w:r>
          </w:p>
        </w:tc>
        <w:tc>
          <w:tcPr>
            <w:tcW w:w="884" w:type="pct"/>
          </w:tcPr>
          <w:p w14:paraId="536A89F8" w14:textId="16581B60"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2,065</w:t>
            </w:r>
          </w:p>
        </w:tc>
        <w:tc>
          <w:tcPr>
            <w:tcW w:w="750" w:type="pct"/>
            <w:vAlign w:val="top"/>
          </w:tcPr>
          <w:p w14:paraId="1111544D" w14:textId="30640363"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3,341</w:t>
            </w:r>
          </w:p>
        </w:tc>
        <w:tc>
          <w:tcPr>
            <w:tcW w:w="717" w:type="pct"/>
            <w:vAlign w:val="top"/>
          </w:tcPr>
          <w:p w14:paraId="60DBDA79" w14:textId="6B2BACE2"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5,406</w:t>
            </w:r>
          </w:p>
        </w:tc>
      </w:tr>
      <w:tr w:rsidR="009E366A" w:rsidRPr="00D84113" w14:paraId="7DBA351C" w14:textId="77777777" w:rsidTr="009E366A">
        <w:tc>
          <w:tcPr>
            <w:cnfStyle w:val="001000000000" w:firstRow="0" w:lastRow="0" w:firstColumn="1" w:lastColumn="0" w:oddVBand="0" w:evenVBand="0" w:oddHBand="0" w:evenHBand="0" w:firstRowFirstColumn="0" w:firstRowLastColumn="0" w:lastRowFirstColumn="0" w:lastRowLastColumn="0"/>
            <w:tcW w:w="2649" w:type="pct"/>
            <w:vAlign w:val="top"/>
          </w:tcPr>
          <w:p w14:paraId="13DC7EA7" w14:textId="7B428CF7" w:rsidR="009E366A" w:rsidRDefault="009E366A" w:rsidP="00AA67AE">
            <w:pPr>
              <w:pStyle w:val="TableBodyText"/>
            </w:pPr>
            <w:r>
              <w:t>Provisions recognised/(derecognised)</w:t>
            </w:r>
          </w:p>
        </w:tc>
        <w:tc>
          <w:tcPr>
            <w:tcW w:w="884" w:type="pct"/>
          </w:tcPr>
          <w:p w14:paraId="7CA5873C" w14:textId="52DF3394"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(679)</w:t>
            </w:r>
          </w:p>
        </w:tc>
        <w:tc>
          <w:tcPr>
            <w:tcW w:w="750" w:type="pct"/>
            <w:vAlign w:val="top"/>
          </w:tcPr>
          <w:p w14:paraId="0CF37EA6" w14:textId="5F2F0200"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6,105</w:t>
            </w:r>
          </w:p>
        </w:tc>
        <w:tc>
          <w:tcPr>
            <w:tcW w:w="717" w:type="pct"/>
            <w:vAlign w:val="top"/>
          </w:tcPr>
          <w:p w14:paraId="744E5FB2" w14:textId="3B5A4E2F"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5,426</w:t>
            </w:r>
          </w:p>
        </w:tc>
      </w:tr>
      <w:tr w:rsidR="009E366A" w:rsidRPr="00D84113" w14:paraId="2AE832BC" w14:textId="77777777" w:rsidTr="009E366A">
        <w:tc>
          <w:tcPr>
            <w:cnfStyle w:val="001000000000" w:firstRow="0" w:lastRow="0" w:firstColumn="1" w:lastColumn="0" w:oddVBand="0" w:evenVBand="0" w:oddHBand="0" w:evenHBand="0" w:firstRowFirstColumn="0" w:firstRowLastColumn="0" w:lastRowFirstColumn="0" w:lastRowLastColumn="0"/>
            <w:tcW w:w="2649" w:type="pct"/>
            <w:tcBorders>
              <w:bottom w:val="single" w:sz="4" w:space="0" w:color="auto"/>
            </w:tcBorders>
            <w:vAlign w:val="top"/>
          </w:tcPr>
          <w:p w14:paraId="6B946057" w14:textId="7D3AE6A1" w:rsidR="009E366A" w:rsidRDefault="009E366A" w:rsidP="00AA67AE">
            <w:pPr>
              <w:pStyle w:val="TableBodyText"/>
            </w:pPr>
            <w:r>
              <w:t>Amounts utilised during the year</w:t>
            </w:r>
          </w:p>
        </w:tc>
        <w:tc>
          <w:tcPr>
            <w:tcW w:w="884" w:type="pct"/>
            <w:tcBorders>
              <w:bottom w:val="single" w:sz="4" w:space="0" w:color="auto"/>
            </w:tcBorders>
          </w:tcPr>
          <w:p w14:paraId="4B111EEF" w14:textId="4AF41A2D"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(370)</w:t>
            </w:r>
          </w:p>
        </w:tc>
        <w:tc>
          <w:tcPr>
            <w:tcW w:w="750" w:type="pct"/>
            <w:tcBorders>
              <w:bottom w:val="single" w:sz="4" w:space="0" w:color="auto"/>
            </w:tcBorders>
            <w:vAlign w:val="top"/>
          </w:tcPr>
          <w:p w14:paraId="3640DC79" w14:textId="3A4B438F"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(4,390)</w:t>
            </w:r>
          </w:p>
        </w:tc>
        <w:tc>
          <w:tcPr>
            <w:tcW w:w="717" w:type="pct"/>
            <w:tcBorders>
              <w:bottom w:val="single" w:sz="4" w:space="0" w:color="auto"/>
            </w:tcBorders>
            <w:vAlign w:val="top"/>
          </w:tcPr>
          <w:p w14:paraId="7156D2F7" w14:textId="404B5C8B"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(4,760)</w:t>
            </w:r>
          </w:p>
        </w:tc>
      </w:tr>
      <w:tr w:rsidR="009E366A" w:rsidRPr="00BD3B8C" w14:paraId="56A5B4F3" w14:textId="77777777" w:rsidTr="009E366A">
        <w:tc>
          <w:tcPr>
            <w:cnfStyle w:val="001000000000" w:firstRow="0" w:lastRow="0" w:firstColumn="1" w:lastColumn="0" w:oddVBand="0" w:evenVBand="0" w:oddHBand="0" w:evenHBand="0" w:firstRowFirstColumn="0" w:firstRowLastColumn="0" w:lastRowFirstColumn="0" w:lastRowLastColumn="0"/>
            <w:tcW w:w="2649" w:type="pct"/>
            <w:tcBorders>
              <w:top w:val="single" w:sz="4" w:space="0" w:color="auto"/>
            </w:tcBorders>
            <w:vAlign w:val="top"/>
          </w:tcPr>
          <w:p w14:paraId="28EF2A71" w14:textId="0748FD08" w:rsidR="009E366A" w:rsidRPr="00BD3B8C" w:rsidRDefault="009E366A" w:rsidP="00AA67AE">
            <w:pPr>
              <w:pStyle w:val="TableBodyText"/>
              <w:rPr>
                <w:rStyle w:val="Bold"/>
              </w:rPr>
            </w:pPr>
            <w:r>
              <w:rPr>
                <w:rStyle w:val="Bold"/>
              </w:rPr>
              <w:t>Carrying amount at 30 June 2021</w:t>
            </w:r>
          </w:p>
        </w:tc>
        <w:tc>
          <w:tcPr>
            <w:tcW w:w="884" w:type="pct"/>
            <w:tcBorders>
              <w:top w:val="single" w:sz="4" w:space="0" w:color="auto"/>
            </w:tcBorders>
          </w:tcPr>
          <w:p w14:paraId="2CFC8292" w14:textId="0FFC7FC6" w:rsidR="009E366A" w:rsidRPr="00BD3B8C" w:rsidRDefault="009E366A"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1,016</w:t>
            </w:r>
          </w:p>
        </w:tc>
        <w:tc>
          <w:tcPr>
            <w:tcW w:w="750" w:type="pct"/>
            <w:tcBorders>
              <w:top w:val="single" w:sz="4" w:space="0" w:color="auto"/>
            </w:tcBorders>
            <w:vAlign w:val="top"/>
          </w:tcPr>
          <w:p w14:paraId="7A3C0A36" w14:textId="7B821066" w:rsidR="009E366A" w:rsidRPr="00BD3B8C" w:rsidRDefault="009E366A"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5,056</w:t>
            </w:r>
          </w:p>
        </w:tc>
        <w:tc>
          <w:tcPr>
            <w:tcW w:w="717" w:type="pct"/>
            <w:tcBorders>
              <w:top w:val="single" w:sz="4" w:space="0" w:color="auto"/>
            </w:tcBorders>
            <w:vAlign w:val="top"/>
          </w:tcPr>
          <w:p w14:paraId="6C60BFA9" w14:textId="013D9A63" w:rsidR="009E366A" w:rsidRPr="00BD3B8C" w:rsidRDefault="009E366A"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6,072</w:t>
            </w:r>
          </w:p>
        </w:tc>
      </w:tr>
      <w:tr w:rsidR="009E366A" w:rsidRPr="00D84113" w14:paraId="732FBEC4" w14:textId="77777777" w:rsidTr="009E366A">
        <w:tc>
          <w:tcPr>
            <w:cnfStyle w:val="001000000000" w:firstRow="0" w:lastRow="0" w:firstColumn="1" w:lastColumn="0" w:oddVBand="0" w:evenVBand="0" w:oddHBand="0" w:evenHBand="0" w:firstRowFirstColumn="0" w:firstRowLastColumn="0" w:lastRowFirstColumn="0" w:lastRowLastColumn="0"/>
            <w:tcW w:w="2649" w:type="pct"/>
            <w:vAlign w:val="top"/>
          </w:tcPr>
          <w:p w14:paraId="2E1BA02D" w14:textId="36BCED26" w:rsidR="009E366A" w:rsidRPr="00BD3B8C" w:rsidRDefault="009E366A" w:rsidP="00AA67AE">
            <w:pPr>
              <w:pStyle w:val="TableBodyText"/>
              <w:rPr>
                <w:rStyle w:val="Bold"/>
              </w:rPr>
            </w:pPr>
            <w:r>
              <w:rPr>
                <w:rStyle w:val="Bold"/>
              </w:rPr>
              <w:t>Carrying amount at 1 July 2019</w:t>
            </w:r>
          </w:p>
        </w:tc>
        <w:tc>
          <w:tcPr>
            <w:tcW w:w="884" w:type="pct"/>
          </w:tcPr>
          <w:p w14:paraId="04C6A9F9" w14:textId="06415E31"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1,889</w:t>
            </w:r>
          </w:p>
        </w:tc>
        <w:tc>
          <w:tcPr>
            <w:tcW w:w="750" w:type="pct"/>
            <w:vAlign w:val="top"/>
          </w:tcPr>
          <w:p w14:paraId="74DCA647" w14:textId="7E1FA9B9"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7,148</w:t>
            </w:r>
          </w:p>
        </w:tc>
        <w:tc>
          <w:tcPr>
            <w:tcW w:w="717" w:type="pct"/>
            <w:vAlign w:val="top"/>
          </w:tcPr>
          <w:p w14:paraId="4FE3DA05" w14:textId="0E8BA67C"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9,037</w:t>
            </w:r>
          </w:p>
        </w:tc>
      </w:tr>
      <w:tr w:rsidR="009E366A" w:rsidRPr="00D84113" w14:paraId="03511F28" w14:textId="77777777" w:rsidTr="009E366A">
        <w:tc>
          <w:tcPr>
            <w:cnfStyle w:val="001000000000" w:firstRow="0" w:lastRow="0" w:firstColumn="1" w:lastColumn="0" w:oddVBand="0" w:evenVBand="0" w:oddHBand="0" w:evenHBand="0" w:firstRowFirstColumn="0" w:firstRowLastColumn="0" w:lastRowFirstColumn="0" w:lastRowLastColumn="0"/>
            <w:tcW w:w="2649" w:type="pct"/>
            <w:vAlign w:val="top"/>
          </w:tcPr>
          <w:p w14:paraId="73B43145" w14:textId="72E878B0" w:rsidR="009E366A" w:rsidRDefault="009E366A" w:rsidP="00AA67AE">
            <w:pPr>
              <w:pStyle w:val="TableBodyText"/>
            </w:pPr>
            <w:r>
              <w:t>Provisions recognised/(derecognised)</w:t>
            </w:r>
          </w:p>
        </w:tc>
        <w:tc>
          <w:tcPr>
            <w:tcW w:w="884" w:type="pct"/>
          </w:tcPr>
          <w:p w14:paraId="62D31714" w14:textId="12D64EFA"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1,210</w:t>
            </w:r>
          </w:p>
        </w:tc>
        <w:tc>
          <w:tcPr>
            <w:tcW w:w="750" w:type="pct"/>
            <w:vAlign w:val="top"/>
          </w:tcPr>
          <w:p w14:paraId="57295393" w14:textId="21F383F1"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17" w:type="pct"/>
            <w:vAlign w:val="top"/>
          </w:tcPr>
          <w:p w14:paraId="67780B29" w14:textId="1BA58D0E"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1,210</w:t>
            </w:r>
          </w:p>
        </w:tc>
      </w:tr>
      <w:tr w:rsidR="009E366A" w:rsidRPr="00D84113" w14:paraId="56C64B2B" w14:textId="77777777" w:rsidTr="009E366A">
        <w:tc>
          <w:tcPr>
            <w:cnfStyle w:val="001000000000" w:firstRow="0" w:lastRow="0" w:firstColumn="1" w:lastColumn="0" w:oddVBand="0" w:evenVBand="0" w:oddHBand="0" w:evenHBand="0" w:firstRowFirstColumn="0" w:firstRowLastColumn="0" w:lastRowFirstColumn="0" w:lastRowLastColumn="0"/>
            <w:tcW w:w="2649" w:type="pct"/>
            <w:tcBorders>
              <w:bottom w:val="single" w:sz="4" w:space="0" w:color="auto"/>
            </w:tcBorders>
            <w:vAlign w:val="top"/>
          </w:tcPr>
          <w:p w14:paraId="09B653F3" w14:textId="0AB2E0D5" w:rsidR="009E366A" w:rsidRDefault="009E366A" w:rsidP="00AA67AE">
            <w:pPr>
              <w:pStyle w:val="TableBodyText"/>
            </w:pPr>
            <w:r>
              <w:t>Amounts utilised during the year</w:t>
            </w:r>
          </w:p>
        </w:tc>
        <w:tc>
          <w:tcPr>
            <w:tcW w:w="884" w:type="pct"/>
            <w:tcBorders>
              <w:bottom w:val="single" w:sz="4" w:space="0" w:color="auto"/>
            </w:tcBorders>
          </w:tcPr>
          <w:p w14:paraId="60D5F1A1" w14:textId="25A3BA4B"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(1,034)</w:t>
            </w:r>
          </w:p>
        </w:tc>
        <w:tc>
          <w:tcPr>
            <w:tcW w:w="750" w:type="pct"/>
            <w:tcBorders>
              <w:bottom w:val="single" w:sz="4" w:space="0" w:color="auto"/>
            </w:tcBorders>
            <w:vAlign w:val="top"/>
          </w:tcPr>
          <w:p w14:paraId="32BF56BD" w14:textId="38A35C70"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(3,807)</w:t>
            </w:r>
          </w:p>
        </w:tc>
        <w:tc>
          <w:tcPr>
            <w:tcW w:w="717" w:type="pct"/>
            <w:tcBorders>
              <w:bottom w:val="single" w:sz="4" w:space="0" w:color="auto"/>
            </w:tcBorders>
            <w:vAlign w:val="top"/>
          </w:tcPr>
          <w:p w14:paraId="716F52BF" w14:textId="1BAA153D" w:rsidR="009E366A" w:rsidRDefault="009E366A" w:rsidP="00AA67AE">
            <w:pPr>
              <w:pStyle w:val="TableBodyText"/>
              <w:cnfStyle w:val="000000000000" w:firstRow="0" w:lastRow="0" w:firstColumn="0" w:lastColumn="0" w:oddVBand="0" w:evenVBand="0" w:oddHBand="0" w:evenHBand="0" w:firstRowFirstColumn="0" w:firstRowLastColumn="0" w:lastRowFirstColumn="0" w:lastRowLastColumn="0"/>
            </w:pPr>
            <w:r>
              <w:t>(4,841)</w:t>
            </w:r>
          </w:p>
        </w:tc>
      </w:tr>
      <w:tr w:rsidR="009E366A" w:rsidRPr="00BD3B8C" w14:paraId="7363045D" w14:textId="77777777" w:rsidTr="009E366A">
        <w:tc>
          <w:tcPr>
            <w:cnfStyle w:val="001000000000" w:firstRow="0" w:lastRow="0" w:firstColumn="1" w:lastColumn="0" w:oddVBand="0" w:evenVBand="0" w:oddHBand="0" w:evenHBand="0" w:firstRowFirstColumn="0" w:firstRowLastColumn="0" w:lastRowFirstColumn="0" w:lastRowLastColumn="0"/>
            <w:tcW w:w="2649" w:type="pct"/>
            <w:tcBorders>
              <w:bottom w:val="single" w:sz="4" w:space="0" w:color="auto"/>
            </w:tcBorders>
            <w:vAlign w:val="top"/>
          </w:tcPr>
          <w:p w14:paraId="103E8C1D" w14:textId="28E1388A" w:rsidR="009E366A" w:rsidRPr="00BD3B8C" w:rsidRDefault="009E366A" w:rsidP="00AA67AE">
            <w:pPr>
              <w:pStyle w:val="TableBodyText"/>
              <w:rPr>
                <w:rStyle w:val="Bold"/>
              </w:rPr>
            </w:pPr>
            <w:r>
              <w:rPr>
                <w:rStyle w:val="Bold"/>
              </w:rPr>
              <w:t>Carrying amount at 30 June 2020</w:t>
            </w:r>
          </w:p>
        </w:tc>
        <w:tc>
          <w:tcPr>
            <w:tcW w:w="884" w:type="pct"/>
            <w:tcBorders>
              <w:bottom w:val="single" w:sz="4" w:space="0" w:color="auto"/>
            </w:tcBorders>
          </w:tcPr>
          <w:p w14:paraId="33342DB3" w14:textId="4CA23E13" w:rsidR="009E366A" w:rsidRPr="00BD3B8C" w:rsidRDefault="009E366A"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2,065</w:t>
            </w:r>
          </w:p>
        </w:tc>
        <w:tc>
          <w:tcPr>
            <w:tcW w:w="750" w:type="pct"/>
            <w:tcBorders>
              <w:bottom w:val="single" w:sz="4" w:space="0" w:color="auto"/>
            </w:tcBorders>
            <w:vAlign w:val="top"/>
          </w:tcPr>
          <w:p w14:paraId="4A91DFB2" w14:textId="2CD5BE5A" w:rsidR="009E366A" w:rsidRPr="00BD3B8C" w:rsidRDefault="009E366A"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3,341</w:t>
            </w:r>
          </w:p>
        </w:tc>
        <w:tc>
          <w:tcPr>
            <w:tcW w:w="717" w:type="pct"/>
            <w:tcBorders>
              <w:bottom w:val="single" w:sz="4" w:space="0" w:color="auto"/>
            </w:tcBorders>
            <w:vAlign w:val="top"/>
          </w:tcPr>
          <w:p w14:paraId="593F7B1E" w14:textId="067D3C85" w:rsidR="009E366A" w:rsidRPr="00BD3B8C" w:rsidRDefault="009E366A" w:rsidP="00AA67A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5,406</w:t>
            </w:r>
          </w:p>
        </w:tc>
      </w:tr>
    </w:tbl>
    <w:p w14:paraId="0A9D8373" w14:textId="77777777" w:rsidR="009E366A" w:rsidRDefault="009E366A" w:rsidP="009E366A">
      <w:pPr>
        <w:pStyle w:val="BodyText"/>
      </w:pPr>
      <w:r w:rsidRPr="009E366A">
        <w:rPr>
          <w:rStyle w:val="Bold"/>
        </w:rPr>
        <w:t>Provisions</w:t>
      </w:r>
      <w:r>
        <w:t xml:space="preserve"> are recognised when the Corporation has a present legal or constructive obligation as a result of past events, it is probable that an outflow of resources will be required to settle the obligation and the amount has been reliably estimated.</w:t>
      </w:r>
    </w:p>
    <w:p w14:paraId="43743D29" w14:textId="10E43772" w:rsidR="009E366A" w:rsidRDefault="009E366A" w:rsidP="009E366A">
      <w:pPr>
        <w:pStyle w:val="BodyText"/>
      </w:pPr>
      <w:r>
        <w:t>The amount recognised as a provision is the best estimate of the consideration required to settle the present obligation at the end of the reporting period, taking into account the risks and uncertainties surrounding the obligation.</w:t>
      </w:r>
    </w:p>
    <w:p w14:paraId="6BDF9CA1" w14:textId="4BA74A83" w:rsidR="009E366A" w:rsidRDefault="009E366A" w:rsidP="009E366A">
      <w:pPr>
        <w:pStyle w:val="BodyText"/>
      </w:pPr>
      <w:r>
        <w:t>The recognition of provisions requires significant estimates and assumptions such as requirements of the relevant legal and regulatory frameworks, timing, cost estimation, legal disputes and climate-related risks. These uncertainties may result in future actual expenditure differing from the amounts currently provided. Provisions are periodically reviewed and updated based on the facts and circumstances available at the time.</w:t>
      </w:r>
    </w:p>
    <w:p w14:paraId="7D2D439C" w14:textId="1F56FBE5" w:rsidR="009E366A" w:rsidRDefault="009E366A" w:rsidP="009E366A">
      <w:pPr>
        <w:pStyle w:val="BodyText"/>
      </w:pPr>
      <w:r>
        <w:t>Where a provision is measured using the cash flows estimated to settle the present obligation, its carrying amount is the present value of those cash flows.</w:t>
      </w:r>
    </w:p>
    <w:p w14:paraId="1D83823B" w14:textId="5076590F" w:rsidR="009E366A" w:rsidRDefault="009E366A" w:rsidP="009E366A">
      <w:pPr>
        <w:pStyle w:val="BodyText"/>
      </w:pPr>
      <w:r>
        <w:lastRenderedPageBreak/>
        <w:t>When some or all of the economic benefits required to settle a provision are expected to be recovered from a third party, the receivable is recognised as an asset if it is virtually certain that recovery will be received and the amount of the receivable can be measured reliably.</w:t>
      </w:r>
    </w:p>
    <w:p w14:paraId="00F31C5F" w14:textId="64DAE2D8" w:rsidR="009E366A" w:rsidRDefault="009E366A" w:rsidP="009E366A">
      <w:pPr>
        <w:pStyle w:val="BodyText"/>
      </w:pPr>
      <w:r w:rsidRPr="009E366A">
        <w:rPr>
          <w:rStyle w:val="Bold"/>
        </w:rPr>
        <w:t>The insurance claims provision</w:t>
      </w:r>
      <w:r>
        <w:t xml:space="preserve"> represents the amounts that</w:t>
      </w:r>
      <w:r w:rsidR="00D00073">
        <w:t xml:space="preserve"> </w:t>
      </w:r>
      <w:r>
        <w:t>are likely to be payable under claims but excluding amounts</w:t>
      </w:r>
      <w:r w:rsidR="00D00073">
        <w:t xml:space="preserve"> </w:t>
      </w:r>
      <w:r>
        <w:t>over the relevant insurance policy deductable. Insurance claims</w:t>
      </w:r>
      <w:r w:rsidR="00D00073">
        <w:t xml:space="preserve"> </w:t>
      </w:r>
      <w:r>
        <w:t>are independently assessed by loss adjusters, claims managers</w:t>
      </w:r>
      <w:r w:rsidR="00D00073">
        <w:t xml:space="preserve"> </w:t>
      </w:r>
      <w:r>
        <w:t>and legal practitioners. The insurance claims provision includes</w:t>
      </w:r>
      <w:r w:rsidR="00D00073">
        <w:t xml:space="preserve"> </w:t>
      </w:r>
      <w:r>
        <w:t>claims reported but not yet paid, claims incurred but not</w:t>
      </w:r>
      <w:r w:rsidR="00D00073">
        <w:t xml:space="preserve"> </w:t>
      </w:r>
      <w:r>
        <w:t>yet reported, and the anticipated costs of settling those</w:t>
      </w:r>
      <w:r w:rsidR="00D00073">
        <w:t xml:space="preserve"> </w:t>
      </w:r>
      <w:r>
        <w:t>claims. Due to the inherent uncertainty in the estimate of the</w:t>
      </w:r>
      <w:r w:rsidR="00D00073">
        <w:t xml:space="preserve"> </w:t>
      </w:r>
      <w:r>
        <w:t>outstanding insurance claims, a risk margin is included. The</w:t>
      </w:r>
      <w:r w:rsidR="00D00073">
        <w:t xml:space="preserve"> </w:t>
      </w:r>
      <w:r>
        <w:t>risk margin is set to ensure that the liability estimate will be</w:t>
      </w:r>
      <w:r w:rsidR="00D00073">
        <w:t xml:space="preserve"> </w:t>
      </w:r>
      <w:r>
        <w:t>sufficient to cover outstanding claims. The measurement of</w:t>
      </w:r>
      <w:r w:rsidR="00D00073">
        <w:t xml:space="preserve"> </w:t>
      </w:r>
      <w:r>
        <w:t>the liability for outstanding insurance claims is on the basis of</w:t>
      </w:r>
      <w:r w:rsidR="00D00073">
        <w:t xml:space="preserve"> </w:t>
      </w:r>
      <w:r>
        <w:t>estimated costs of future claims payments. Claims classified</w:t>
      </w:r>
      <w:r w:rsidR="00D00073">
        <w:t xml:space="preserve"> </w:t>
      </w:r>
      <w:r>
        <w:t>as current are expected to be settled within 12 months. The</w:t>
      </w:r>
      <w:r w:rsidR="00D00073">
        <w:t xml:space="preserve"> </w:t>
      </w:r>
      <w:r>
        <w:t>amount classified as non-current is expected to be settled</w:t>
      </w:r>
      <w:r w:rsidR="00D00073">
        <w:t xml:space="preserve"> </w:t>
      </w:r>
      <w:r>
        <w:t>later than 12 months. The provision amounts are based on an independent assessment of claim costs.</w:t>
      </w:r>
    </w:p>
    <w:p w14:paraId="5927E115" w14:textId="29B55D95" w:rsidR="009E366A" w:rsidRDefault="009E366A" w:rsidP="009E366A">
      <w:pPr>
        <w:pStyle w:val="BodyText"/>
      </w:pPr>
      <w:r w:rsidRPr="00D00073">
        <w:rPr>
          <w:rStyle w:val="Bold"/>
        </w:rPr>
        <w:t>Other provisions</w:t>
      </w:r>
      <w:r>
        <w:t xml:space="preserve"> satisfy the recognition requirements of </w:t>
      </w:r>
      <w:r w:rsidRPr="00D00073">
        <w:rPr>
          <w:rStyle w:val="ItalicText"/>
        </w:rPr>
        <w:t>AASB</w:t>
      </w:r>
      <w:r w:rsidR="00D00073" w:rsidRPr="00D00073">
        <w:rPr>
          <w:rStyle w:val="ItalicText"/>
        </w:rPr>
        <w:t xml:space="preserve"> </w:t>
      </w:r>
      <w:r w:rsidRPr="00D00073">
        <w:rPr>
          <w:rStyle w:val="ItalicText"/>
        </w:rPr>
        <w:t>137 Provisions, Contingent Liabilities and Contingent Assets</w:t>
      </w:r>
      <w:r>
        <w:t xml:space="preserve"> and</w:t>
      </w:r>
      <w:r w:rsidR="00D00073">
        <w:t xml:space="preserve"> </w:t>
      </w:r>
      <w:r>
        <w:t>include primarily contractual provisions.</w:t>
      </w:r>
    </w:p>
    <w:p w14:paraId="08622E8D" w14:textId="77777777" w:rsidR="00D00073" w:rsidRDefault="00D00073" w:rsidP="00D00073">
      <w:pPr>
        <w:pStyle w:val="Heading2"/>
      </w:pPr>
      <w:bookmarkStart w:id="983" w:name="_Toc89723130"/>
      <w:bookmarkStart w:id="984" w:name="_Toc89723244"/>
      <w:bookmarkStart w:id="985" w:name="_Toc89723304"/>
      <w:bookmarkStart w:id="986" w:name="_Ref89844026"/>
      <w:bookmarkStart w:id="987" w:name="_Toc89860570"/>
      <w:bookmarkStart w:id="988" w:name="_Toc89860714"/>
      <w:bookmarkStart w:id="989" w:name="_Toc90326075"/>
      <w:bookmarkStart w:id="990" w:name="_Toc93659481"/>
      <w:r>
        <w:t>Assets Available to Support Output Delivery</w:t>
      </w:r>
      <w:bookmarkEnd w:id="983"/>
      <w:bookmarkEnd w:id="984"/>
      <w:bookmarkEnd w:id="985"/>
      <w:bookmarkEnd w:id="986"/>
      <w:bookmarkEnd w:id="987"/>
      <w:bookmarkEnd w:id="988"/>
      <w:bookmarkEnd w:id="989"/>
      <w:bookmarkEnd w:id="990"/>
    </w:p>
    <w:p w14:paraId="39A07A97" w14:textId="77777777" w:rsidR="00D00073" w:rsidRDefault="00D00073" w:rsidP="00D00073">
      <w:pPr>
        <w:pStyle w:val="Heading3"/>
      </w:pPr>
      <w:bookmarkStart w:id="991" w:name="_Toc89723131"/>
      <w:bookmarkStart w:id="992" w:name="_Toc90326076"/>
      <w:bookmarkStart w:id="993" w:name="_Toc93659482"/>
      <w:r>
        <w:t>Introduction</w:t>
      </w:r>
      <w:bookmarkEnd w:id="991"/>
      <w:bookmarkEnd w:id="992"/>
      <w:bookmarkEnd w:id="993"/>
    </w:p>
    <w:p w14:paraId="531D6D80" w14:textId="5A722DDD" w:rsidR="00D00073" w:rsidRDefault="00D00073" w:rsidP="00D00073">
      <w:pPr>
        <w:pStyle w:val="BodyText"/>
      </w:pPr>
      <w:r>
        <w:t>This section outlines those assets that the Corporation controls, reflecting investing activities in the current and prior years. The Corporation controls infrastructure and other assets that are utilised in fulfilling its objectives and conducting its activities. They represent the key resources that have been entrusted to the Corporation to be utilised for delivery of those objectives.</w:t>
      </w:r>
    </w:p>
    <w:p w14:paraId="2AFEAF94" w14:textId="77777777" w:rsidR="00D00073" w:rsidRPr="00D00073" w:rsidRDefault="00D00073" w:rsidP="00D00073">
      <w:pPr>
        <w:pStyle w:val="BodyText"/>
        <w:rPr>
          <w:rStyle w:val="Bold"/>
        </w:rPr>
      </w:pPr>
      <w:r w:rsidRPr="00D00073">
        <w:rPr>
          <w:rStyle w:val="Bold"/>
        </w:rPr>
        <w:t>Structure</w:t>
      </w:r>
    </w:p>
    <w:p w14:paraId="725E55ED" w14:textId="1445D0F5" w:rsidR="00ED1473" w:rsidRPr="00B1710D" w:rsidRDefault="00ED1473" w:rsidP="00ED1473">
      <w:pPr>
        <w:pStyle w:val="NoSpacing"/>
        <w:spacing w:line="288" w:lineRule="auto"/>
        <w:rPr>
          <w:rStyle w:val="HyperlinkFaux"/>
        </w:rPr>
      </w:pPr>
      <w:r w:rsidRPr="00B1710D">
        <w:rPr>
          <w:rStyle w:val="HyperlinkFaux"/>
        </w:rPr>
        <w:fldChar w:fldCharType="begin"/>
      </w:r>
      <w:r w:rsidRPr="00B1710D">
        <w:rPr>
          <w:rStyle w:val="HyperlinkFaux"/>
        </w:rPr>
        <w:instrText xml:space="preserve"> REF _Ref89845450 \h </w:instrText>
      </w:r>
      <w:r w:rsidR="00B1710D">
        <w:rPr>
          <w:rStyle w:val="HyperlinkFaux"/>
        </w:rPr>
        <w:instrText xml:space="preserve"> \* MERGEFORMAT </w:instrText>
      </w:r>
      <w:r w:rsidRPr="00B1710D">
        <w:rPr>
          <w:rStyle w:val="HyperlinkFaux"/>
        </w:rPr>
      </w:r>
      <w:r w:rsidRPr="00B1710D">
        <w:rPr>
          <w:rStyle w:val="HyperlinkFaux"/>
        </w:rPr>
        <w:fldChar w:fldCharType="separate"/>
      </w:r>
      <w:r w:rsidR="00472151" w:rsidRPr="00472151">
        <w:rPr>
          <w:rStyle w:val="HyperlinkFaux"/>
        </w:rPr>
        <w:t>4.1 Land, buildings, infrastructure, plant and equipment and service concession arrangements</w:t>
      </w:r>
      <w:r w:rsidRPr="00B1710D">
        <w:rPr>
          <w:rStyle w:val="HyperlinkFaux"/>
        </w:rPr>
        <w:fldChar w:fldCharType="end"/>
      </w:r>
    </w:p>
    <w:p w14:paraId="74ECF968" w14:textId="3CE611E7" w:rsidR="00ED1473" w:rsidRPr="00ED1473" w:rsidRDefault="00ED1473" w:rsidP="00ED1473">
      <w:pPr>
        <w:pStyle w:val="NoSpacing"/>
        <w:spacing w:line="288" w:lineRule="auto"/>
        <w:rPr>
          <w:u w:val="single"/>
        </w:rPr>
      </w:pPr>
      <w:r w:rsidRPr="00ED1473">
        <w:rPr>
          <w:color w:val="0000FF"/>
          <w:u w:val="single"/>
        </w:rPr>
        <w:fldChar w:fldCharType="begin"/>
      </w:r>
      <w:r w:rsidRPr="00ED1473">
        <w:rPr>
          <w:color w:val="0000FF"/>
          <w:u w:val="single"/>
        </w:rPr>
        <w:instrText xml:space="preserve"> REF _Ref89845462 \h </w:instrText>
      </w:r>
      <w:r w:rsidR="00B1710D">
        <w:rPr>
          <w:color w:val="0000FF"/>
          <w:u w:val="single"/>
        </w:rPr>
        <w:instrText xml:space="preserve"> \* MERGEFORMAT </w:instrText>
      </w:r>
      <w:r w:rsidRPr="00ED1473">
        <w:rPr>
          <w:color w:val="0000FF"/>
          <w:u w:val="single"/>
        </w:rPr>
      </w:r>
      <w:r w:rsidRPr="00ED1473">
        <w:rPr>
          <w:color w:val="0000FF"/>
          <w:u w:val="single"/>
        </w:rPr>
        <w:fldChar w:fldCharType="separate"/>
      </w:r>
      <w:r w:rsidR="00472151">
        <w:t xml:space="preserve">4.2 </w:t>
      </w:r>
      <w:r w:rsidR="00472151" w:rsidRPr="00472151">
        <w:rPr>
          <w:rStyle w:val="HyperlinkFaux"/>
        </w:rPr>
        <w:t>Intangible assets</w:t>
      </w:r>
      <w:r w:rsidRPr="00ED1473">
        <w:rPr>
          <w:color w:val="0000FF"/>
          <w:u w:val="single"/>
        </w:rPr>
        <w:fldChar w:fldCharType="end"/>
      </w:r>
    </w:p>
    <w:p w14:paraId="38CB7E35" w14:textId="4A615E14" w:rsidR="00ED1473" w:rsidRPr="00ED1473" w:rsidRDefault="00ED1473" w:rsidP="00ED1473">
      <w:pPr>
        <w:pStyle w:val="NoSpacing"/>
        <w:spacing w:line="288" w:lineRule="auto"/>
        <w:rPr>
          <w:u w:val="single"/>
        </w:rPr>
      </w:pPr>
      <w:r w:rsidRPr="00ED1473">
        <w:rPr>
          <w:color w:val="0000FF"/>
          <w:u w:val="single"/>
        </w:rPr>
        <w:fldChar w:fldCharType="begin"/>
      </w:r>
      <w:r w:rsidRPr="00ED1473">
        <w:rPr>
          <w:color w:val="0000FF"/>
          <w:u w:val="single"/>
        </w:rPr>
        <w:instrText xml:space="preserve"> REF _Ref89845466 \h </w:instrText>
      </w:r>
      <w:r w:rsidR="00B1710D">
        <w:rPr>
          <w:color w:val="0000FF"/>
          <w:u w:val="single"/>
        </w:rPr>
        <w:instrText xml:space="preserve"> \* MERGEFORMAT </w:instrText>
      </w:r>
      <w:r w:rsidRPr="00ED1473">
        <w:rPr>
          <w:color w:val="0000FF"/>
          <w:u w:val="single"/>
        </w:rPr>
      </w:r>
      <w:r w:rsidRPr="00ED1473">
        <w:rPr>
          <w:color w:val="0000FF"/>
          <w:u w:val="single"/>
        </w:rPr>
        <w:fldChar w:fldCharType="separate"/>
      </w:r>
      <w:r w:rsidR="00472151" w:rsidRPr="00F82928">
        <w:t xml:space="preserve">4.3 </w:t>
      </w:r>
      <w:r w:rsidR="00472151" w:rsidRPr="00472151">
        <w:rPr>
          <w:rStyle w:val="HyperlinkFaux"/>
        </w:rPr>
        <w:t>Non-current assets held for sale</w:t>
      </w:r>
      <w:r w:rsidRPr="00ED1473">
        <w:rPr>
          <w:color w:val="0000FF"/>
          <w:u w:val="single"/>
        </w:rPr>
        <w:fldChar w:fldCharType="end"/>
      </w:r>
    </w:p>
    <w:p w14:paraId="5DE2F9B4" w14:textId="0E8E4579" w:rsidR="00E00F3F" w:rsidRDefault="00ED1473" w:rsidP="00ED1473">
      <w:pPr>
        <w:pStyle w:val="NoSpacing"/>
        <w:spacing w:line="288" w:lineRule="auto"/>
      </w:pPr>
      <w:r w:rsidRPr="00ED1473">
        <w:rPr>
          <w:color w:val="0000FF"/>
          <w:u w:val="single"/>
        </w:rPr>
        <w:fldChar w:fldCharType="begin"/>
      </w:r>
      <w:r w:rsidRPr="00ED1473">
        <w:rPr>
          <w:color w:val="0000FF"/>
          <w:u w:val="single"/>
        </w:rPr>
        <w:instrText xml:space="preserve"> REF _Ref89845474 \h </w:instrText>
      </w:r>
      <w:r w:rsidR="00B1710D">
        <w:rPr>
          <w:color w:val="0000FF"/>
          <w:u w:val="single"/>
        </w:rPr>
        <w:instrText xml:space="preserve"> \* MERGEFORMAT </w:instrText>
      </w:r>
      <w:r w:rsidRPr="00ED1473">
        <w:rPr>
          <w:color w:val="0000FF"/>
          <w:u w:val="single"/>
        </w:rPr>
      </w:r>
      <w:r w:rsidRPr="00ED1473">
        <w:rPr>
          <w:color w:val="0000FF"/>
          <w:u w:val="single"/>
        </w:rPr>
        <w:fldChar w:fldCharType="separate"/>
      </w:r>
      <w:r w:rsidR="00472151">
        <w:t xml:space="preserve">4.4 </w:t>
      </w:r>
      <w:r w:rsidR="00472151" w:rsidRPr="00472151">
        <w:rPr>
          <w:rStyle w:val="HyperlinkFaux"/>
        </w:rPr>
        <w:t>Right of use assets and leases</w:t>
      </w:r>
      <w:r w:rsidRPr="00ED1473">
        <w:rPr>
          <w:color w:val="0000FF"/>
          <w:u w:val="single"/>
        </w:rPr>
        <w:fldChar w:fldCharType="end"/>
      </w:r>
    </w:p>
    <w:p w14:paraId="13AE6EE4" w14:textId="2E0055A9" w:rsidR="00ED1473" w:rsidRDefault="00ED1473" w:rsidP="00D00073">
      <w:pPr>
        <w:pStyle w:val="NoSpacing"/>
        <w:sectPr w:rsidR="00ED1473" w:rsidSect="00CF70F9">
          <w:endnotePr>
            <w:numFmt w:val="decimal"/>
          </w:endnotePr>
          <w:pgSz w:w="11900" w:h="16840"/>
          <w:pgMar w:top="1134" w:right="851" w:bottom="1134" w:left="1418" w:header="709" w:footer="709" w:gutter="0"/>
          <w:cols w:space="289"/>
          <w:docGrid w:linePitch="360"/>
        </w:sectPr>
      </w:pPr>
    </w:p>
    <w:p w14:paraId="3B42D2F3" w14:textId="77777777" w:rsidR="00D00073" w:rsidRDefault="00D00073" w:rsidP="00D00073">
      <w:pPr>
        <w:pStyle w:val="Heading3"/>
      </w:pPr>
      <w:bookmarkStart w:id="994" w:name="Note41"/>
      <w:bookmarkStart w:id="995" w:name="_Toc89723132"/>
      <w:bookmarkStart w:id="996" w:name="_Ref89844038"/>
      <w:bookmarkStart w:id="997" w:name="_Ref89845450"/>
      <w:bookmarkStart w:id="998" w:name="_Toc90326077"/>
      <w:bookmarkStart w:id="999" w:name="_Toc93659483"/>
      <w:r>
        <w:lastRenderedPageBreak/>
        <w:t xml:space="preserve">4.1 </w:t>
      </w:r>
      <w:bookmarkEnd w:id="994"/>
      <w:r>
        <w:t>Land, buildings, infrastructure, plant and equipment and service concession arrangements</w:t>
      </w:r>
      <w:bookmarkEnd w:id="995"/>
      <w:bookmarkEnd w:id="996"/>
      <w:bookmarkEnd w:id="997"/>
      <w:bookmarkEnd w:id="998"/>
      <w:bookmarkEnd w:id="999"/>
    </w:p>
    <w:p w14:paraId="30987DFA" w14:textId="69BD5CDF" w:rsidR="00BD3B8C" w:rsidRDefault="00D00073" w:rsidP="00D00073">
      <w:pPr>
        <w:pStyle w:val="Heading4"/>
      </w:pPr>
      <w:bookmarkStart w:id="1000" w:name="Note411"/>
      <w:r>
        <w:t xml:space="preserve">4.1.1 </w:t>
      </w:r>
      <w:bookmarkEnd w:id="1000"/>
      <w:r>
        <w:t>Reconciliation of movements in carrying values of land, buildings, infrastructure, plant and equipment and service concession arrangements</w:t>
      </w:r>
    </w:p>
    <w:p w14:paraId="20A0CBAD" w14:textId="20ABE489" w:rsidR="00E00F3F" w:rsidRPr="00E00F3F" w:rsidRDefault="00E00F3F" w:rsidP="00E00F3F">
      <w:pPr>
        <w:pStyle w:val="BodyText"/>
        <w:rPr>
          <w:rStyle w:val="Bold"/>
          <w:lang w:eastAsia="en-US"/>
        </w:rPr>
      </w:pPr>
      <w:r w:rsidRPr="00E00F3F">
        <w:rPr>
          <w:rStyle w:val="Bold"/>
        </w:rPr>
        <w:t>Year ended 30 June 2020</w:t>
      </w:r>
    </w:p>
    <w:tbl>
      <w:tblPr>
        <w:tblStyle w:val="Style1"/>
        <w:tblW w:w="5000" w:type="pct"/>
        <w:tblLayout w:type="fixed"/>
        <w:tblLook w:val="0660" w:firstRow="1" w:lastRow="1" w:firstColumn="0" w:lastColumn="0" w:noHBand="1" w:noVBand="1"/>
      </w:tblPr>
      <w:tblGrid>
        <w:gridCol w:w="1843"/>
        <w:gridCol w:w="1275"/>
        <w:gridCol w:w="1277"/>
        <w:gridCol w:w="1275"/>
        <w:gridCol w:w="1277"/>
        <w:gridCol w:w="1277"/>
        <w:gridCol w:w="1274"/>
        <w:gridCol w:w="1276"/>
        <w:gridCol w:w="1274"/>
        <w:gridCol w:w="1276"/>
        <w:gridCol w:w="1247"/>
      </w:tblGrid>
      <w:tr w:rsidR="00AA67AE" w:rsidRPr="00AA67AE" w14:paraId="61AA74B4" w14:textId="77777777" w:rsidTr="002B25DA">
        <w:trPr>
          <w:cnfStyle w:val="100000000000" w:firstRow="1" w:lastRow="0" w:firstColumn="0" w:lastColumn="0" w:oddVBand="0" w:evenVBand="0" w:oddHBand="0" w:evenHBand="0" w:firstRowFirstColumn="0" w:firstRowLastColumn="0" w:lastRowFirstColumn="0" w:lastRowLastColumn="0"/>
          <w:trHeight w:val="20"/>
        </w:trPr>
        <w:tc>
          <w:tcPr>
            <w:tcW w:w="632" w:type="pct"/>
            <w:tcBorders>
              <w:top w:val="single" w:sz="4" w:space="0" w:color="auto"/>
            </w:tcBorders>
            <w:vAlign w:val="bottom"/>
          </w:tcPr>
          <w:p w14:paraId="58632258" w14:textId="047267E4" w:rsidR="00E00F3F" w:rsidRPr="00AA67AE" w:rsidRDefault="00E00F3F" w:rsidP="00AA67AE">
            <w:pPr>
              <w:rPr>
                <w:sz w:val="17"/>
                <w:szCs w:val="17"/>
              </w:rPr>
            </w:pPr>
            <w:bookmarkStart w:id="1001" w:name="ColumnTitle_61"/>
            <w:r w:rsidRPr="00AA67AE">
              <w:rPr>
                <w:sz w:val="17"/>
                <w:szCs w:val="17"/>
              </w:rPr>
              <w:t>Item</w:t>
            </w:r>
          </w:p>
        </w:tc>
        <w:tc>
          <w:tcPr>
            <w:tcW w:w="437" w:type="pct"/>
            <w:tcBorders>
              <w:top w:val="single" w:sz="4" w:space="0" w:color="auto"/>
            </w:tcBorders>
            <w:vAlign w:val="bottom"/>
          </w:tcPr>
          <w:p w14:paraId="219ECF9C" w14:textId="77777777" w:rsidR="00E00F3F" w:rsidRPr="00AA67AE" w:rsidRDefault="001F4833" w:rsidP="00AA67AE">
            <w:pPr>
              <w:rPr>
                <w:sz w:val="17"/>
                <w:szCs w:val="17"/>
              </w:rPr>
            </w:pPr>
            <w:r w:rsidRPr="00AA67AE">
              <w:rPr>
                <w:sz w:val="17"/>
                <w:szCs w:val="17"/>
              </w:rPr>
              <w:t>Total</w:t>
            </w:r>
          </w:p>
          <w:p w14:paraId="6E29648E" w14:textId="0730C956" w:rsidR="001F4833" w:rsidRPr="00AA67AE" w:rsidRDefault="001F4833" w:rsidP="00AA67AE">
            <w:pPr>
              <w:rPr>
                <w:sz w:val="17"/>
                <w:szCs w:val="17"/>
              </w:rPr>
            </w:pPr>
            <w:r w:rsidRPr="00AA67AE">
              <w:rPr>
                <w:sz w:val="17"/>
                <w:szCs w:val="17"/>
              </w:rPr>
              <w:t>($ thousands)</w:t>
            </w:r>
          </w:p>
        </w:tc>
        <w:tc>
          <w:tcPr>
            <w:tcW w:w="438" w:type="pct"/>
            <w:tcBorders>
              <w:top w:val="single" w:sz="4" w:space="0" w:color="auto"/>
            </w:tcBorders>
            <w:vAlign w:val="bottom"/>
          </w:tcPr>
          <w:p w14:paraId="527D425F" w14:textId="28BCAA70" w:rsidR="001F4833" w:rsidRPr="00AA67AE" w:rsidRDefault="001F4833" w:rsidP="00AA67AE">
            <w:pPr>
              <w:rPr>
                <w:sz w:val="17"/>
                <w:szCs w:val="17"/>
              </w:rPr>
            </w:pPr>
            <w:r w:rsidRPr="00AA67AE">
              <w:rPr>
                <w:sz w:val="17"/>
                <w:szCs w:val="17"/>
              </w:rPr>
              <w:t>Crown</w:t>
            </w:r>
            <w:r w:rsidR="00AA67AE">
              <w:rPr>
                <w:sz w:val="17"/>
                <w:szCs w:val="17"/>
              </w:rPr>
              <w:t xml:space="preserve"> </w:t>
            </w:r>
            <w:r w:rsidRPr="00AA67AE">
              <w:rPr>
                <w:sz w:val="17"/>
                <w:szCs w:val="17"/>
              </w:rPr>
              <w:t>land</w:t>
            </w:r>
          </w:p>
          <w:p w14:paraId="45038C94" w14:textId="2A2B2ECE" w:rsidR="001F4833" w:rsidRPr="00AA67AE" w:rsidRDefault="001F4833" w:rsidP="00AA67AE">
            <w:pPr>
              <w:rPr>
                <w:sz w:val="17"/>
                <w:szCs w:val="17"/>
              </w:rPr>
            </w:pPr>
            <w:r w:rsidRPr="00AA67AE">
              <w:rPr>
                <w:sz w:val="17"/>
                <w:szCs w:val="17"/>
              </w:rPr>
              <w:t>($ thousands)</w:t>
            </w:r>
          </w:p>
        </w:tc>
        <w:tc>
          <w:tcPr>
            <w:tcW w:w="437" w:type="pct"/>
            <w:tcBorders>
              <w:top w:val="single" w:sz="4" w:space="0" w:color="auto"/>
            </w:tcBorders>
            <w:vAlign w:val="bottom"/>
          </w:tcPr>
          <w:p w14:paraId="43324574" w14:textId="07EAA082" w:rsidR="001F4833" w:rsidRPr="00AA67AE" w:rsidRDefault="001F4833" w:rsidP="00AA67AE">
            <w:pPr>
              <w:rPr>
                <w:sz w:val="17"/>
                <w:szCs w:val="17"/>
              </w:rPr>
            </w:pPr>
            <w:r w:rsidRPr="00AA67AE">
              <w:rPr>
                <w:sz w:val="17"/>
                <w:szCs w:val="17"/>
              </w:rPr>
              <w:t>Freehold</w:t>
            </w:r>
            <w:r w:rsidR="00AA67AE">
              <w:rPr>
                <w:sz w:val="17"/>
                <w:szCs w:val="17"/>
              </w:rPr>
              <w:t xml:space="preserve"> </w:t>
            </w:r>
            <w:r w:rsidRPr="00AA67AE">
              <w:rPr>
                <w:sz w:val="17"/>
                <w:szCs w:val="17"/>
              </w:rPr>
              <w:t>land</w:t>
            </w:r>
          </w:p>
          <w:p w14:paraId="3434E04F" w14:textId="76F92DB3" w:rsidR="001F4833" w:rsidRPr="00AA67AE" w:rsidRDefault="001F4833" w:rsidP="00AA67AE">
            <w:pPr>
              <w:rPr>
                <w:sz w:val="17"/>
                <w:szCs w:val="17"/>
              </w:rPr>
            </w:pPr>
            <w:r w:rsidRPr="00AA67AE">
              <w:rPr>
                <w:sz w:val="17"/>
                <w:szCs w:val="17"/>
              </w:rPr>
              <w:t>($ thousands)</w:t>
            </w:r>
          </w:p>
        </w:tc>
        <w:tc>
          <w:tcPr>
            <w:tcW w:w="438" w:type="pct"/>
            <w:tcBorders>
              <w:top w:val="single" w:sz="4" w:space="0" w:color="auto"/>
            </w:tcBorders>
            <w:vAlign w:val="bottom"/>
          </w:tcPr>
          <w:p w14:paraId="14544C9F" w14:textId="77777777" w:rsidR="00E00F3F" w:rsidRPr="00AA67AE" w:rsidRDefault="001F4833" w:rsidP="00AA67AE">
            <w:pPr>
              <w:rPr>
                <w:sz w:val="17"/>
                <w:szCs w:val="17"/>
              </w:rPr>
            </w:pPr>
            <w:r w:rsidRPr="00AA67AE">
              <w:rPr>
                <w:sz w:val="17"/>
                <w:szCs w:val="17"/>
              </w:rPr>
              <w:t>Buildings</w:t>
            </w:r>
          </w:p>
          <w:p w14:paraId="6B8E08AB" w14:textId="7834F012" w:rsidR="001F4833" w:rsidRPr="00AA67AE" w:rsidRDefault="001F4833" w:rsidP="00AA67AE">
            <w:pPr>
              <w:rPr>
                <w:sz w:val="17"/>
                <w:szCs w:val="17"/>
              </w:rPr>
            </w:pPr>
            <w:r w:rsidRPr="00AA67AE">
              <w:rPr>
                <w:sz w:val="17"/>
                <w:szCs w:val="17"/>
              </w:rPr>
              <w:t>($ thousands)</w:t>
            </w:r>
          </w:p>
        </w:tc>
        <w:tc>
          <w:tcPr>
            <w:tcW w:w="438" w:type="pct"/>
            <w:tcBorders>
              <w:top w:val="single" w:sz="4" w:space="0" w:color="auto"/>
            </w:tcBorders>
            <w:vAlign w:val="bottom"/>
          </w:tcPr>
          <w:p w14:paraId="79FC32D5" w14:textId="77777777" w:rsidR="00E00F3F" w:rsidRPr="00AA67AE" w:rsidRDefault="001F4833" w:rsidP="00AA67AE">
            <w:pPr>
              <w:rPr>
                <w:sz w:val="17"/>
                <w:szCs w:val="17"/>
              </w:rPr>
            </w:pPr>
            <w:r w:rsidRPr="00AA67AE">
              <w:rPr>
                <w:sz w:val="17"/>
                <w:szCs w:val="17"/>
              </w:rPr>
              <w:t>Leasehold</w:t>
            </w:r>
          </w:p>
          <w:p w14:paraId="0C3EB2E9" w14:textId="44DD6C9E" w:rsidR="001F4833" w:rsidRPr="00AA67AE" w:rsidRDefault="001D2D74" w:rsidP="00AA67AE">
            <w:pPr>
              <w:rPr>
                <w:sz w:val="17"/>
                <w:szCs w:val="17"/>
              </w:rPr>
            </w:pPr>
            <w:r>
              <w:rPr>
                <w:sz w:val="17"/>
                <w:szCs w:val="17"/>
              </w:rPr>
              <w:t>i</w:t>
            </w:r>
            <w:r w:rsidR="001F4833" w:rsidRPr="00AA67AE">
              <w:rPr>
                <w:sz w:val="17"/>
                <w:szCs w:val="17"/>
              </w:rPr>
              <w:t>mprovements</w:t>
            </w:r>
          </w:p>
          <w:p w14:paraId="42EF7D62" w14:textId="6E6C5286" w:rsidR="001F4833" w:rsidRPr="00AA67AE" w:rsidRDefault="001F4833" w:rsidP="00AA67AE">
            <w:pPr>
              <w:rPr>
                <w:sz w:val="17"/>
                <w:szCs w:val="17"/>
              </w:rPr>
            </w:pPr>
            <w:r w:rsidRPr="00AA67AE">
              <w:rPr>
                <w:sz w:val="17"/>
                <w:szCs w:val="17"/>
              </w:rPr>
              <w:t>($ thousands)</w:t>
            </w:r>
          </w:p>
        </w:tc>
        <w:tc>
          <w:tcPr>
            <w:tcW w:w="437" w:type="pct"/>
            <w:tcBorders>
              <w:top w:val="single" w:sz="4" w:space="0" w:color="auto"/>
            </w:tcBorders>
            <w:vAlign w:val="bottom"/>
          </w:tcPr>
          <w:p w14:paraId="6F9144C4" w14:textId="70F96668" w:rsidR="001F4833" w:rsidRPr="00AA67AE" w:rsidRDefault="001F4833" w:rsidP="00AA67AE">
            <w:pPr>
              <w:rPr>
                <w:sz w:val="17"/>
                <w:szCs w:val="17"/>
              </w:rPr>
            </w:pPr>
            <w:r w:rsidRPr="00AA67AE">
              <w:rPr>
                <w:sz w:val="17"/>
                <w:szCs w:val="17"/>
              </w:rPr>
              <w:t>Plant and</w:t>
            </w:r>
            <w:r w:rsidR="001D2D74">
              <w:rPr>
                <w:sz w:val="17"/>
                <w:szCs w:val="17"/>
              </w:rPr>
              <w:t xml:space="preserve"> e</w:t>
            </w:r>
            <w:r w:rsidRPr="00AA67AE">
              <w:rPr>
                <w:sz w:val="17"/>
                <w:szCs w:val="17"/>
              </w:rPr>
              <w:t>quipment</w:t>
            </w:r>
          </w:p>
          <w:p w14:paraId="78A9FCC7" w14:textId="58B69BB6" w:rsidR="001F4833" w:rsidRPr="00AA67AE" w:rsidRDefault="001F4833" w:rsidP="00AA67AE">
            <w:pPr>
              <w:rPr>
                <w:sz w:val="17"/>
                <w:szCs w:val="17"/>
              </w:rPr>
            </w:pPr>
            <w:r w:rsidRPr="00AA67AE">
              <w:rPr>
                <w:sz w:val="17"/>
                <w:szCs w:val="17"/>
              </w:rPr>
              <w:t>($ thousands)</w:t>
            </w:r>
          </w:p>
        </w:tc>
        <w:tc>
          <w:tcPr>
            <w:tcW w:w="438" w:type="pct"/>
            <w:tcBorders>
              <w:top w:val="single" w:sz="4" w:space="0" w:color="auto"/>
            </w:tcBorders>
            <w:vAlign w:val="bottom"/>
          </w:tcPr>
          <w:p w14:paraId="4D8E8829" w14:textId="20882CCA" w:rsidR="001F4833" w:rsidRPr="00AA67AE" w:rsidRDefault="001F4833" w:rsidP="00AA67AE">
            <w:pPr>
              <w:rPr>
                <w:sz w:val="17"/>
                <w:szCs w:val="17"/>
              </w:rPr>
            </w:pPr>
            <w:r w:rsidRPr="00AA67AE">
              <w:rPr>
                <w:sz w:val="17"/>
                <w:szCs w:val="17"/>
              </w:rPr>
              <w:t>Fleet</w:t>
            </w:r>
            <w:r w:rsidR="001D2D74">
              <w:rPr>
                <w:sz w:val="17"/>
                <w:szCs w:val="17"/>
              </w:rPr>
              <w:t xml:space="preserve"> v</w:t>
            </w:r>
            <w:r w:rsidRPr="00AA67AE">
              <w:rPr>
                <w:sz w:val="17"/>
                <w:szCs w:val="17"/>
              </w:rPr>
              <w:t>ehicles</w:t>
            </w:r>
          </w:p>
          <w:p w14:paraId="2C5358E1" w14:textId="2D603ABD" w:rsidR="001F4833" w:rsidRPr="00AA67AE" w:rsidRDefault="001F4833" w:rsidP="00AA67AE">
            <w:pPr>
              <w:rPr>
                <w:sz w:val="17"/>
                <w:szCs w:val="17"/>
              </w:rPr>
            </w:pPr>
            <w:r w:rsidRPr="00AA67AE">
              <w:rPr>
                <w:sz w:val="17"/>
                <w:szCs w:val="17"/>
              </w:rPr>
              <w:t>($ thousands)</w:t>
            </w:r>
          </w:p>
        </w:tc>
        <w:tc>
          <w:tcPr>
            <w:tcW w:w="437" w:type="pct"/>
            <w:tcBorders>
              <w:top w:val="single" w:sz="4" w:space="0" w:color="auto"/>
            </w:tcBorders>
            <w:vAlign w:val="bottom"/>
          </w:tcPr>
          <w:p w14:paraId="76A7A7B9" w14:textId="77777777" w:rsidR="00E00F3F" w:rsidRPr="00AA67AE" w:rsidRDefault="001F4833" w:rsidP="00AA67AE">
            <w:pPr>
              <w:rPr>
                <w:sz w:val="17"/>
                <w:szCs w:val="17"/>
              </w:rPr>
            </w:pPr>
            <w:r w:rsidRPr="00AA67AE">
              <w:rPr>
                <w:sz w:val="17"/>
                <w:szCs w:val="17"/>
              </w:rPr>
              <w:t>Infrastructure</w:t>
            </w:r>
          </w:p>
          <w:p w14:paraId="14856983" w14:textId="48A4A890" w:rsidR="001F4833" w:rsidRPr="00AA67AE" w:rsidRDefault="001F4833" w:rsidP="00AA67AE">
            <w:pPr>
              <w:rPr>
                <w:sz w:val="17"/>
                <w:szCs w:val="17"/>
              </w:rPr>
            </w:pPr>
            <w:r w:rsidRPr="00AA67AE">
              <w:rPr>
                <w:sz w:val="17"/>
                <w:szCs w:val="17"/>
              </w:rPr>
              <w:t>($ thousands)</w:t>
            </w:r>
          </w:p>
        </w:tc>
        <w:tc>
          <w:tcPr>
            <w:tcW w:w="438" w:type="pct"/>
            <w:tcBorders>
              <w:top w:val="single" w:sz="4" w:space="0" w:color="auto"/>
            </w:tcBorders>
            <w:vAlign w:val="bottom"/>
          </w:tcPr>
          <w:p w14:paraId="4CE602C1" w14:textId="4D737105" w:rsidR="001F4833" w:rsidRPr="00AA67AE" w:rsidRDefault="00DC0A06" w:rsidP="00AA67AE">
            <w:pPr>
              <w:rPr>
                <w:sz w:val="17"/>
                <w:szCs w:val="17"/>
              </w:rPr>
            </w:pPr>
            <w:r>
              <w:rPr>
                <w:sz w:val="17"/>
                <w:szCs w:val="17"/>
              </w:rPr>
              <w:t>Victorian Desalination Plant</w:t>
            </w:r>
            <w:r w:rsidR="001F4833" w:rsidRPr="00AA67AE">
              <w:rPr>
                <w:sz w:val="17"/>
                <w:szCs w:val="17"/>
              </w:rPr>
              <w:t xml:space="preserve"> service</w:t>
            </w:r>
            <w:r w:rsidR="001D2D74">
              <w:rPr>
                <w:sz w:val="17"/>
                <w:szCs w:val="17"/>
              </w:rPr>
              <w:t xml:space="preserve"> c</w:t>
            </w:r>
            <w:r w:rsidR="001F4833" w:rsidRPr="00AA67AE">
              <w:rPr>
                <w:sz w:val="17"/>
                <w:szCs w:val="17"/>
              </w:rPr>
              <w:t>oncession</w:t>
            </w:r>
            <w:r w:rsidR="001D2D74">
              <w:rPr>
                <w:sz w:val="17"/>
                <w:szCs w:val="17"/>
              </w:rPr>
              <w:t xml:space="preserve"> a</w:t>
            </w:r>
            <w:r w:rsidR="001F4833" w:rsidRPr="00AA67AE">
              <w:rPr>
                <w:sz w:val="17"/>
                <w:szCs w:val="17"/>
              </w:rPr>
              <w:t>sset</w:t>
            </w:r>
          </w:p>
          <w:p w14:paraId="5D2D7BCA" w14:textId="7E58E819" w:rsidR="001F4833" w:rsidRPr="00AA67AE" w:rsidRDefault="001F4833" w:rsidP="00AA67AE">
            <w:pPr>
              <w:rPr>
                <w:sz w:val="17"/>
                <w:szCs w:val="17"/>
              </w:rPr>
            </w:pPr>
            <w:r w:rsidRPr="00AA67AE">
              <w:rPr>
                <w:sz w:val="17"/>
                <w:szCs w:val="17"/>
              </w:rPr>
              <w:t>($ thousands)</w:t>
            </w:r>
          </w:p>
        </w:tc>
        <w:tc>
          <w:tcPr>
            <w:tcW w:w="428" w:type="pct"/>
            <w:tcBorders>
              <w:top w:val="single" w:sz="4" w:space="0" w:color="auto"/>
            </w:tcBorders>
            <w:vAlign w:val="bottom"/>
          </w:tcPr>
          <w:p w14:paraId="04F32427" w14:textId="599D47AB" w:rsidR="001F4833" w:rsidRPr="00AA67AE" w:rsidRDefault="001F4833" w:rsidP="00AA67AE">
            <w:pPr>
              <w:rPr>
                <w:sz w:val="17"/>
                <w:szCs w:val="17"/>
              </w:rPr>
            </w:pPr>
            <w:r w:rsidRPr="00AA67AE">
              <w:rPr>
                <w:sz w:val="17"/>
                <w:szCs w:val="17"/>
              </w:rPr>
              <w:t>Capital works</w:t>
            </w:r>
            <w:r w:rsidR="001D2D74">
              <w:rPr>
                <w:sz w:val="17"/>
                <w:szCs w:val="17"/>
              </w:rPr>
              <w:t xml:space="preserve"> </w:t>
            </w:r>
            <w:r w:rsidR="00AA67AE">
              <w:rPr>
                <w:sz w:val="17"/>
                <w:szCs w:val="17"/>
              </w:rPr>
              <w:t>i</w:t>
            </w:r>
            <w:r w:rsidRPr="00AA67AE">
              <w:rPr>
                <w:sz w:val="17"/>
                <w:szCs w:val="17"/>
              </w:rPr>
              <w:t>n progress</w:t>
            </w:r>
          </w:p>
          <w:p w14:paraId="34F2CCE0" w14:textId="52951B09" w:rsidR="001F4833" w:rsidRPr="00AA67AE" w:rsidRDefault="001F4833" w:rsidP="00AA67AE">
            <w:pPr>
              <w:rPr>
                <w:sz w:val="17"/>
                <w:szCs w:val="17"/>
              </w:rPr>
            </w:pPr>
            <w:r w:rsidRPr="00AA67AE">
              <w:rPr>
                <w:sz w:val="17"/>
                <w:szCs w:val="17"/>
              </w:rPr>
              <w:t>($ thousands)</w:t>
            </w:r>
          </w:p>
        </w:tc>
      </w:tr>
      <w:bookmarkEnd w:id="1001"/>
      <w:tr w:rsidR="00AA67AE" w:rsidRPr="00AA67AE" w14:paraId="14E9B71D" w14:textId="77777777" w:rsidTr="00AA67AE">
        <w:trPr>
          <w:trHeight w:val="20"/>
        </w:trPr>
        <w:tc>
          <w:tcPr>
            <w:tcW w:w="632" w:type="pct"/>
            <w:vAlign w:val="top"/>
          </w:tcPr>
          <w:p w14:paraId="71F59D91" w14:textId="7285EAD2" w:rsidR="001F4833" w:rsidRPr="00AA67AE" w:rsidRDefault="001F4833" w:rsidP="00AA67AE">
            <w:pPr>
              <w:pStyle w:val="TableBodyText"/>
              <w:rPr>
                <w:sz w:val="17"/>
                <w:szCs w:val="17"/>
              </w:rPr>
            </w:pPr>
            <w:r w:rsidRPr="00AA67AE">
              <w:rPr>
                <w:sz w:val="17"/>
                <w:szCs w:val="17"/>
              </w:rPr>
              <w:t>Opening balance</w:t>
            </w:r>
          </w:p>
        </w:tc>
        <w:tc>
          <w:tcPr>
            <w:tcW w:w="437" w:type="pct"/>
            <w:vAlign w:val="top"/>
          </w:tcPr>
          <w:p w14:paraId="76AAB557" w14:textId="626926AF" w:rsidR="001F4833" w:rsidRPr="00AA67AE" w:rsidRDefault="001F4833" w:rsidP="00AA67AE">
            <w:pPr>
              <w:pStyle w:val="TableBodyText"/>
              <w:rPr>
                <w:sz w:val="17"/>
                <w:szCs w:val="17"/>
              </w:rPr>
            </w:pPr>
            <w:r w:rsidRPr="00AA67AE">
              <w:rPr>
                <w:sz w:val="17"/>
                <w:szCs w:val="17"/>
              </w:rPr>
              <w:t>15,053,474</w:t>
            </w:r>
          </w:p>
        </w:tc>
        <w:tc>
          <w:tcPr>
            <w:tcW w:w="438" w:type="pct"/>
            <w:vAlign w:val="top"/>
          </w:tcPr>
          <w:p w14:paraId="0DFBB994" w14:textId="3A7ACF1F" w:rsidR="001F4833" w:rsidRPr="00AA67AE" w:rsidRDefault="001F4833" w:rsidP="00AA67AE">
            <w:pPr>
              <w:pStyle w:val="TableBodyText"/>
              <w:rPr>
                <w:sz w:val="17"/>
                <w:szCs w:val="17"/>
              </w:rPr>
            </w:pPr>
            <w:r w:rsidRPr="00AA67AE">
              <w:rPr>
                <w:sz w:val="17"/>
                <w:szCs w:val="17"/>
              </w:rPr>
              <w:t>111,540</w:t>
            </w:r>
          </w:p>
        </w:tc>
        <w:tc>
          <w:tcPr>
            <w:tcW w:w="437" w:type="pct"/>
            <w:vAlign w:val="top"/>
          </w:tcPr>
          <w:p w14:paraId="0D0B16B2" w14:textId="1096EE29" w:rsidR="001F4833" w:rsidRPr="00AA67AE" w:rsidRDefault="001F4833" w:rsidP="00AA67AE">
            <w:pPr>
              <w:pStyle w:val="TableBodyText"/>
              <w:rPr>
                <w:sz w:val="17"/>
                <w:szCs w:val="17"/>
              </w:rPr>
            </w:pPr>
            <w:r w:rsidRPr="00AA67AE">
              <w:rPr>
                <w:sz w:val="17"/>
                <w:szCs w:val="17"/>
              </w:rPr>
              <w:t>1,374,358</w:t>
            </w:r>
          </w:p>
        </w:tc>
        <w:tc>
          <w:tcPr>
            <w:tcW w:w="438" w:type="pct"/>
            <w:vAlign w:val="top"/>
          </w:tcPr>
          <w:p w14:paraId="7D72596A" w14:textId="0BD07DCB" w:rsidR="001F4833" w:rsidRPr="00AA67AE" w:rsidRDefault="001F4833" w:rsidP="00AA67AE">
            <w:pPr>
              <w:pStyle w:val="TableBodyText"/>
              <w:rPr>
                <w:sz w:val="17"/>
                <w:szCs w:val="17"/>
              </w:rPr>
            </w:pPr>
            <w:r w:rsidRPr="00AA67AE">
              <w:rPr>
                <w:sz w:val="17"/>
                <w:szCs w:val="17"/>
              </w:rPr>
              <w:t>22,065</w:t>
            </w:r>
          </w:p>
        </w:tc>
        <w:tc>
          <w:tcPr>
            <w:tcW w:w="438" w:type="pct"/>
            <w:vAlign w:val="top"/>
          </w:tcPr>
          <w:p w14:paraId="26DD44E6" w14:textId="17CBC1C2" w:rsidR="001F4833" w:rsidRPr="00AA67AE" w:rsidRDefault="001F4833" w:rsidP="00AA67AE">
            <w:pPr>
              <w:pStyle w:val="TableBodyText"/>
              <w:rPr>
                <w:sz w:val="17"/>
                <w:szCs w:val="17"/>
              </w:rPr>
            </w:pPr>
            <w:r w:rsidRPr="00AA67AE">
              <w:rPr>
                <w:sz w:val="17"/>
                <w:szCs w:val="17"/>
              </w:rPr>
              <w:t>8,330</w:t>
            </w:r>
          </w:p>
        </w:tc>
        <w:tc>
          <w:tcPr>
            <w:tcW w:w="437" w:type="pct"/>
            <w:vAlign w:val="top"/>
          </w:tcPr>
          <w:p w14:paraId="11A8FC1B" w14:textId="5C1551FC" w:rsidR="001F4833" w:rsidRPr="00AA67AE" w:rsidRDefault="001F4833" w:rsidP="00AA67AE">
            <w:pPr>
              <w:pStyle w:val="TableBodyText"/>
              <w:rPr>
                <w:sz w:val="17"/>
                <w:szCs w:val="17"/>
              </w:rPr>
            </w:pPr>
            <w:r w:rsidRPr="00AA67AE">
              <w:rPr>
                <w:sz w:val="17"/>
                <w:szCs w:val="17"/>
              </w:rPr>
              <w:t>14,981</w:t>
            </w:r>
          </w:p>
        </w:tc>
        <w:tc>
          <w:tcPr>
            <w:tcW w:w="438" w:type="pct"/>
            <w:vAlign w:val="top"/>
          </w:tcPr>
          <w:p w14:paraId="1ADC5567" w14:textId="56473C4A" w:rsidR="001F4833" w:rsidRPr="00AA67AE" w:rsidRDefault="001F4833" w:rsidP="00AA67AE">
            <w:pPr>
              <w:pStyle w:val="TableBodyText"/>
              <w:rPr>
                <w:sz w:val="17"/>
                <w:szCs w:val="17"/>
              </w:rPr>
            </w:pPr>
            <w:r w:rsidRPr="00AA67AE">
              <w:rPr>
                <w:sz w:val="17"/>
                <w:szCs w:val="17"/>
              </w:rPr>
              <w:t>12,436</w:t>
            </w:r>
          </w:p>
        </w:tc>
        <w:tc>
          <w:tcPr>
            <w:tcW w:w="437" w:type="pct"/>
            <w:vAlign w:val="top"/>
          </w:tcPr>
          <w:p w14:paraId="11C50FBC" w14:textId="7790F5FA" w:rsidR="001F4833" w:rsidRPr="00AA67AE" w:rsidRDefault="001F4833" w:rsidP="00AA67AE">
            <w:pPr>
              <w:pStyle w:val="TableBodyText"/>
              <w:rPr>
                <w:sz w:val="17"/>
                <w:szCs w:val="17"/>
              </w:rPr>
            </w:pPr>
            <w:r w:rsidRPr="00AA67AE">
              <w:rPr>
                <w:sz w:val="17"/>
                <w:szCs w:val="17"/>
              </w:rPr>
              <w:t>8,801,118</w:t>
            </w:r>
          </w:p>
        </w:tc>
        <w:tc>
          <w:tcPr>
            <w:tcW w:w="438" w:type="pct"/>
            <w:vAlign w:val="top"/>
          </w:tcPr>
          <w:p w14:paraId="4FF9656E" w14:textId="7EA42FED" w:rsidR="001F4833" w:rsidRPr="00AA67AE" w:rsidRDefault="001F4833" w:rsidP="00AA67AE">
            <w:pPr>
              <w:pStyle w:val="TableBodyText"/>
              <w:rPr>
                <w:sz w:val="17"/>
                <w:szCs w:val="17"/>
              </w:rPr>
            </w:pPr>
            <w:r w:rsidRPr="00AA67AE">
              <w:rPr>
                <w:sz w:val="17"/>
                <w:szCs w:val="17"/>
              </w:rPr>
              <w:t>4,149,448</w:t>
            </w:r>
          </w:p>
        </w:tc>
        <w:tc>
          <w:tcPr>
            <w:tcW w:w="428" w:type="pct"/>
            <w:vAlign w:val="top"/>
          </w:tcPr>
          <w:p w14:paraId="2DB50767" w14:textId="16F6D09B" w:rsidR="001F4833" w:rsidRPr="00AA67AE" w:rsidRDefault="001F4833" w:rsidP="00AA67AE">
            <w:pPr>
              <w:pStyle w:val="TableBodyText"/>
              <w:rPr>
                <w:sz w:val="17"/>
                <w:szCs w:val="17"/>
              </w:rPr>
            </w:pPr>
            <w:r w:rsidRPr="00AA67AE">
              <w:rPr>
                <w:sz w:val="17"/>
                <w:szCs w:val="17"/>
              </w:rPr>
              <w:t>559,198</w:t>
            </w:r>
          </w:p>
        </w:tc>
      </w:tr>
      <w:tr w:rsidR="00AA67AE" w:rsidRPr="00AA67AE" w14:paraId="387A7911" w14:textId="77777777" w:rsidTr="00AA67AE">
        <w:trPr>
          <w:trHeight w:val="20"/>
        </w:trPr>
        <w:tc>
          <w:tcPr>
            <w:tcW w:w="632" w:type="pct"/>
            <w:vAlign w:val="top"/>
          </w:tcPr>
          <w:p w14:paraId="6225A36D" w14:textId="7774B547" w:rsidR="003D1606" w:rsidRPr="00AA67AE" w:rsidRDefault="003D1606" w:rsidP="00AA67AE">
            <w:pPr>
              <w:pStyle w:val="TableBodyText"/>
              <w:rPr>
                <w:sz w:val="17"/>
                <w:szCs w:val="17"/>
              </w:rPr>
            </w:pPr>
            <w:r w:rsidRPr="00AA67AE">
              <w:rPr>
                <w:sz w:val="17"/>
                <w:szCs w:val="17"/>
              </w:rPr>
              <w:t>Purchased additions</w:t>
            </w:r>
          </w:p>
        </w:tc>
        <w:tc>
          <w:tcPr>
            <w:tcW w:w="437" w:type="pct"/>
            <w:vAlign w:val="top"/>
          </w:tcPr>
          <w:p w14:paraId="58FB68D5" w14:textId="3D13D9B6" w:rsidR="003D1606" w:rsidRPr="00AA67AE" w:rsidRDefault="003D1606" w:rsidP="00AA67AE">
            <w:pPr>
              <w:pStyle w:val="TableBodyText"/>
              <w:rPr>
                <w:sz w:val="17"/>
                <w:szCs w:val="17"/>
              </w:rPr>
            </w:pPr>
            <w:r w:rsidRPr="00AA67AE">
              <w:rPr>
                <w:sz w:val="17"/>
                <w:szCs w:val="17"/>
              </w:rPr>
              <w:t>3,743</w:t>
            </w:r>
          </w:p>
        </w:tc>
        <w:tc>
          <w:tcPr>
            <w:tcW w:w="438" w:type="pct"/>
            <w:vAlign w:val="top"/>
          </w:tcPr>
          <w:p w14:paraId="3FF1A439" w14:textId="472BAC1A" w:rsidR="003D1606" w:rsidRPr="00AA67AE" w:rsidRDefault="003D1606" w:rsidP="00AA67AE">
            <w:pPr>
              <w:pStyle w:val="TableBodyText"/>
              <w:rPr>
                <w:sz w:val="17"/>
                <w:szCs w:val="17"/>
              </w:rPr>
            </w:pPr>
            <w:r w:rsidRPr="00AA67AE">
              <w:rPr>
                <w:sz w:val="17"/>
                <w:szCs w:val="17"/>
              </w:rPr>
              <w:t>N/A</w:t>
            </w:r>
          </w:p>
        </w:tc>
        <w:tc>
          <w:tcPr>
            <w:tcW w:w="437" w:type="pct"/>
            <w:vAlign w:val="top"/>
          </w:tcPr>
          <w:p w14:paraId="3435E750" w14:textId="4ACF7CBF" w:rsidR="003D1606" w:rsidRPr="00AA67AE" w:rsidRDefault="003D1606" w:rsidP="00AA67AE">
            <w:pPr>
              <w:pStyle w:val="TableBodyText"/>
              <w:rPr>
                <w:sz w:val="17"/>
                <w:szCs w:val="17"/>
              </w:rPr>
            </w:pPr>
            <w:r w:rsidRPr="00AA67AE">
              <w:rPr>
                <w:sz w:val="17"/>
                <w:szCs w:val="17"/>
              </w:rPr>
              <w:t>N/A</w:t>
            </w:r>
          </w:p>
        </w:tc>
        <w:tc>
          <w:tcPr>
            <w:tcW w:w="438" w:type="pct"/>
            <w:vAlign w:val="top"/>
          </w:tcPr>
          <w:p w14:paraId="12F7C247" w14:textId="11122DED" w:rsidR="003D1606" w:rsidRPr="00AA67AE" w:rsidRDefault="003D1606" w:rsidP="00AA67AE">
            <w:pPr>
              <w:pStyle w:val="TableBodyText"/>
              <w:rPr>
                <w:sz w:val="17"/>
                <w:szCs w:val="17"/>
              </w:rPr>
            </w:pPr>
            <w:r w:rsidRPr="00AA67AE">
              <w:rPr>
                <w:sz w:val="17"/>
                <w:szCs w:val="17"/>
              </w:rPr>
              <w:t>N/A</w:t>
            </w:r>
          </w:p>
        </w:tc>
        <w:tc>
          <w:tcPr>
            <w:tcW w:w="438" w:type="pct"/>
            <w:vAlign w:val="top"/>
          </w:tcPr>
          <w:p w14:paraId="45E4EBF1" w14:textId="0A323EDC" w:rsidR="003D1606" w:rsidRPr="00AA67AE" w:rsidRDefault="003D1606" w:rsidP="00AA67AE">
            <w:pPr>
              <w:pStyle w:val="TableBodyText"/>
              <w:rPr>
                <w:sz w:val="17"/>
                <w:szCs w:val="17"/>
              </w:rPr>
            </w:pPr>
            <w:r w:rsidRPr="00AA67AE">
              <w:rPr>
                <w:sz w:val="17"/>
                <w:szCs w:val="17"/>
              </w:rPr>
              <w:t>N/A</w:t>
            </w:r>
          </w:p>
        </w:tc>
        <w:tc>
          <w:tcPr>
            <w:tcW w:w="437" w:type="pct"/>
            <w:vAlign w:val="top"/>
          </w:tcPr>
          <w:p w14:paraId="7A3C67B2" w14:textId="2030B1FE" w:rsidR="003D1606" w:rsidRPr="00AA67AE" w:rsidRDefault="003D1606" w:rsidP="00AA67AE">
            <w:pPr>
              <w:pStyle w:val="TableBodyText"/>
              <w:rPr>
                <w:sz w:val="17"/>
                <w:szCs w:val="17"/>
              </w:rPr>
            </w:pPr>
            <w:r w:rsidRPr="00AA67AE">
              <w:rPr>
                <w:sz w:val="17"/>
                <w:szCs w:val="17"/>
              </w:rPr>
              <w:t>N/A</w:t>
            </w:r>
          </w:p>
        </w:tc>
        <w:tc>
          <w:tcPr>
            <w:tcW w:w="438" w:type="pct"/>
            <w:vAlign w:val="top"/>
          </w:tcPr>
          <w:p w14:paraId="7A630E1F" w14:textId="2F83AEC0" w:rsidR="003D1606" w:rsidRPr="00AA67AE" w:rsidRDefault="003D1606" w:rsidP="00AA67AE">
            <w:pPr>
              <w:pStyle w:val="TableBodyText"/>
              <w:rPr>
                <w:sz w:val="17"/>
                <w:szCs w:val="17"/>
              </w:rPr>
            </w:pPr>
            <w:r w:rsidRPr="00AA67AE">
              <w:rPr>
                <w:sz w:val="17"/>
                <w:szCs w:val="17"/>
              </w:rPr>
              <w:t>3,743</w:t>
            </w:r>
          </w:p>
        </w:tc>
        <w:tc>
          <w:tcPr>
            <w:tcW w:w="437" w:type="pct"/>
            <w:vAlign w:val="top"/>
          </w:tcPr>
          <w:p w14:paraId="4521C235" w14:textId="240B91F3" w:rsidR="003D1606" w:rsidRPr="00AA67AE" w:rsidRDefault="003D1606" w:rsidP="00AA67AE">
            <w:pPr>
              <w:pStyle w:val="TableBodyText"/>
              <w:rPr>
                <w:sz w:val="17"/>
                <w:szCs w:val="17"/>
              </w:rPr>
            </w:pPr>
            <w:r w:rsidRPr="00AA67AE">
              <w:rPr>
                <w:sz w:val="17"/>
                <w:szCs w:val="17"/>
              </w:rPr>
              <w:t>N/A</w:t>
            </w:r>
          </w:p>
        </w:tc>
        <w:tc>
          <w:tcPr>
            <w:tcW w:w="438" w:type="pct"/>
            <w:vAlign w:val="top"/>
          </w:tcPr>
          <w:p w14:paraId="3B244A57" w14:textId="6AEAED71" w:rsidR="003D1606" w:rsidRPr="00AA67AE" w:rsidRDefault="003D1606" w:rsidP="00AA67AE">
            <w:pPr>
              <w:pStyle w:val="TableBodyText"/>
              <w:rPr>
                <w:sz w:val="17"/>
                <w:szCs w:val="17"/>
              </w:rPr>
            </w:pPr>
            <w:r w:rsidRPr="00AA67AE">
              <w:rPr>
                <w:sz w:val="17"/>
                <w:szCs w:val="17"/>
              </w:rPr>
              <w:t>N/A</w:t>
            </w:r>
          </w:p>
        </w:tc>
        <w:tc>
          <w:tcPr>
            <w:tcW w:w="428" w:type="pct"/>
            <w:vAlign w:val="top"/>
          </w:tcPr>
          <w:p w14:paraId="7A44B256" w14:textId="51A403E8" w:rsidR="003D1606" w:rsidRPr="00AA67AE" w:rsidRDefault="003D1606" w:rsidP="00AA67AE">
            <w:pPr>
              <w:pStyle w:val="TableBodyText"/>
              <w:rPr>
                <w:sz w:val="17"/>
                <w:szCs w:val="17"/>
              </w:rPr>
            </w:pPr>
            <w:r w:rsidRPr="00AA67AE">
              <w:rPr>
                <w:sz w:val="17"/>
                <w:szCs w:val="17"/>
              </w:rPr>
              <w:t>N/A</w:t>
            </w:r>
          </w:p>
        </w:tc>
      </w:tr>
      <w:tr w:rsidR="00AA67AE" w:rsidRPr="00AA67AE" w14:paraId="7B98C3B7" w14:textId="77777777" w:rsidTr="00AA67AE">
        <w:trPr>
          <w:trHeight w:val="20"/>
        </w:trPr>
        <w:tc>
          <w:tcPr>
            <w:tcW w:w="632" w:type="pct"/>
            <w:vAlign w:val="top"/>
          </w:tcPr>
          <w:p w14:paraId="3B41A31B" w14:textId="2CA25144" w:rsidR="003D1606" w:rsidRPr="00AA67AE" w:rsidRDefault="003D1606" w:rsidP="00AA67AE">
            <w:pPr>
              <w:pStyle w:val="TableBodyText"/>
              <w:rPr>
                <w:sz w:val="17"/>
                <w:szCs w:val="17"/>
              </w:rPr>
            </w:pPr>
            <w:r w:rsidRPr="00AA67AE">
              <w:rPr>
                <w:sz w:val="17"/>
                <w:szCs w:val="17"/>
              </w:rPr>
              <w:t>Developer contributed assets</w:t>
            </w:r>
          </w:p>
        </w:tc>
        <w:tc>
          <w:tcPr>
            <w:tcW w:w="437" w:type="pct"/>
            <w:vAlign w:val="top"/>
          </w:tcPr>
          <w:p w14:paraId="601B1DC5" w14:textId="19E641B9" w:rsidR="003D1606" w:rsidRPr="00AA67AE" w:rsidRDefault="003D1606" w:rsidP="00AA67AE">
            <w:pPr>
              <w:pStyle w:val="TableBodyText"/>
              <w:rPr>
                <w:sz w:val="17"/>
                <w:szCs w:val="17"/>
              </w:rPr>
            </w:pPr>
            <w:r w:rsidRPr="00AA67AE">
              <w:rPr>
                <w:sz w:val="17"/>
                <w:szCs w:val="17"/>
              </w:rPr>
              <w:t>38,512</w:t>
            </w:r>
          </w:p>
        </w:tc>
        <w:tc>
          <w:tcPr>
            <w:tcW w:w="438" w:type="pct"/>
            <w:vAlign w:val="top"/>
          </w:tcPr>
          <w:p w14:paraId="0B51FC0A" w14:textId="0E0F82F9" w:rsidR="003D1606" w:rsidRPr="00AA67AE" w:rsidRDefault="003D1606" w:rsidP="00AA67AE">
            <w:pPr>
              <w:pStyle w:val="TableBodyText"/>
              <w:rPr>
                <w:sz w:val="17"/>
                <w:szCs w:val="17"/>
              </w:rPr>
            </w:pPr>
            <w:r w:rsidRPr="00AA67AE">
              <w:rPr>
                <w:sz w:val="17"/>
                <w:szCs w:val="17"/>
              </w:rPr>
              <w:t>N/A</w:t>
            </w:r>
          </w:p>
        </w:tc>
        <w:tc>
          <w:tcPr>
            <w:tcW w:w="437" w:type="pct"/>
            <w:vAlign w:val="top"/>
          </w:tcPr>
          <w:p w14:paraId="633ECD91" w14:textId="14F1889A" w:rsidR="003D1606" w:rsidRPr="00AA67AE" w:rsidRDefault="003D1606" w:rsidP="00AA67AE">
            <w:pPr>
              <w:pStyle w:val="TableBodyText"/>
              <w:rPr>
                <w:sz w:val="17"/>
                <w:szCs w:val="17"/>
              </w:rPr>
            </w:pPr>
            <w:r w:rsidRPr="00AA67AE">
              <w:rPr>
                <w:sz w:val="17"/>
                <w:szCs w:val="17"/>
              </w:rPr>
              <w:t>N/A</w:t>
            </w:r>
          </w:p>
        </w:tc>
        <w:tc>
          <w:tcPr>
            <w:tcW w:w="438" w:type="pct"/>
            <w:vAlign w:val="top"/>
          </w:tcPr>
          <w:p w14:paraId="7B612DE1" w14:textId="0178967F" w:rsidR="003D1606" w:rsidRPr="00AA67AE" w:rsidRDefault="003D1606" w:rsidP="00AA67AE">
            <w:pPr>
              <w:pStyle w:val="TableBodyText"/>
              <w:rPr>
                <w:sz w:val="17"/>
                <w:szCs w:val="17"/>
              </w:rPr>
            </w:pPr>
            <w:r w:rsidRPr="00AA67AE">
              <w:rPr>
                <w:sz w:val="17"/>
                <w:szCs w:val="17"/>
              </w:rPr>
              <w:t>N/A</w:t>
            </w:r>
          </w:p>
        </w:tc>
        <w:tc>
          <w:tcPr>
            <w:tcW w:w="438" w:type="pct"/>
            <w:vAlign w:val="top"/>
          </w:tcPr>
          <w:p w14:paraId="5A2A1AC1" w14:textId="44A244A8" w:rsidR="003D1606" w:rsidRPr="00AA67AE" w:rsidRDefault="003D1606" w:rsidP="00AA67AE">
            <w:pPr>
              <w:pStyle w:val="TableBodyText"/>
              <w:rPr>
                <w:sz w:val="17"/>
                <w:szCs w:val="17"/>
              </w:rPr>
            </w:pPr>
            <w:r w:rsidRPr="00AA67AE">
              <w:rPr>
                <w:sz w:val="17"/>
                <w:szCs w:val="17"/>
              </w:rPr>
              <w:t>N/A</w:t>
            </w:r>
          </w:p>
        </w:tc>
        <w:tc>
          <w:tcPr>
            <w:tcW w:w="437" w:type="pct"/>
            <w:vAlign w:val="top"/>
          </w:tcPr>
          <w:p w14:paraId="1C514E6F" w14:textId="07292E0D" w:rsidR="003D1606" w:rsidRPr="00AA67AE" w:rsidRDefault="003D1606" w:rsidP="00AA67AE">
            <w:pPr>
              <w:pStyle w:val="TableBodyText"/>
              <w:rPr>
                <w:sz w:val="17"/>
                <w:szCs w:val="17"/>
              </w:rPr>
            </w:pPr>
            <w:r w:rsidRPr="00AA67AE">
              <w:rPr>
                <w:sz w:val="17"/>
                <w:szCs w:val="17"/>
              </w:rPr>
              <w:t>N/A</w:t>
            </w:r>
          </w:p>
        </w:tc>
        <w:tc>
          <w:tcPr>
            <w:tcW w:w="438" w:type="pct"/>
            <w:vAlign w:val="top"/>
          </w:tcPr>
          <w:p w14:paraId="763AB683" w14:textId="00AEA512" w:rsidR="003D1606" w:rsidRPr="00AA67AE" w:rsidRDefault="003D1606" w:rsidP="00AA67AE">
            <w:pPr>
              <w:pStyle w:val="TableBodyText"/>
              <w:rPr>
                <w:sz w:val="17"/>
                <w:szCs w:val="17"/>
              </w:rPr>
            </w:pPr>
            <w:r w:rsidRPr="00AA67AE">
              <w:rPr>
                <w:sz w:val="17"/>
                <w:szCs w:val="17"/>
              </w:rPr>
              <w:t>N/A</w:t>
            </w:r>
          </w:p>
        </w:tc>
        <w:tc>
          <w:tcPr>
            <w:tcW w:w="437" w:type="pct"/>
            <w:vAlign w:val="top"/>
          </w:tcPr>
          <w:p w14:paraId="4578B6A7" w14:textId="71A3F5D4" w:rsidR="003D1606" w:rsidRPr="00AA67AE" w:rsidRDefault="003D1606" w:rsidP="00AA67AE">
            <w:pPr>
              <w:pStyle w:val="TableBodyText"/>
              <w:rPr>
                <w:sz w:val="17"/>
                <w:szCs w:val="17"/>
              </w:rPr>
            </w:pPr>
            <w:r w:rsidRPr="00AA67AE">
              <w:rPr>
                <w:sz w:val="17"/>
                <w:szCs w:val="17"/>
              </w:rPr>
              <w:t>38,512</w:t>
            </w:r>
          </w:p>
        </w:tc>
        <w:tc>
          <w:tcPr>
            <w:tcW w:w="438" w:type="pct"/>
            <w:vAlign w:val="top"/>
          </w:tcPr>
          <w:p w14:paraId="4303F045" w14:textId="4BB914CC" w:rsidR="003D1606" w:rsidRPr="00AA67AE" w:rsidRDefault="003D1606" w:rsidP="00AA67AE">
            <w:pPr>
              <w:pStyle w:val="TableBodyText"/>
              <w:rPr>
                <w:sz w:val="17"/>
                <w:szCs w:val="17"/>
              </w:rPr>
            </w:pPr>
            <w:r w:rsidRPr="00AA67AE">
              <w:rPr>
                <w:sz w:val="17"/>
                <w:szCs w:val="17"/>
              </w:rPr>
              <w:t>N/A</w:t>
            </w:r>
          </w:p>
        </w:tc>
        <w:tc>
          <w:tcPr>
            <w:tcW w:w="428" w:type="pct"/>
            <w:vAlign w:val="top"/>
          </w:tcPr>
          <w:p w14:paraId="09256B79" w14:textId="165FC35C" w:rsidR="003D1606" w:rsidRPr="00AA67AE" w:rsidRDefault="003D1606" w:rsidP="00AA67AE">
            <w:pPr>
              <w:pStyle w:val="TableBodyText"/>
              <w:rPr>
                <w:sz w:val="17"/>
                <w:szCs w:val="17"/>
              </w:rPr>
            </w:pPr>
            <w:r w:rsidRPr="00AA67AE">
              <w:rPr>
                <w:sz w:val="17"/>
                <w:szCs w:val="17"/>
              </w:rPr>
              <w:t>N/A</w:t>
            </w:r>
          </w:p>
        </w:tc>
      </w:tr>
      <w:tr w:rsidR="00AA67AE" w:rsidRPr="00AA67AE" w14:paraId="1524A970" w14:textId="77777777" w:rsidTr="00AA67AE">
        <w:trPr>
          <w:trHeight w:val="20"/>
        </w:trPr>
        <w:tc>
          <w:tcPr>
            <w:tcW w:w="632" w:type="pct"/>
            <w:vAlign w:val="top"/>
          </w:tcPr>
          <w:p w14:paraId="0C654359" w14:textId="0DB4BB1D" w:rsidR="001F4833" w:rsidRPr="00AA67AE" w:rsidRDefault="001F4833" w:rsidP="00AA67AE">
            <w:pPr>
              <w:pStyle w:val="TableBodyText"/>
              <w:rPr>
                <w:sz w:val="17"/>
                <w:szCs w:val="17"/>
              </w:rPr>
            </w:pPr>
            <w:r w:rsidRPr="00AA67AE">
              <w:rPr>
                <w:sz w:val="17"/>
                <w:szCs w:val="17"/>
              </w:rPr>
              <w:t>Disposals and write-offs</w:t>
            </w:r>
          </w:p>
        </w:tc>
        <w:tc>
          <w:tcPr>
            <w:tcW w:w="437" w:type="pct"/>
            <w:vAlign w:val="top"/>
          </w:tcPr>
          <w:p w14:paraId="23D5642F" w14:textId="6A9ED693" w:rsidR="001F4833" w:rsidRPr="00AA67AE" w:rsidRDefault="001F4833" w:rsidP="00AA67AE">
            <w:pPr>
              <w:pStyle w:val="TableBodyText"/>
              <w:rPr>
                <w:sz w:val="17"/>
                <w:szCs w:val="17"/>
              </w:rPr>
            </w:pPr>
            <w:r w:rsidRPr="00AA67AE">
              <w:rPr>
                <w:sz w:val="17"/>
                <w:szCs w:val="17"/>
              </w:rPr>
              <w:t>(51,841)</w:t>
            </w:r>
          </w:p>
        </w:tc>
        <w:tc>
          <w:tcPr>
            <w:tcW w:w="438" w:type="pct"/>
            <w:vAlign w:val="top"/>
          </w:tcPr>
          <w:p w14:paraId="4C711C8D" w14:textId="48E85CF9" w:rsidR="001F4833" w:rsidRPr="00AA67AE" w:rsidRDefault="001F4833" w:rsidP="00AA67AE">
            <w:pPr>
              <w:pStyle w:val="TableBodyText"/>
              <w:rPr>
                <w:sz w:val="17"/>
                <w:szCs w:val="17"/>
              </w:rPr>
            </w:pPr>
            <w:r w:rsidRPr="00AA67AE">
              <w:rPr>
                <w:sz w:val="17"/>
                <w:szCs w:val="17"/>
              </w:rPr>
              <w:t>(33)</w:t>
            </w:r>
          </w:p>
        </w:tc>
        <w:tc>
          <w:tcPr>
            <w:tcW w:w="437" w:type="pct"/>
            <w:vAlign w:val="top"/>
          </w:tcPr>
          <w:p w14:paraId="2A613BA2" w14:textId="03C272DE" w:rsidR="001F4833" w:rsidRPr="00AA67AE" w:rsidRDefault="001F4833" w:rsidP="00AA67AE">
            <w:pPr>
              <w:pStyle w:val="TableBodyText"/>
              <w:rPr>
                <w:sz w:val="17"/>
                <w:szCs w:val="17"/>
              </w:rPr>
            </w:pPr>
            <w:r w:rsidRPr="00AA67AE">
              <w:rPr>
                <w:sz w:val="17"/>
                <w:szCs w:val="17"/>
              </w:rPr>
              <w:t>(16,752)</w:t>
            </w:r>
          </w:p>
        </w:tc>
        <w:tc>
          <w:tcPr>
            <w:tcW w:w="438" w:type="pct"/>
            <w:vAlign w:val="top"/>
          </w:tcPr>
          <w:p w14:paraId="6F396EF2" w14:textId="698974CC" w:rsidR="001F4833" w:rsidRPr="00AA67AE" w:rsidRDefault="001F4833" w:rsidP="00AA67AE">
            <w:pPr>
              <w:pStyle w:val="TableBodyText"/>
              <w:rPr>
                <w:sz w:val="17"/>
                <w:szCs w:val="17"/>
              </w:rPr>
            </w:pPr>
            <w:r w:rsidRPr="00AA67AE">
              <w:rPr>
                <w:sz w:val="17"/>
                <w:szCs w:val="17"/>
              </w:rPr>
              <w:t>(5,132)</w:t>
            </w:r>
          </w:p>
        </w:tc>
        <w:tc>
          <w:tcPr>
            <w:tcW w:w="438" w:type="pct"/>
            <w:vAlign w:val="top"/>
          </w:tcPr>
          <w:p w14:paraId="0962237E" w14:textId="6B6474F4" w:rsidR="001F4833" w:rsidRPr="00AA67AE" w:rsidRDefault="001F4833" w:rsidP="00AA67AE">
            <w:pPr>
              <w:pStyle w:val="TableBodyText"/>
              <w:rPr>
                <w:sz w:val="17"/>
                <w:szCs w:val="17"/>
              </w:rPr>
            </w:pPr>
            <w:r w:rsidRPr="00AA67AE">
              <w:rPr>
                <w:sz w:val="17"/>
                <w:szCs w:val="17"/>
              </w:rPr>
              <w:t>N/A</w:t>
            </w:r>
          </w:p>
        </w:tc>
        <w:tc>
          <w:tcPr>
            <w:tcW w:w="437" w:type="pct"/>
            <w:vAlign w:val="top"/>
          </w:tcPr>
          <w:p w14:paraId="14F849B4" w14:textId="24F87D92" w:rsidR="001F4833" w:rsidRPr="00AA67AE" w:rsidRDefault="001F4833" w:rsidP="00AA67AE">
            <w:pPr>
              <w:pStyle w:val="TableBodyText"/>
              <w:rPr>
                <w:sz w:val="17"/>
                <w:szCs w:val="17"/>
              </w:rPr>
            </w:pPr>
            <w:r w:rsidRPr="00AA67AE">
              <w:rPr>
                <w:sz w:val="17"/>
                <w:szCs w:val="17"/>
              </w:rPr>
              <w:t>(6)</w:t>
            </w:r>
          </w:p>
        </w:tc>
        <w:tc>
          <w:tcPr>
            <w:tcW w:w="438" w:type="pct"/>
            <w:vAlign w:val="top"/>
          </w:tcPr>
          <w:p w14:paraId="14304952" w14:textId="1CEA1234" w:rsidR="001F4833" w:rsidRPr="00AA67AE" w:rsidRDefault="001F4833" w:rsidP="00AA67AE">
            <w:pPr>
              <w:pStyle w:val="TableBodyText"/>
              <w:rPr>
                <w:sz w:val="17"/>
                <w:szCs w:val="17"/>
              </w:rPr>
            </w:pPr>
            <w:r w:rsidRPr="00AA67AE">
              <w:rPr>
                <w:sz w:val="17"/>
                <w:szCs w:val="17"/>
              </w:rPr>
              <w:t>(513)</w:t>
            </w:r>
          </w:p>
        </w:tc>
        <w:tc>
          <w:tcPr>
            <w:tcW w:w="437" w:type="pct"/>
            <w:vAlign w:val="top"/>
          </w:tcPr>
          <w:p w14:paraId="1B799AD8" w14:textId="5CF6C4A1" w:rsidR="001F4833" w:rsidRPr="00AA67AE" w:rsidRDefault="001F4833" w:rsidP="00AA67AE">
            <w:pPr>
              <w:pStyle w:val="TableBodyText"/>
              <w:rPr>
                <w:sz w:val="17"/>
                <w:szCs w:val="17"/>
              </w:rPr>
            </w:pPr>
            <w:r w:rsidRPr="00AA67AE">
              <w:rPr>
                <w:sz w:val="17"/>
                <w:szCs w:val="17"/>
              </w:rPr>
              <w:t>(28,816)</w:t>
            </w:r>
          </w:p>
        </w:tc>
        <w:tc>
          <w:tcPr>
            <w:tcW w:w="438" w:type="pct"/>
            <w:vAlign w:val="top"/>
          </w:tcPr>
          <w:p w14:paraId="233611F5" w14:textId="6CEFC803" w:rsidR="001F4833" w:rsidRPr="00AA67AE" w:rsidRDefault="001F4833" w:rsidP="00AA67AE">
            <w:pPr>
              <w:pStyle w:val="TableBodyText"/>
              <w:rPr>
                <w:sz w:val="17"/>
                <w:szCs w:val="17"/>
              </w:rPr>
            </w:pPr>
            <w:r w:rsidRPr="00AA67AE">
              <w:rPr>
                <w:sz w:val="17"/>
                <w:szCs w:val="17"/>
              </w:rPr>
              <w:t>N/A</w:t>
            </w:r>
          </w:p>
        </w:tc>
        <w:tc>
          <w:tcPr>
            <w:tcW w:w="428" w:type="pct"/>
            <w:vAlign w:val="top"/>
          </w:tcPr>
          <w:p w14:paraId="6C5BB466" w14:textId="7C0198AF" w:rsidR="001F4833" w:rsidRPr="00AA67AE" w:rsidRDefault="001F4833" w:rsidP="00AA67AE">
            <w:pPr>
              <w:pStyle w:val="TableBodyText"/>
              <w:rPr>
                <w:sz w:val="17"/>
                <w:szCs w:val="17"/>
              </w:rPr>
            </w:pPr>
            <w:r w:rsidRPr="00AA67AE">
              <w:rPr>
                <w:sz w:val="17"/>
                <w:szCs w:val="17"/>
              </w:rPr>
              <w:t>(589)</w:t>
            </w:r>
          </w:p>
        </w:tc>
      </w:tr>
      <w:tr w:rsidR="00AA67AE" w:rsidRPr="00AA67AE" w14:paraId="62CEF4C3" w14:textId="77777777" w:rsidTr="00AA67AE">
        <w:trPr>
          <w:trHeight w:val="20"/>
        </w:trPr>
        <w:tc>
          <w:tcPr>
            <w:tcW w:w="632" w:type="pct"/>
            <w:vAlign w:val="top"/>
          </w:tcPr>
          <w:p w14:paraId="17478344" w14:textId="29228BE6" w:rsidR="001F4833" w:rsidRPr="00AA67AE" w:rsidRDefault="001F4833" w:rsidP="00AA67AE">
            <w:pPr>
              <w:pStyle w:val="TableBodyText"/>
              <w:rPr>
                <w:sz w:val="17"/>
                <w:szCs w:val="17"/>
              </w:rPr>
            </w:pPr>
            <w:r w:rsidRPr="00AA67AE">
              <w:rPr>
                <w:sz w:val="17"/>
                <w:szCs w:val="17"/>
              </w:rPr>
              <w:t>Depreciation and amortisation</w:t>
            </w:r>
          </w:p>
        </w:tc>
        <w:tc>
          <w:tcPr>
            <w:tcW w:w="437" w:type="pct"/>
            <w:vAlign w:val="top"/>
          </w:tcPr>
          <w:p w14:paraId="2D837BEE" w14:textId="3910F576" w:rsidR="001F4833" w:rsidRPr="00AA67AE" w:rsidRDefault="001F4833" w:rsidP="00AA67AE">
            <w:pPr>
              <w:pStyle w:val="TableBodyText"/>
              <w:rPr>
                <w:sz w:val="17"/>
                <w:szCs w:val="17"/>
              </w:rPr>
            </w:pPr>
            <w:r w:rsidRPr="00AA67AE">
              <w:rPr>
                <w:sz w:val="17"/>
                <w:szCs w:val="17"/>
              </w:rPr>
              <w:t>(405,314)</w:t>
            </w:r>
          </w:p>
        </w:tc>
        <w:tc>
          <w:tcPr>
            <w:tcW w:w="438" w:type="pct"/>
            <w:vAlign w:val="top"/>
          </w:tcPr>
          <w:p w14:paraId="28362417" w14:textId="01A86B45" w:rsidR="001F4833" w:rsidRPr="00AA67AE" w:rsidRDefault="001F4833" w:rsidP="00AA67AE">
            <w:pPr>
              <w:pStyle w:val="TableBodyText"/>
              <w:rPr>
                <w:sz w:val="17"/>
                <w:szCs w:val="17"/>
              </w:rPr>
            </w:pPr>
            <w:r w:rsidRPr="00AA67AE">
              <w:rPr>
                <w:sz w:val="17"/>
                <w:szCs w:val="17"/>
              </w:rPr>
              <w:t>N/A</w:t>
            </w:r>
          </w:p>
        </w:tc>
        <w:tc>
          <w:tcPr>
            <w:tcW w:w="437" w:type="pct"/>
            <w:vAlign w:val="top"/>
          </w:tcPr>
          <w:p w14:paraId="40135CE6" w14:textId="5236D7DE" w:rsidR="001F4833" w:rsidRPr="00AA67AE" w:rsidRDefault="001F4833" w:rsidP="00AA67AE">
            <w:pPr>
              <w:pStyle w:val="TableBodyText"/>
              <w:rPr>
                <w:sz w:val="17"/>
                <w:szCs w:val="17"/>
              </w:rPr>
            </w:pPr>
            <w:r w:rsidRPr="00AA67AE">
              <w:rPr>
                <w:sz w:val="17"/>
                <w:szCs w:val="17"/>
              </w:rPr>
              <w:t>N/A</w:t>
            </w:r>
          </w:p>
        </w:tc>
        <w:tc>
          <w:tcPr>
            <w:tcW w:w="438" w:type="pct"/>
            <w:vAlign w:val="top"/>
          </w:tcPr>
          <w:p w14:paraId="41DFB587" w14:textId="181BDD57" w:rsidR="001F4833" w:rsidRPr="00AA67AE" w:rsidRDefault="001F4833" w:rsidP="00AA67AE">
            <w:pPr>
              <w:pStyle w:val="TableBodyText"/>
              <w:rPr>
                <w:sz w:val="17"/>
                <w:szCs w:val="17"/>
              </w:rPr>
            </w:pPr>
            <w:r w:rsidRPr="00AA67AE">
              <w:rPr>
                <w:sz w:val="17"/>
                <w:szCs w:val="17"/>
              </w:rPr>
              <w:t>(1,011)</w:t>
            </w:r>
          </w:p>
        </w:tc>
        <w:tc>
          <w:tcPr>
            <w:tcW w:w="438" w:type="pct"/>
            <w:vAlign w:val="top"/>
          </w:tcPr>
          <w:p w14:paraId="3E43CAF1" w14:textId="2128E50D" w:rsidR="001F4833" w:rsidRPr="00AA67AE" w:rsidRDefault="001F4833" w:rsidP="00AA67AE">
            <w:pPr>
              <w:pStyle w:val="TableBodyText"/>
              <w:rPr>
                <w:sz w:val="17"/>
                <w:szCs w:val="17"/>
              </w:rPr>
            </w:pPr>
            <w:r w:rsidRPr="00AA67AE">
              <w:rPr>
                <w:sz w:val="17"/>
                <w:szCs w:val="17"/>
              </w:rPr>
              <w:t>(416)</w:t>
            </w:r>
          </w:p>
        </w:tc>
        <w:tc>
          <w:tcPr>
            <w:tcW w:w="437" w:type="pct"/>
            <w:vAlign w:val="top"/>
          </w:tcPr>
          <w:p w14:paraId="49CD63A8" w14:textId="413DC693" w:rsidR="001F4833" w:rsidRPr="00AA67AE" w:rsidRDefault="001F4833" w:rsidP="00AA67AE">
            <w:pPr>
              <w:pStyle w:val="TableBodyText"/>
              <w:rPr>
                <w:sz w:val="17"/>
                <w:szCs w:val="17"/>
              </w:rPr>
            </w:pPr>
            <w:r w:rsidRPr="00AA67AE">
              <w:rPr>
                <w:sz w:val="17"/>
                <w:szCs w:val="17"/>
              </w:rPr>
              <w:t>(6,423)</w:t>
            </w:r>
          </w:p>
        </w:tc>
        <w:tc>
          <w:tcPr>
            <w:tcW w:w="438" w:type="pct"/>
            <w:vAlign w:val="top"/>
          </w:tcPr>
          <w:p w14:paraId="6774F148" w14:textId="7DDCD4FB" w:rsidR="001F4833" w:rsidRPr="00AA67AE" w:rsidRDefault="001F4833" w:rsidP="00AA67AE">
            <w:pPr>
              <w:pStyle w:val="TableBodyText"/>
              <w:rPr>
                <w:sz w:val="17"/>
                <w:szCs w:val="17"/>
              </w:rPr>
            </w:pPr>
            <w:r w:rsidRPr="00AA67AE">
              <w:rPr>
                <w:sz w:val="17"/>
                <w:szCs w:val="17"/>
              </w:rPr>
              <w:t>(2,001)</w:t>
            </w:r>
          </w:p>
        </w:tc>
        <w:tc>
          <w:tcPr>
            <w:tcW w:w="437" w:type="pct"/>
            <w:vAlign w:val="top"/>
          </w:tcPr>
          <w:p w14:paraId="0C593B6A" w14:textId="2EABDFD8" w:rsidR="001F4833" w:rsidRPr="00AA67AE" w:rsidRDefault="001F4833" w:rsidP="00AA67AE">
            <w:pPr>
              <w:pStyle w:val="TableBodyText"/>
              <w:rPr>
                <w:sz w:val="17"/>
                <w:szCs w:val="17"/>
              </w:rPr>
            </w:pPr>
            <w:r w:rsidRPr="00AA67AE">
              <w:rPr>
                <w:sz w:val="17"/>
                <w:szCs w:val="17"/>
              </w:rPr>
              <w:t>(317,910)</w:t>
            </w:r>
          </w:p>
        </w:tc>
        <w:tc>
          <w:tcPr>
            <w:tcW w:w="438" w:type="pct"/>
            <w:vAlign w:val="top"/>
          </w:tcPr>
          <w:p w14:paraId="56490655" w14:textId="089BAF95" w:rsidR="001F4833" w:rsidRPr="00AA67AE" w:rsidRDefault="001F4833" w:rsidP="00AA67AE">
            <w:pPr>
              <w:pStyle w:val="TableBodyText"/>
              <w:rPr>
                <w:sz w:val="17"/>
                <w:szCs w:val="17"/>
              </w:rPr>
            </w:pPr>
            <w:r w:rsidRPr="00AA67AE">
              <w:rPr>
                <w:sz w:val="17"/>
                <w:szCs w:val="17"/>
              </w:rPr>
              <w:t>(77,553)</w:t>
            </w:r>
          </w:p>
        </w:tc>
        <w:tc>
          <w:tcPr>
            <w:tcW w:w="428" w:type="pct"/>
            <w:vAlign w:val="top"/>
          </w:tcPr>
          <w:p w14:paraId="4A84C6E4" w14:textId="3F03096C" w:rsidR="001F4833" w:rsidRPr="00AA67AE" w:rsidRDefault="001F4833" w:rsidP="00AA67AE">
            <w:pPr>
              <w:pStyle w:val="TableBodyText"/>
              <w:rPr>
                <w:sz w:val="17"/>
                <w:szCs w:val="17"/>
              </w:rPr>
            </w:pPr>
            <w:r w:rsidRPr="00AA67AE">
              <w:rPr>
                <w:sz w:val="17"/>
                <w:szCs w:val="17"/>
              </w:rPr>
              <w:t>N/A</w:t>
            </w:r>
          </w:p>
        </w:tc>
      </w:tr>
      <w:tr w:rsidR="00AA67AE" w:rsidRPr="00AA67AE" w14:paraId="1835A047" w14:textId="77777777" w:rsidTr="00AA67AE">
        <w:trPr>
          <w:trHeight w:val="20"/>
        </w:trPr>
        <w:tc>
          <w:tcPr>
            <w:tcW w:w="632" w:type="pct"/>
            <w:vAlign w:val="top"/>
          </w:tcPr>
          <w:p w14:paraId="548F81C7" w14:textId="0E27897A" w:rsidR="001F4833" w:rsidRPr="00AA67AE" w:rsidRDefault="001F4833" w:rsidP="00AA67AE">
            <w:pPr>
              <w:pStyle w:val="TableBodyText"/>
              <w:rPr>
                <w:sz w:val="17"/>
                <w:szCs w:val="17"/>
              </w:rPr>
            </w:pPr>
            <w:r w:rsidRPr="00AA67AE">
              <w:rPr>
                <w:sz w:val="17"/>
                <w:szCs w:val="17"/>
              </w:rPr>
              <w:t>Transfers between classes</w:t>
            </w:r>
            <w:r w:rsidR="003D2F80" w:rsidRPr="00AA67AE">
              <w:rPr>
                <w:sz w:val="17"/>
                <w:szCs w:val="17"/>
              </w:rPr>
              <w:t xml:space="preserve"> </w:t>
            </w:r>
            <w:hyperlink w:anchor="NoteaTable411" w:history="1">
              <w:r w:rsidR="003D2F80" w:rsidRPr="00AA67AE">
                <w:rPr>
                  <w:rStyle w:val="Hyperlink"/>
                  <w:sz w:val="17"/>
                  <w:szCs w:val="17"/>
                </w:rPr>
                <w:t>refer note a</w:t>
              </w:r>
            </w:hyperlink>
          </w:p>
        </w:tc>
        <w:tc>
          <w:tcPr>
            <w:tcW w:w="437" w:type="pct"/>
            <w:vAlign w:val="top"/>
          </w:tcPr>
          <w:p w14:paraId="20728444" w14:textId="792F2181" w:rsidR="001F4833" w:rsidRPr="00AA67AE" w:rsidRDefault="001F4833" w:rsidP="00AA67AE">
            <w:pPr>
              <w:pStyle w:val="TableBodyText"/>
              <w:rPr>
                <w:sz w:val="17"/>
                <w:szCs w:val="17"/>
              </w:rPr>
            </w:pPr>
            <w:r w:rsidRPr="00AA67AE">
              <w:rPr>
                <w:sz w:val="17"/>
                <w:szCs w:val="17"/>
              </w:rPr>
              <w:t>N/A</w:t>
            </w:r>
          </w:p>
        </w:tc>
        <w:tc>
          <w:tcPr>
            <w:tcW w:w="438" w:type="pct"/>
            <w:vAlign w:val="top"/>
          </w:tcPr>
          <w:p w14:paraId="6448D76D" w14:textId="6346E23F" w:rsidR="001F4833" w:rsidRPr="00AA67AE" w:rsidRDefault="001F4833" w:rsidP="00AA67AE">
            <w:pPr>
              <w:pStyle w:val="TableBodyText"/>
              <w:rPr>
                <w:sz w:val="17"/>
                <w:szCs w:val="17"/>
              </w:rPr>
            </w:pPr>
            <w:r w:rsidRPr="00AA67AE">
              <w:rPr>
                <w:sz w:val="17"/>
                <w:szCs w:val="17"/>
              </w:rPr>
              <w:t>(87)</w:t>
            </w:r>
          </w:p>
        </w:tc>
        <w:tc>
          <w:tcPr>
            <w:tcW w:w="437" w:type="pct"/>
            <w:vAlign w:val="top"/>
          </w:tcPr>
          <w:p w14:paraId="597D6FAD" w14:textId="06351C3F" w:rsidR="001F4833" w:rsidRPr="00AA67AE" w:rsidRDefault="001F4833" w:rsidP="00AA67AE">
            <w:pPr>
              <w:pStyle w:val="TableBodyText"/>
              <w:rPr>
                <w:sz w:val="17"/>
                <w:szCs w:val="17"/>
              </w:rPr>
            </w:pPr>
            <w:r w:rsidRPr="00AA67AE">
              <w:rPr>
                <w:sz w:val="17"/>
                <w:szCs w:val="17"/>
              </w:rPr>
              <w:t>1,940</w:t>
            </w:r>
          </w:p>
        </w:tc>
        <w:tc>
          <w:tcPr>
            <w:tcW w:w="438" w:type="pct"/>
            <w:vAlign w:val="top"/>
          </w:tcPr>
          <w:p w14:paraId="3C321C16" w14:textId="2E27E884" w:rsidR="001F4833" w:rsidRPr="00AA67AE" w:rsidRDefault="001F4833" w:rsidP="00AA67AE">
            <w:pPr>
              <w:pStyle w:val="TableBodyText"/>
              <w:rPr>
                <w:sz w:val="17"/>
                <w:szCs w:val="17"/>
              </w:rPr>
            </w:pPr>
            <w:r w:rsidRPr="00AA67AE">
              <w:rPr>
                <w:sz w:val="17"/>
                <w:szCs w:val="17"/>
              </w:rPr>
              <w:t>N/A</w:t>
            </w:r>
          </w:p>
        </w:tc>
        <w:tc>
          <w:tcPr>
            <w:tcW w:w="438" w:type="pct"/>
            <w:vAlign w:val="top"/>
          </w:tcPr>
          <w:p w14:paraId="696C4278" w14:textId="7ABA36E9" w:rsidR="001F4833" w:rsidRPr="00AA67AE" w:rsidRDefault="001F4833" w:rsidP="00AA67AE">
            <w:pPr>
              <w:pStyle w:val="TableBodyText"/>
              <w:rPr>
                <w:sz w:val="17"/>
                <w:szCs w:val="17"/>
              </w:rPr>
            </w:pPr>
            <w:r w:rsidRPr="00AA67AE">
              <w:rPr>
                <w:sz w:val="17"/>
                <w:szCs w:val="17"/>
              </w:rPr>
              <w:t>(6,769)</w:t>
            </w:r>
          </w:p>
        </w:tc>
        <w:tc>
          <w:tcPr>
            <w:tcW w:w="437" w:type="pct"/>
            <w:vAlign w:val="top"/>
          </w:tcPr>
          <w:p w14:paraId="793EE48F" w14:textId="71AC147E" w:rsidR="001F4833" w:rsidRPr="00AA67AE" w:rsidRDefault="001F4833" w:rsidP="00AA67AE">
            <w:pPr>
              <w:pStyle w:val="TableBodyText"/>
              <w:rPr>
                <w:sz w:val="17"/>
                <w:szCs w:val="17"/>
              </w:rPr>
            </w:pPr>
            <w:r w:rsidRPr="00AA67AE">
              <w:rPr>
                <w:sz w:val="17"/>
                <w:szCs w:val="17"/>
              </w:rPr>
              <w:t>6,888</w:t>
            </w:r>
          </w:p>
        </w:tc>
        <w:tc>
          <w:tcPr>
            <w:tcW w:w="438" w:type="pct"/>
            <w:vAlign w:val="top"/>
          </w:tcPr>
          <w:p w14:paraId="7CD34286" w14:textId="7D325BD7" w:rsidR="001F4833" w:rsidRPr="00AA67AE" w:rsidRDefault="001F4833" w:rsidP="00AA67AE">
            <w:pPr>
              <w:pStyle w:val="TableBodyText"/>
              <w:rPr>
                <w:sz w:val="17"/>
                <w:szCs w:val="17"/>
              </w:rPr>
            </w:pPr>
            <w:r w:rsidRPr="00AA67AE">
              <w:rPr>
                <w:sz w:val="17"/>
                <w:szCs w:val="17"/>
              </w:rPr>
              <w:t>N/A</w:t>
            </w:r>
          </w:p>
        </w:tc>
        <w:tc>
          <w:tcPr>
            <w:tcW w:w="437" w:type="pct"/>
            <w:vAlign w:val="top"/>
          </w:tcPr>
          <w:p w14:paraId="4FAC0331" w14:textId="7973EA1D" w:rsidR="001F4833" w:rsidRPr="00AA67AE" w:rsidRDefault="001F4833" w:rsidP="00AA67AE">
            <w:pPr>
              <w:pStyle w:val="TableBodyText"/>
              <w:rPr>
                <w:sz w:val="17"/>
                <w:szCs w:val="17"/>
              </w:rPr>
            </w:pPr>
            <w:r w:rsidRPr="00AA67AE">
              <w:rPr>
                <w:sz w:val="17"/>
                <w:szCs w:val="17"/>
              </w:rPr>
              <w:t>(1,972)</w:t>
            </w:r>
          </w:p>
        </w:tc>
        <w:tc>
          <w:tcPr>
            <w:tcW w:w="438" w:type="pct"/>
            <w:vAlign w:val="top"/>
          </w:tcPr>
          <w:p w14:paraId="15035A07" w14:textId="3ECD9CFD" w:rsidR="001F4833" w:rsidRPr="00AA67AE" w:rsidRDefault="001F4833" w:rsidP="00AA67AE">
            <w:pPr>
              <w:pStyle w:val="TableBodyText"/>
              <w:rPr>
                <w:sz w:val="17"/>
                <w:szCs w:val="17"/>
              </w:rPr>
            </w:pPr>
            <w:r w:rsidRPr="00AA67AE">
              <w:rPr>
                <w:sz w:val="17"/>
                <w:szCs w:val="17"/>
              </w:rPr>
              <w:t>N/A</w:t>
            </w:r>
          </w:p>
        </w:tc>
        <w:tc>
          <w:tcPr>
            <w:tcW w:w="428" w:type="pct"/>
            <w:vAlign w:val="top"/>
          </w:tcPr>
          <w:p w14:paraId="3CA16F3F" w14:textId="61854166" w:rsidR="001F4833" w:rsidRPr="00AA67AE" w:rsidRDefault="001F4833" w:rsidP="00AA67AE">
            <w:pPr>
              <w:pStyle w:val="TableBodyText"/>
              <w:rPr>
                <w:sz w:val="17"/>
                <w:szCs w:val="17"/>
              </w:rPr>
            </w:pPr>
            <w:r w:rsidRPr="00AA67AE">
              <w:rPr>
                <w:sz w:val="17"/>
                <w:szCs w:val="17"/>
              </w:rPr>
              <w:t>N/A</w:t>
            </w:r>
          </w:p>
        </w:tc>
      </w:tr>
      <w:tr w:rsidR="00AA67AE" w:rsidRPr="00AA67AE" w14:paraId="10A9A70B" w14:textId="77777777" w:rsidTr="00AA67AE">
        <w:trPr>
          <w:trHeight w:val="20"/>
        </w:trPr>
        <w:tc>
          <w:tcPr>
            <w:tcW w:w="632" w:type="pct"/>
            <w:vAlign w:val="top"/>
          </w:tcPr>
          <w:p w14:paraId="2CAFC976" w14:textId="57716890" w:rsidR="003D1606" w:rsidRPr="00AA67AE" w:rsidRDefault="003D1606" w:rsidP="00AA67AE">
            <w:pPr>
              <w:pStyle w:val="TableBodyText"/>
              <w:rPr>
                <w:sz w:val="17"/>
                <w:szCs w:val="17"/>
              </w:rPr>
            </w:pPr>
            <w:r w:rsidRPr="00AA67AE">
              <w:rPr>
                <w:sz w:val="17"/>
                <w:szCs w:val="17"/>
              </w:rPr>
              <w:t>Assets classified as held for sale</w:t>
            </w:r>
          </w:p>
        </w:tc>
        <w:tc>
          <w:tcPr>
            <w:tcW w:w="437" w:type="pct"/>
            <w:vAlign w:val="top"/>
          </w:tcPr>
          <w:p w14:paraId="6ED07607" w14:textId="75FB523E" w:rsidR="003D1606" w:rsidRPr="00AA67AE" w:rsidRDefault="003D1606" w:rsidP="00AA67AE">
            <w:pPr>
              <w:pStyle w:val="TableBodyText"/>
              <w:rPr>
                <w:sz w:val="17"/>
                <w:szCs w:val="17"/>
              </w:rPr>
            </w:pPr>
            <w:r w:rsidRPr="00AA67AE">
              <w:rPr>
                <w:sz w:val="17"/>
                <w:szCs w:val="17"/>
              </w:rPr>
              <w:t>12,533</w:t>
            </w:r>
          </w:p>
        </w:tc>
        <w:tc>
          <w:tcPr>
            <w:tcW w:w="438" w:type="pct"/>
            <w:vAlign w:val="top"/>
          </w:tcPr>
          <w:p w14:paraId="4E4CD34B" w14:textId="133E500E" w:rsidR="003D1606" w:rsidRPr="00AA67AE" w:rsidRDefault="001D2D74" w:rsidP="00AA67AE">
            <w:pPr>
              <w:pStyle w:val="TableBodyText"/>
              <w:rPr>
                <w:sz w:val="17"/>
                <w:szCs w:val="17"/>
              </w:rPr>
            </w:pPr>
            <w:r>
              <w:rPr>
                <w:sz w:val="17"/>
                <w:szCs w:val="17"/>
              </w:rPr>
              <w:t>N/A</w:t>
            </w:r>
          </w:p>
        </w:tc>
        <w:tc>
          <w:tcPr>
            <w:tcW w:w="437" w:type="pct"/>
            <w:vAlign w:val="top"/>
          </w:tcPr>
          <w:p w14:paraId="7452BBAF" w14:textId="6C30977F" w:rsidR="003D1606" w:rsidRPr="00AA67AE" w:rsidRDefault="003D1606" w:rsidP="00AA67AE">
            <w:pPr>
              <w:pStyle w:val="TableBodyText"/>
              <w:rPr>
                <w:sz w:val="17"/>
                <w:szCs w:val="17"/>
              </w:rPr>
            </w:pPr>
            <w:r w:rsidRPr="00AA67AE">
              <w:rPr>
                <w:sz w:val="17"/>
                <w:szCs w:val="17"/>
              </w:rPr>
              <w:t>7,440</w:t>
            </w:r>
          </w:p>
        </w:tc>
        <w:tc>
          <w:tcPr>
            <w:tcW w:w="438" w:type="pct"/>
            <w:vAlign w:val="top"/>
          </w:tcPr>
          <w:p w14:paraId="24F727CE" w14:textId="328E1280" w:rsidR="003D1606" w:rsidRPr="00AA67AE" w:rsidRDefault="003D1606" w:rsidP="00AA67AE">
            <w:pPr>
              <w:pStyle w:val="TableBodyText"/>
              <w:rPr>
                <w:sz w:val="17"/>
                <w:szCs w:val="17"/>
              </w:rPr>
            </w:pPr>
            <w:r w:rsidRPr="00AA67AE">
              <w:rPr>
                <w:sz w:val="17"/>
                <w:szCs w:val="17"/>
              </w:rPr>
              <w:t>5,093</w:t>
            </w:r>
          </w:p>
        </w:tc>
        <w:tc>
          <w:tcPr>
            <w:tcW w:w="438" w:type="pct"/>
            <w:vAlign w:val="top"/>
          </w:tcPr>
          <w:p w14:paraId="38BECDCC" w14:textId="1B8249BA" w:rsidR="003D1606" w:rsidRPr="00AA67AE" w:rsidRDefault="003D1606" w:rsidP="00AA67AE">
            <w:pPr>
              <w:pStyle w:val="TableBodyText"/>
              <w:rPr>
                <w:sz w:val="17"/>
                <w:szCs w:val="17"/>
              </w:rPr>
            </w:pPr>
            <w:r w:rsidRPr="00AA67AE">
              <w:rPr>
                <w:sz w:val="17"/>
                <w:szCs w:val="17"/>
              </w:rPr>
              <w:t>N/A</w:t>
            </w:r>
          </w:p>
        </w:tc>
        <w:tc>
          <w:tcPr>
            <w:tcW w:w="437" w:type="pct"/>
            <w:vAlign w:val="top"/>
          </w:tcPr>
          <w:p w14:paraId="0AE9DB49" w14:textId="70532B60" w:rsidR="003D1606" w:rsidRPr="00AA67AE" w:rsidRDefault="003D1606" w:rsidP="00AA67AE">
            <w:pPr>
              <w:pStyle w:val="TableBodyText"/>
              <w:rPr>
                <w:sz w:val="17"/>
                <w:szCs w:val="17"/>
              </w:rPr>
            </w:pPr>
            <w:r w:rsidRPr="00AA67AE">
              <w:rPr>
                <w:sz w:val="17"/>
                <w:szCs w:val="17"/>
              </w:rPr>
              <w:t>N/A</w:t>
            </w:r>
          </w:p>
        </w:tc>
        <w:tc>
          <w:tcPr>
            <w:tcW w:w="438" w:type="pct"/>
            <w:vAlign w:val="top"/>
          </w:tcPr>
          <w:p w14:paraId="488E40A2" w14:textId="41B3F4AA" w:rsidR="003D1606" w:rsidRPr="00AA67AE" w:rsidRDefault="003D1606" w:rsidP="00AA67AE">
            <w:pPr>
              <w:pStyle w:val="TableBodyText"/>
              <w:rPr>
                <w:sz w:val="17"/>
                <w:szCs w:val="17"/>
              </w:rPr>
            </w:pPr>
            <w:r w:rsidRPr="00AA67AE">
              <w:rPr>
                <w:sz w:val="17"/>
                <w:szCs w:val="17"/>
              </w:rPr>
              <w:t>N/A</w:t>
            </w:r>
          </w:p>
        </w:tc>
        <w:tc>
          <w:tcPr>
            <w:tcW w:w="437" w:type="pct"/>
            <w:vAlign w:val="top"/>
          </w:tcPr>
          <w:p w14:paraId="14525AC6" w14:textId="2FBE0217" w:rsidR="003D1606" w:rsidRPr="00AA67AE" w:rsidRDefault="003D1606" w:rsidP="00AA67AE">
            <w:pPr>
              <w:pStyle w:val="TableBodyText"/>
              <w:rPr>
                <w:sz w:val="17"/>
                <w:szCs w:val="17"/>
              </w:rPr>
            </w:pPr>
            <w:r w:rsidRPr="00AA67AE">
              <w:rPr>
                <w:sz w:val="17"/>
                <w:szCs w:val="17"/>
              </w:rPr>
              <w:t>N/A</w:t>
            </w:r>
          </w:p>
        </w:tc>
        <w:tc>
          <w:tcPr>
            <w:tcW w:w="438" w:type="pct"/>
            <w:vAlign w:val="top"/>
          </w:tcPr>
          <w:p w14:paraId="36712231" w14:textId="2762E826" w:rsidR="003D1606" w:rsidRPr="00AA67AE" w:rsidRDefault="003D1606" w:rsidP="00AA67AE">
            <w:pPr>
              <w:pStyle w:val="TableBodyText"/>
              <w:rPr>
                <w:sz w:val="17"/>
                <w:szCs w:val="17"/>
              </w:rPr>
            </w:pPr>
            <w:r w:rsidRPr="00AA67AE">
              <w:rPr>
                <w:sz w:val="17"/>
                <w:szCs w:val="17"/>
              </w:rPr>
              <w:t>N/A</w:t>
            </w:r>
          </w:p>
        </w:tc>
        <w:tc>
          <w:tcPr>
            <w:tcW w:w="428" w:type="pct"/>
            <w:vAlign w:val="top"/>
          </w:tcPr>
          <w:p w14:paraId="2D39777C" w14:textId="1870D1B3" w:rsidR="003D1606" w:rsidRPr="00AA67AE" w:rsidRDefault="003D1606" w:rsidP="00AA67AE">
            <w:pPr>
              <w:pStyle w:val="TableBodyText"/>
              <w:rPr>
                <w:sz w:val="17"/>
                <w:szCs w:val="17"/>
              </w:rPr>
            </w:pPr>
            <w:r w:rsidRPr="00AA67AE">
              <w:rPr>
                <w:sz w:val="17"/>
                <w:szCs w:val="17"/>
              </w:rPr>
              <w:t>N/A</w:t>
            </w:r>
          </w:p>
        </w:tc>
      </w:tr>
      <w:tr w:rsidR="00AA67AE" w:rsidRPr="00AA67AE" w14:paraId="50A3C9B3" w14:textId="77777777" w:rsidTr="00AA67AE">
        <w:trPr>
          <w:trHeight w:val="20"/>
        </w:trPr>
        <w:tc>
          <w:tcPr>
            <w:tcW w:w="632" w:type="pct"/>
            <w:vAlign w:val="top"/>
          </w:tcPr>
          <w:p w14:paraId="241FB207" w14:textId="5CBFFEB7" w:rsidR="003D1606" w:rsidRPr="00AA67AE" w:rsidRDefault="003D1606" w:rsidP="00AA67AE">
            <w:pPr>
              <w:pStyle w:val="TableBodyText"/>
              <w:rPr>
                <w:sz w:val="17"/>
                <w:szCs w:val="17"/>
              </w:rPr>
            </w:pPr>
            <w:r w:rsidRPr="00AA67AE">
              <w:rPr>
                <w:sz w:val="17"/>
                <w:szCs w:val="17"/>
              </w:rPr>
              <w:t>Revaluation increments</w:t>
            </w:r>
          </w:p>
        </w:tc>
        <w:tc>
          <w:tcPr>
            <w:tcW w:w="437" w:type="pct"/>
            <w:vAlign w:val="top"/>
          </w:tcPr>
          <w:p w14:paraId="6EFD7661" w14:textId="214BD12C" w:rsidR="003D1606" w:rsidRPr="00AA67AE" w:rsidRDefault="003D1606" w:rsidP="00AA67AE">
            <w:pPr>
              <w:pStyle w:val="TableBodyText"/>
              <w:rPr>
                <w:sz w:val="17"/>
                <w:szCs w:val="17"/>
              </w:rPr>
            </w:pPr>
            <w:r w:rsidRPr="00AA67AE">
              <w:rPr>
                <w:sz w:val="17"/>
                <w:szCs w:val="17"/>
              </w:rPr>
              <w:t>N/A</w:t>
            </w:r>
          </w:p>
        </w:tc>
        <w:tc>
          <w:tcPr>
            <w:tcW w:w="438" w:type="pct"/>
            <w:vAlign w:val="top"/>
          </w:tcPr>
          <w:p w14:paraId="0CB35E27" w14:textId="026092D2" w:rsidR="003D1606" w:rsidRPr="00AA67AE" w:rsidRDefault="003D1606" w:rsidP="00AA67AE">
            <w:pPr>
              <w:pStyle w:val="TableBodyText"/>
              <w:rPr>
                <w:sz w:val="17"/>
                <w:szCs w:val="17"/>
              </w:rPr>
            </w:pPr>
            <w:r w:rsidRPr="00AA67AE">
              <w:rPr>
                <w:sz w:val="17"/>
                <w:szCs w:val="17"/>
              </w:rPr>
              <w:t>N/A</w:t>
            </w:r>
          </w:p>
        </w:tc>
        <w:tc>
          <w:tcPr>
            <w:tcW w:w="437" w:type="pct"/>
            <w:vAlign w:val="top"/>
          </w:tcPr>
          <w:p w14:paraId="582FBBD5" w14:textId="4DED352A" w:rsidR="003D1606" w:rsidRPr="00AA67AE" w:rsidRDefault="003D1606" w:rsidP="00AA67AE">
            <w:pPr>
              <w:pStyle w:val="TableBodyText"/>
              <w:rPr>
                <w:sz w:val="17"/>
                <w:szCs w:val="17"/>
              </w:rPr>
            </w:pPr>
            <w:r w:rsidRPr="00AA67AE">
              <w:rPr>
                <w:sz w:val="17"/>
                <w:szCs w:val="17"/>
              </w:rPr>
              <w:t>N/A</w:t>
            </w:r>
          </w:p>
        </w:tc>
        <w:tc>
          <w:tcPr>
            <w:tcW w:w="438" w:type="pct"/>
            <w:vAlign w:val="top"/>
          </w:tcPr>
          <w:p w14:paraId="3A45C707" w14:textId="201D72EA" w:rsidR="003D1606" w:rsidRPr="00AA67AE" w:rsidRDefault="003D1606" w:rsidP="00AA67AE">
            <w:pPr>
              <w:pStyle w:val="TableBodyText"/>
              <w:rPr>
                <w:sz w:val="17"/>
                <w:szCs w:val="17"/>
              </w:rPr>
            </w:pPr>
            <w:r w:rsidRPr="00AA67AE">
              <w:rPr>
                <w:sz w:val="17"/>
                <w:szCs w:val="17"/>
              </w:rPr>
              <w:t>N/A</w:t>
            </w:r>
          </w:p>
        </w:tc>
        <w:tc>
          <w:tcPr>
            <w:tcW w:w="438" w:type="pct"/>
            <w:vAlign w:val="top"/>
          </w:tcPr>
          <w:p w14:paraId="21F1198F" w14:textId="24CE3FA5" w:rsidR="003D1606" w:rsidRPr="00AA67AE" w:rsidRDefault="003D1606" w:rsidP="00AA67AE">
            <w:pPr>
              <w:pStyle w:val="TableBodyText"/>
              <w:rPr>
                <w:sz w:val="17"/>
                <w:szCs w:val="17"/>
              </w:rPr>
            </w:pPr>
            <w:r w:rsidRPr="00AA67AE">
              <w:rPr>
                <w:sz w:val="17"/>
                <w:szCs w:val="17"/>
              </w:rPr>
              <w:t>N/A</w:t>
            </w:r>
          </w:p>
        </w:tc>
        <w:tc>
          <w:tcPr>
            <w:tcW w:w="437" w:type="pct"/>
            <w:vAlign w:val="top"/>
          </w:tcPr>
          <w:p w14:paraId="396E3766" w14:textId="176C5F1B" w:rsidR="003D1606" w:rsidRPr="00AA67AE" w:rsidRDefault="003D1606" w:rsidP="00AA67AE">
            <w:pPr>
              <w:pStyle w:val="TableBodyText"/>
              <w:rPr>
                <w:sz w:val="17"/>
                <w:szCs w:val="17"/>
              </w:rPr>
            </w:pPr>
            <w:r w:rsidRPr="00AA67AE">
              <w:rPr>
                <w:sz w:val="17"/>
                <w:szCs w:val="17"/>
              </w:rPr>
              <w:t>N/A</w:t>
            </w:r>
          </w:p>
        </w:tc>
        <w:tc>
          <w:tcPr>
            <w:tcW w:w="438" w:type="pct"/>
            <w:vAlign w:val="top"/>
          </w:tcPr>
          <w:p w14:paraId="54502396" w14:textId="33895132" w:rsidR="003D1606" w:rsidRPr="00AA67AE" w:rsidRDefault="003D1606" w:rsidP="00AA67AE">
            <w:pPr>
              <w:pStyle w:val="TableBodyText"/>
              <w:rPr>
                <w:sz w:val="17"/>
                <w:szCs w:val="17"/>
              </w:rPr>
            </w:pPr>
            <w:r w:rsidRPr="00AA67AE">
              <w:rPr>
                <w:sz w:val="17"/>
                <w:szCs w:val="17"/>
              </w:rPr>
              <w:t>N/A</w:t>
            </w:r>
          </w:p>
        </w:tc>
        <w:tc>
          <w:tcPr>
            <w:tcW w:w="437" w:type="pct"/>
            <w:vAlign w:val="top"/>
          </w:tcPr>
          <w:p w14:paraId="21722209" w14:textId="35FCC275" w:rsidR="003D1606" w:rsidRPr="00AA67AE" w:rsidRDefault="003D1606" w:rsidP="00AA67AE">
            <w:pPr>
              <w:pStyle w:val="TableBodyText"/>
              <w:rPr>
                <w:sz w:val="17"/>
                <w:szCs w:val="17"/>
              </w:rPr>
            </w:pPr>
            <w:r w:rsidRPr="00AA67AE">
              <w:rPr>
                <w:sz w:val="17"/>
                <w:szCs w:val="17"/>
              </w:rPr>
              <w:t>N/A</w:t>
            </w:r>
          </w:p>
        </w:tc>
        <w:tc>
          <w:tcPr>
            <w:tcW w:w="438" w:type="pct"/>
            <w:vAlign w:val="top"/>
          </w:tcPr>
          <w:p w14:paraId="3290865E" w14:textId="3CBCCD6F" w:rsidR="003D1606" w:rsidRPr="00AA67AE" w:rsidRDefault="003D1606" w:rsidP="00AA67AE">
            <w:pPr>
              <w:pStyle w:val="TableBodyText"/>
              <w:rPr>
                <w:sz w:val="17"/>
                <w:szCs w:val="17"/>
              </w:rPr>
            </w:pPr>
            <w:r w:rsidRPr="00AA67AE">
              <w:rPr>
                <w:sz w:val="17"/>
                <w:szCs w:val="17"/>
              </w:rPr>
              <w:t>N/A</w:t>
            </w:r>
          </w:p>
        </w:tc>
        <w:tc>
          <w:tcPr>
            <w:tcW w:w="428" w:type="pct"/>
            <w:vAlign w:val="top"/>
          </w:tcPr>
          <w:p w14:paraId="6D7F887B" w14:textId="3221E761" w:rsidR="003D1606" w:rsidRPr="00AA67AE" w:rsidRDefault="003D1606" w:rsidP="00AA67AE">
            <w:pPr>
              <w:pStyle w:val="TableBodyText"/>
              <w:rPr>
                <w:sz w:val="17"/>
                <w:szCs w:val="17"/>
              </w:rPr>
            </w:pPr>
            <w:r w:rsidRPr="00AA67AE">
              <w:rPr>
                <w:sz w:val="17"/>
                <w:szCs w:val="17"/>
              </w:rPr>
              <w:t>N/A</w:t>
            </w:r>
          </w:p>
        </w:tc>
      </w:tr>
      <w:tr w:rsidR="00AA67AE" w:rsidRPr="00AA67AE" w14:paraId="794180C8" w14:textId="77777777" w:rsidTr="00AA67AE">
        <w:trPr>
          <w:trHeight w:val="20"/>
        </w:trPr>
        <w:tc>
          <w:tcPr>
            <w:tcW w:w="632" w:type="pct"/>
            <w:vAlign w:val="top"/>
          </w:tcPr>
          <w:p w14:paraId="3A61D027" w14:textId="77777777" w:rsidR="003D1606" w:rsidRPr="00AA67AE" w:rsidRDefault="003D1606" w:rsidP="00AA67AE">
            <w:pPr>
              <w:pStyle w:val="TableBodyText"/>
              <w:rPr>
                <w:sz w:val="17"/>
                <w:szCs w:val="17"/>
              </w:rPr>
            </w:pPr>
            <w:r w:rsidRPr="00AA67AE">
              <w:rPr>
                <w:sz w:val="17"/>
                <w:szCs w:val="17"/>
              </w:rPr>
              <w:t>Revaluation decrements</w:t>
            </w:r>
          </w:p>
          <w:p w14:paraId="148BA968" w14:textId="1DD1D122" w:rsidR="003D1606" w:rsidRPr="00AA67AE" w:rsidRDefault="00926282" w:rsidP="00AA67AE">
            <w:pPr>
              <w:pStyle w:val="TableBodyText"/>
              <w:rPr>
                <w:sz w:val="17"/>
                <w:szCs w:val="17"/>
              </w:rPr>
            </w:pPr>
            <w:hyperlink w:anchor="NoteaTable411" w:history="1">
              <w:r w:rsidR="003D1606" w:rsidRPr="00AA67AE">
                <w:rPr>
                  <w:rStyle w:val="Hyperlink"/>
                  <w:sz w:val="17"/>
                  <w:szCs w:val="17"/>
                </w:rPr>
                <w:t>refer note b</w:t>
              </w:r>
            </w:hyperlink>
          </w:p>
        </w:tc>
        <w:tc>
          <w:tcPr>
            <w:tcW w:w="437" w:type="pct"/>
            <w:vAlign w:val="top"/>
          </w:tcPr>
          <w:p w14:paraId="4CEEAEA2" w14:textId="4992AA8A" w:rsidR="003D1606" w:rsidRPr="00AA67AE" w:rsidRDefault="003D1606" w:rsidP="00AA67AE">
            <w:pPr>
              <w:pStyle w:val="TableBodyText"/>
              <w:rPr>
                <w:sz w:val="17"/>
                <w:szCs w:val="17"/>
              </w:rPr>
            </w:pPr>
            <w:r w:rsidRPr="00AA67AE">
              <w:rPr>
                <w:sz w:val="17"/>
                <w:szCs w:val="17"/>
              </w:rPr>
              <w:t>(3,157)</w:t>
            </w:r>
          </w:p>
        </w:tc>
        <w:tc>
          <w:tcPr>
            <w:tcW w:w="438" w:type="pct"/>
            <w:vAlign w:val="top"/>
          </w:tcPr>
          <w:p w14:paraId="7BAE4B00" w14:textId="4545E045" w:rsidR="003D1606" w:rsidRPr="00AA67AE" w:rsidRDefault="003D1606" w:rsidP="00AA67AE">
            <w:pPr>
              <w:pStyle w:val="TableBodyText"/>
              <w:rPr>
                <w:sz w:val="17"/>
                <w:szCs w:val="17"/>
              </w:rPr>
            </w:pPr>
            <w:r w:rsidRPr="00AA67AE">
              <w:rPr>
                <w:sz w:val="17"/>
                <w:szCs w:val="17"/>
              </w:rPr>
              <w:t>N/A</w:t>
            </w:r>
          </w:p>
        </w:tc>
        <w:tc>
          <w:tcPr>
            <w:tcW w:w="437" w:type="pct"/>
            <w:vAlign w:val="top"/>
          </w:tcPr>
          <w:p w14:paraId="68802A25" w14:textId="155A67F0" w:rsidR="003D1606" w:rsidRPr="00AA67AE" w:rsidRDefault="003D1606" w:rsidP="00AA67AE">
            <w:pPr>
              <w:pStyle w:val="TableBodyText"/>
              <w:rPr>
                <w:sz w:val="17"/>
                <w:szCs w:val="17"/>
              </w:rPr>
            </w:pPr>
            <w:r w:rsidRPr="00AA67AE">
              <w:rPr>
                <w:sz w:val="17"/>
                <w:szCs w:val="17"/>
              </w:rPr>
              <w:t>(3,157)</w:t>
            </w:r>
          </w:p>
        </w:tc>
        <w:tc>
          <w:tcPr>
            <w:tcW w:w="438" w:type="pct"/>
            <w:vAlign w:val="top"/>
          </w:tcPr>
          <w:p w14:paraId="17DDC40E" w14:textId="6ABBA38D" w:rsidR="003D1606" w:rsidRPr="00AA67AE" w:rsidRDefault="003D1606" w:rsidP="00AA67AE">
            <w:pPr>
              <w:pStyle w:val="TableBodyText"/>
              <w:rPr>
                <w:sz w:val="17"/>
                <w:szCs w:val="17"/>
              </w:rPr>
            </w:pPr>
            <w:r w:rsidRPr="00AA67AE">
              <w:rPr>
                <w:sz w:val="17"/>
                <w:szCs w:val="17"/>
              </w:rPr>
              <w:t>N/A</w:t>
            </w:r>
          </w:p>
        </w:tc>
        <w:tc>
          <w:tcPr>
            <w:tcW w:w="438" w:type="pct"/>
            <w:vAlign w:val="top"/>
          </w:tcPr>
          <w:p w14:paraId="31B7152B" w14:textId="3B7E3DFA" w:rsidR="003D1606" w:rsidRPr="00AA67AE" w:rsidRDefault="003D1606" w:rsidP="00AA67AE">
            <w:pPr>
              <w:pStyle w:val="TableBodyText"/>
              <w:rPr>
                <w:sz w:val="17"/>
                <w:szCs w:val="17"/>
              </w:rPr>
            </w:pPr>
            <w:r w:rsidRPr="00AA67AE">
              <w:rPr>
                <w:sz w:val="17"/>
                <w:szCs w:val="17"/>
              </w:rPr>
              <w:t>N/A</w:t>
            </w:r>
          </w:p>
        </w:tc>
        <w:tc>
          <w:tcPr>
            <w:tcW w:w="437" w:type="pct"/>
            <w:vAlign w:val="top"/>
          </w:tcPr>
          <w:p w14:paraId="57B3E26B" w14:textId="751C6CEB" w:rsidR="003D1606" w:rsidRPr="00AA67AE" w:rsidRDefault="003D1606" w:rsidP="00AA67AE">
            <w:pPr>
              <w:pStyle w:val="TableBodyText"/>
              <w:rPr>
                <w:sz w:val="17"/>
                <w:szCs w:val="17"/>
              </w:rPr>
            </w:pPr>
            <w:r w:rsidRPr="00AA67AE">
              <w:rPr>
                <w:sz w:val="17"/>
                <w:szCs w:val="17"/>
              </w:rPr>
              <w:t>N/A</w:t>
            </w:r>
          </w:p>
        </w:tc>
        <w:tc>
          <w:tcPr>
            <w:tcW w:w="438" w:type="pct"/>
            <w:vAlign w:val="top"/>
          </w:tcPr>
          <w:p w14:paraId="2B020DDF" w14:textId="5E8B700D" w:rsidR="003D1606" w:rsidRPr="00AA67AE" w:rsidRDefault="003D1606" w:rsidP="00AA67AE">
            <w:pPr>
              <w:pStyle w:val="TableBodyText"/>
              <w:rPr>
                <w:sz w:val="17"/>
                <w:szCs w:val="17"/>
              </w:rPr>
            </w:pPr>
            <w:r w:rsidRPr="00AA67AE">
              <w:rPr>
                <w:sz w:val="17"/>
                <w:szCs w:val="17"/>
              </w:rPr>
              <w:t>N/A</w:t>
            </w:r>
          </w:p>
        </w:tc>
        <w:tc>
          <w:tcPr>
            <w:tcW w:w="437" w:type="pct"/>
            <w:vAlign w:val="top"/>
          </w:tcPr>
          <w:p w14:paraId="08DAE62D" w14:textId="26568628" w:rsidR="003D1606" w:rsidRPr="00AA67AE" w:rsidRDefault="003D1606" w:rsidP="00AA67AE">
            <w:pPr>
              <w:pStyle w:val="TableBodyText"/>
              <w:rPr>
                <w:sz w:val="17"/>
                <w:szCs w:val="17"/>
              </w:rPr>
            </w:pPr>
            <w:r w:rsidRPr="00AA67AE">
              <w:rPr>
                <w:sz w:val="17"/>
                <w:szCs w:val="17"/>
              </w:rPr>
              <w:t>N/A</w:t>
            </w:r>
          </w:p>
        </w:tc>
        <w:tc>
          <w:tcPr>
            <w:tcW w:w="438" w:type="pct"/>
            <w:vAlign w:val="top"/>
          </w:tcPr>
          <w:p w14:paraId="50BD0EBC" w14:textId="6065616E" w:rsidR="003D1606" w:rsidRPr="00AA67AE" w:rsidRDefault="003D1606" w:rsidP="00AA67AE">
            <w:pPr>
              <w:pStyle w:val="TableBodyText"/>
              <w:rPr>
                <w:sz w:val="17"/>
                <w:szCs w:val="17"/>
              </w:rPr>
            </w:pPr>
            <w:r w:rsidRPr="00AA67AE">
              <w:rPr>
                <w:sz w:val="17"/>
                <w:szCs w:val="17"/>
              </w:rPr>
              <w:t>N/A</w:t>
            </w:r>
          </w:p>
        </w:tc>
        <w:tc>
          <w:tcPr>
            <w:tcW w:w="428" w:type="pct"/>
            <w:vAlign w:val="top"/>
          </w:tcPr>
          <w:p w14:paraId="7FEB1996" w14:textId="2C579BF1" w:rsidR="003D1606" w:rsidRPr="00AA67AE" w:rsidRDefault="003D1606" w:rsidP="00AA67AE">
            <w:pPr>
              <w:pStyle w:val="TableBodyText"/>
              <w:rPr>
                <w:sz w:val="17"/>
                <w:szCs w:val="17"/>
              </w:rPr>
            </w:pPr>
            <w:r w:rsidRPr="00AA67AE">
              <w:rPr>
                <w:sz w:val="17"/>
                <w:szCs w:val="17"/>
              </w:rPr>
              <w:t>N/A</w:t>
            </w:r>
          </w:p>
        </w:tc>
      </w:tr>
      <w:tr w:rsidR="00AA67AE" w:rsidRPr="00AA67AE" w14:paraId="36394B6C" w14:textId="77777777" w:rsidTr="00AA67AE">
        <w:trPr>
          <w:trHeight w:val="20"/>
        </w:trPr>
        <w:tc>
          <w:tcPr>
            <w:tcW w:w="632" w:type="pct"/>
            <w:vAlign w:val="top"/>
          </w:tcPr>
          <w:p w14:paraId="574C532D" w14:textId="2A6BE3B7" w:rsidR="003D1606" w:rsidRPr="00AA67AE" w:rsidRDefault="003D1606" w:rsidP="00AA67AE">
            <w:pPr>
              <w:pStyle w:val="TableBodyText"/>
              <w:rPr>
                <w:sz w:val="17"/>
                <w:szCs w:val="17"/>
              </w:rPr>
            </w:pPr>
            <w:r w:rsidRPr="00AA67AE">
              <w:rPr>
                <w:sz w:val="17"/>
                <w:szCs w:val="17"/>
              </w:rPr>
              <w:t>Impairment losses</w:t>
            </w:r>
          </w:p>
        </w:tc>
        <w:tc>
          <w:tcPr>
            <w:tcW w:w="437" w:type="pct"/>
            <w:vAlign w:val="top"/>
          </w:tcPr>
          <w:p w14:paraId="261FD2F8" w14:textId="0ACBF783" w:rsidR="003D1606" w:rsidRPr="00AA67AE" w:rsidRDefault="003D1606" w:rsidP="00AA67AE">
            <w:pPr>
              <w:pStyle w:val="TableBodyText"/>
              <w:rPr>
                <w:sz w:val="17"/>
                <w:szCs w:val="17"/>
              </w:rPr>
            </w:pPr>
            <w:r w:rsidRPr="00AA67AE">
              <w:rPr>
                <w:sz w:val="17"/>
                <w:szCs w:val="17"/>
              </w:rPr>
              <w:t>N/A</w:t>
            </w:r>
          </w:p>
        </w:tc>
        <w:tc>
          <w:tcPr>
            <w:tcW w:w="438" w:type="pct"/>
            <w:vAlign w:val="top"/>
          </w:tcPr>
          <w:p w14:paraId="2DED43F8" w14:textId="4DE30700" w:rsidR="003D1606" w:rsidRPr="00AA67AE" w:rsidRDefault="003D1606" w:rsidP="00AA67AE">
            <w:pPr>
              <w:pStyle w:val="TableBodyText"/>
              <w:rPr>
                <w:sz w:val="17"/>
                <w:szCs w:val="17"/>
              </w:rPr>
            </w:pPr>
            <w:r w:rsidRPr="00AA67AE">
              <w:rPr>
                <w:sz w:val="17"/>
                <w:szCs w:val="17"/>
              </w:rPr>
              <w:t>N/A</w:t>
            </w:r>
          </w:p>
        </w:tc>
        <w:tc>
          <w:tcPr>
            <w:tcW w:w="437" w:type="pct"/>
            <w:vAlign w:val="top"/>
          </w:tcPr>
          <w:p w14:paraId="02554CB3" w14:textId="19905D80" w:rsidR="003D1606" w:rsidRPr="00AA67AE" w:rsidRDefault="003D1606" w:rsidP="00AA67AE">
            <w:pPr>
              <w:pStyle w:val="TableBodyText"/>
              <w:rPr>
                <w:sz w:val="17"/>
                <w:szCs w:val="17"/>
              </w:rPr>
            </w:pPr>
            <w:r w:rsidRPr="00AA67AE">
              <w:rPr>
                <w:sz w:val="17"/>
                <w:szCs w:val="17"/>
              </w:rPr>
              <w:t>N/A</w:t>
            </w:r>
          </w:p>
        </w:tc>
        <w:tc>
          <w:tcPr>
            <w:tcW w:w="438" w:type="pct"/>
            <w:vAlign w:val="top"/>
          </w:tcPr>
          <w:p w14:paraId="1D6C2D12" w14:textId="525FAA73" w:rsidR="003D1606" w:rsidRPr="00AA67AE" w:rsidRDefault="003D1606" w:rsidP="00AA67AE">
            <w:pPr>
              <w:pStyle w:val="TableBodyText"/>
              <w:rPr>
                <w:sz w:val="17"/>
                <w:szCs w:val="17"/>
              </w:rPr>
            </w:pPr>
            <w:r w:rsidRPr="00AA67AE">
              <w:rPr>
                <w:sz w:val="17"/>
                <w:szCs w:val="17"/>
              </w:rPr>
              <w:t>N/A</w:t>
            </w:r>
          </w:p>
        </w:tc>
        <w:tc>
          <w:tcPr>
            <w:tcW w:w="438" w:type="pct"/>
            <w:vAlign w:val="top"/>
          </w:tcPr>
          <w:p w14:paraId="5A09CE4D" w14:textId="3B1AEB66" w:rsidR="003D1606" w:rsidRPr="00AA67AE" w:rsidRDefault="003D1606" w:rsidP="00AA67AE">
            <w:pPr>
              <w:pStyle w:val="TableBodyText"/>
              <w:rPr>
                <w:sz w:val="17"/>
                <w:szCs w:val="17"/>
              </w:rPr>
            </w:pPr>
            <w:r w:rsidRPr="00AA67AE">
              <w:rPr>
                <w:sz w:val="17"/>
                <w:szCs w:val="17"/>
              </w:rPr>
              <w:t>N/A</w:t>
            </w:r>
          </w:p>
        </w:tc>
        <w:tc>
          <w:tcPr>
            <w:tcW w:w="437" w:type="pct"/>
            <w:vAlign w:val="top"/>
          </w:tcPr>
          <w:p w14:paraId="453C4ABF" w14:textId="12C577EE" w:rsidR="003D1606" w:rsidRPr="00AA67AE" w:rsidRDefault="003D1606" w:rsidP="00AA67AE">
            <w:pPr>
              <w:pStyle w:val="TableBodyText"/>
              <w:rPr>
                <w:sz w:val="17"/>
                <w:szCs w:val="17"/>
              </w:rPr>
            </w:pPr>
            <w:r w:rsidRPr="00AA67AE">
              <w:rPr>
                <w:sz w:val="17"/>
                <w:szCs w:val="17"/>
              </w:rPr>
              <w:t>N/A</w:t>
            </w:r>
          </w:p>
        </w:tc>
        <w:tc>
          <w:tcPr>
            <w:tcW w:w="438" w:type="pct"/>
            <w:vAlign w:val="top"/>
          </w:tcPr>
          <w:p w14:paraId="350C5502" w14:textId="3C96B110" w:rsidR="003D1606" w:rsidRPr="00AA67AE" w:rsidRDefault="003D1606" w:rsidP="00AA67AE">
            <w:pPr>
              <w:pStyle w:val="TableBodyText"/>
              <w:rPr>
                <w:sz w:val="17"/>
                <w:szCs w:val="17"/>
              </w:rPr>
            </w:pPr>
            <w:r w:rsidRPr="00AA67AE">
              <w:rPr>
                <w:sz w:val="17"/>
                <w:szCs w:val="17"/>
              </w:rPr>
              <w:t>N/A</w:t>
            </w:r>
          </w:p>
        </w:tc>
        <w:tc>
          <w:tcPr>
            <w:tcW w:w="437" w:type="pct"/>
            <w:vAlign w:val="top"/>
          </w:tcPr>
          <w:p w14:paraId="3525FC7A" w14:textId="7C139737" w:rsidR="003D1606" w:rsidRPr="00AA67AE" w:rsidRDefault="003D1606" w:rsidP="00AA67AE">
            <w:pPr>
              <w:pStyle w:val="TableBodyText"/>
              <w:rPr>
                <w:sz w:val="17"/>
                <w:szCs w:val="17"/>
              </w:rPr>
            </w:pPr>
            <w:r w:rsidRPr="00AA67AE">
              <w:rPr>
                <w:sz w:val="17"/>
                <w:szCs w:val="17"/>
              </w:rPr>
              <w:t>N/A</w:t>
            </w:r>
          </w:p>
        </w:tc>
        <w:tc>
          <w:tcPr>
            <w:tcW w:w="438" w:type="pct"/>
            <w:vAlign w:val="top"/>
          </w:tcPr>
          <w:p w14:paraId="0D53AA7E" w14:textId="169D021C" w:rsidR="003D1606" w:rsidRPr="00AA67AE" w:rsidRDefault="003D1606" w:rsidP="00AA67AE">
            <w:pPr>
              <w:pStyle w:val="TableBodyText"/>
              <w:rPr>
                <w:sz w:val="17"/>
                <w:szCs w:val="17"/>
              </w:rPr>
            </w:pPr>
            <w:r w:rsidRPr="00AA67AE">
              <w:rPr>
                <w:sz w:val="17"/>
                <w:szCs w:val="17"/>
              </w:rPr>
              <w:t>N/A</w:t>
            </w:r>
          </w:p>
        </w:tc>
        <w:tc>
          <w:tcPr>
            <w:tcW w:w="428" w:type="pct"/>
            <w:vAlign w:val="top"/>
          </w:tcPr>
          <w:p w14:paraId="5DC052E7" w14:textId="206699A8" w:rsidR="003D1606" w:rsidRPr="00AA67AE" w:rsidRDefault="003D1606" w:rsidP="00AA67AE">
            <w:pPr>
              <w:pStyle w:val="TableBodyText"/>
              <w:rPr>
                <w:sz w:val="17"/>
                <w:szCs w:val="17"/>
              </w:rPr>
            </w:pPr>
            <w:r w:rsidRPr="00AA67AE">
              <w:rPr>
                <w:sz w:val="17"/>
                <w:szCs w:val="17"/>
              </w:rPr>
              <w:t>N/A</w:t>
            </w:r>
          </w:p>
        </w:tc>
      </w:tr>
      <w:tr w:rsidR="00AA67AE" w:rsidRPr="00AA67AE" w14:paraId="55BFE8AD" w14:textId="77777777" w:rsidTr="00AA67AE">
        <w:trPr>
          <w:trHeight w:val="20"/>
        </w:trPr>
        <w:tc>
          <w:tcPr>
            <w:tcW w:w="632" w:type="pct"/>
            <w:vAlign w:val="top"/>
          </w:tcPr>
          <w:p w14:paraId="58F474AC" w14:textId="533C8EC2" w:rsidR="003D1606" w:rsidRPr="00AA67AE" w:rsidRDefault="003D1606" w:rsidP="00AA67AE">
            <w:pPr>
              <w:pStyle w:val="TableBodyText"/>
              <w:rPr>
                <w:sz w:val="17"/>
                <w:szCs w:val="17"/>
              </w:rPr>
            </w:pPr>
            <w:r w:rsidRPr="00AA67AE">
              <w:rPr>
                <w:sz w:val="17"/>
                <w:szCs w:val="17"/>
              </w:rPr>
              <w:t>Impairment losses reversed</w:t>
            </w:r>
          </w:p>
        </w:tc>
        <w:tc>
          <w:tcPr>
            <w:tcW w:w="437" w:type="pct"/>
            <w:vAlign w:val="top"/>
          </w:tcPr>
          <w:p w14:paraId="352CBF28" w14:textId="116CA01A" w:rsidR="003D1606" w:rsidRPr="00AA67AE" w:rsidRDefault="003D1606" w:rsidP="00AA67AE">
            <w:pPr>
              <w:pStyle w:val="TableBodyText"/>
              <w:rPr>
                <w:sz w:val="17"/>
                <w:szCs w:val="17"/>
              </w:rPr>
            </w:pPr>
            <w:r w:rsidRPr="00AA67AE">
              <w:rPr>
                <w:sz w:val="17"/>
                <w:szCs w:val="17"/>
              </w:rPr>
              <w:t>N/A</w:t>
            </w:r>
          </w:p>
        </w:tc>
        <w:tc>
          <w:tcPr>
            <w:tcW w:w="438" w:type="pct"/>
            <w:vAlign w:val="top"/>
          </w:tcPr>
          <w:p w14:paraId="10AE1EC0" w14:textId="0F46C955" w:rsidR="003D1606" w:rsidRPr="00AA67AE" w:rsidRDefault="003D1606" w:rsidP="00AA67AE">
            <w:pPr>
              <w:pStyle w:val="TableBodyText"/>
              <w:rPr>
                <w:sz w:val="17"/>
                <w:szCs w:val="17"/>
              </w:rPr>
            </w:pPr>
            <w:r w:rsidRPr="00AA67AE">
              <w:rPr>
                <w:sz w:val="17"/>
                <w:szCs w:val="17"/>
              </w:rPr>
              <w:t>N/A</w:t>
            </w:r>
          </w:p>
        </w:tc>
        <w:tc>
          <w:tcPr>
            <w:tcW w:w="437" w:type="pct"/>
            <w:vAlign w:val="top"/>
          </w:tcPr>
          <w:p w14:paraId="02DE6E97" w14:textId="29A68B16" w:rsidR="003D1606" w:rsidRPr="00AA67AE" w:rsidRDefault="003D1606" w:rsidP="00AA67AE">
            <w:pPr>
              <w:pStyle w:val="TableBodyText"/>
              <w:rPr>
                <w:sz w:val="17"/>
                <w:szCs w:val="17"/>
              </w:rPr>
            </w:pPr>
            <w:r w:rsidRPr="00AA67AE">
              <w:rPr>
                <w:sz w:val="17"/>
                <w:szCs w:val="17"/>
              </w:rPr>
              <w:t>N/A</w:t>
            </w:r>
          </w:p>
        </w:tc>
        <w:tc>
          <w:tcPr>
            <w:tcW w:w="438" w:type="pct"/>
            <w:vAlign w:val="top"/>
          </w:tcPr>
          <w:p w14:paraId="2A454B3B" w14:textId="75329039" w:rsidR="003D1606" w:rsidRPr="00AA67AE" w:rsidRDefault="003D1606" w:rsidP="00AA67AE">
            <w:pPr>
              <w:pStyle w:val="TableBodyText"/>
              <w:rPr>
                <w:sz w:val="17"/>
                <w:szCs w:val="17"/>
              </w:rPr>
            </w:pPr>
            <w:r w:rsidRPr="00AA67AE">
              <w:rPr>
                <w:sz w:val="17"/>
                <w:szCs w:val="17"/>
              </w:rPr>
              <w:t>N/A</w:t>
            </w:r>
          </w:p>
        </w:tc>
        <w:tc>
          <w:tcPr>
            <w:tcW w:w="438" w:type="pct"/>
            <w:vAlign w:val="top"/>
          </w:tcPr>
          <w:p w14:paraId="3F63EF00" w14:textId="2FD3D49E" w:rsidR="003D1606" w:rsidRPr="00AA67AE" w:rsidRDefault="003D1606" w:rsidP="00AA67AE">
            <w:pPr>
              <w:pStyle w:val="TableBodyText"/>
              <w:rPr>
                <w:sz w:val="17"/>
                <w:szCs w:val="17"/>
              </w:rPr>
            </w:pPr>
            <w:r w:rsidRPr="00AA67AE">
              <w:rPr>
                <w:sz w:val="17"/>
                <w:szCs w:val="17"/>
              </w:rPr>
              <w:t>N/A</w:t>
            </w:r>
          </w:p>
        </w:tc>
        <w:tc>
          <w:tcPr>
            <w:tcW w:w="437" w:type="pct"/>
            <w:vAlign w:val="top"/>
          </w:tcPr>
          <w:p w14:paraId="77D4B84D" w14:textId="6C907941" w:rsidR="003D1606" w:rsidRPr="00AA67AE" w:rsidRDefault="003D1606" w:rsidP="00AA67AE">
            <w:pPr>
              <w:pStyle w:val="TableBodyText"/>
              <w:rPr>
                <w:sz w:val="17"/>
                <w:szCs w:val="17"/>
              </w:rPr>
            </w:pPr>
            <w:r w:rsidRPr="00AA67AE">
              <w:rPr>
                <w:sz w:val="17"/>
                <w:szCs w:val="17"/>
              </w:rPr>
              <w:t>N/A</w:t>
            </w:r>
          </w:p>
        </w:tc>
        <w:tc>
          <w:tcPr>
            <w:tcW w:w="438" w:type="pct"/>
            <w:vAlign w:val="top"/>
          </w:tcPr>
          <w:p w14:paraId="36AF51FE" w14:textId="7D8893DE" w:rsidR="003D1606" w:rsidRPr="00AA67AE" w:rsidRDefault="003D1606" w:rsidP="00AA67AE">
            <w:pPr>
              <w:pStyle w:val="TableBodyText"/>
              <w:rPr>
                <w:sz w:val="17"/>
                <w:szCs w:val="17"/>
              </w:rPr>
            </w:pPr>
            <w:r w:rsidRPr="00AA67AE">
              <w:rPr>
                <w:sz w:val="17"/>
                <w:szCs w:val="17"/>
              </w:rPr>
              <w:t>N/A</w:t>
            </w:r>
          </w:p>
        </w:tc>
        <w:tc>
          <w:tcPr>
            <w:tcW w:w="437" w:type="pct"/>
            <w:vAlign w:val="top"/>
          </w:tcPr>
          <w:p w14:paraId="7EE94606" w14:textId="7B9DA328" w:rsidR="003D1606" w:rsidRPr="00AA67AE" w:rsidRDefault="003D1606" w:rsidP="00AA67AE">
            <w:pPr>
              <w:pStyle w:val="TableBodyText"/>
              <w:rPr>
                <w:sz w:val="17"/>
                <w:szCs w:val="17"/>
              </w:rPr>
            </w:pPr>
            <w:r w:rsidRPr="00AA67AE">
              <w:rPr>
                <w:sz w:val="17"/>
                <w:szCs w:val="17"/>
              </w:rPr>
              <w:t>N/A</w:t>
            </w:r>
          </w:p>
        </w:tc>
        <w:tc>
          <w:tcPr>
            <w:tcW w:w="438" w:type="pct"/>
            <w:vAlign w:val="top"/>
          </w:tcPr>
          <w:p w14:paraId="563062B1" w14:textId="69892AF1" w:rsidR="003D1606" w:rsidRPr="00AA67AE" w:rsidRDefault="003D1606" w:rsidP="00AA67AE">
            <w:pPr>
              <w:pStyle w:val="TableBodyText"/>
              <w:rPr>
                <w:sz w:val="17"/>
                <w:szCs w:val="17"/>
              </w:rPr>
            </w:pPr>
            <w:r w:rsidRPr="00AA67AE">
              <w:rPr>
                <w:sz w:val="17"/>
                <w:szCs w:val="17"/>
              </w:rPr>
              <w:t>N/A</w:t>
            </w:r>
          </w:p>
        </w:tc>
        <w:tc>
          <w:tcPr>
            <w:tcW w:w="428" w:type="pct"/>
            <w:vAlign w:val="top"/>
          </w:tcPr>
          <w:p w14:paraId="19470CBA" w14:textId="4E4151AB" w:rsidR="003D1606" w:rsidRPr="00AA67AE" w:rsidRDefault="003D1606" w:rsidP="00AA67AE">
            <w:pPr>
              <w:pStyle w:val="TableBodyText"/>
              <w:rPr>
                <w:sz w:val="17"/>
                <w:szCs w:val="17"/>
              </w:rPr>
            </w:pPr>
            <w:r w:rsidRPr="00AA67AE">
              <w:rPr>
                <w:sz w:val="17"/>
                <w:szCs w:val="17"/>
              </w:rPr>
              <w:t>N/A</w:t>
            </w:r>
          </w:p>
        </w:tc>
      </w:tr>
      <w:tr w:rsidR="00AA67AE" w:rsidRPr="00AA67AE" w14:paraId="4E4F01D2" w14:textId="77777777" w:rsidTr="00AA67AE">
        <w:trPr>
          <w:trHeight w:val="20"/>
        </w:trPr>
        <w:tc>
          <w:tcPr>
            <w:tcW w:w="632" w:type="pct"/>
            <w:vAlign w:val="top"/>
          </w:tcPr>
          <w:p w14:paraId="697D671B" w14:textId="1550D5F5" w:rsidR="003D1606" w:rsidRPr="00AA67AE" w:rsidRDefault="003D1606" w:rsidP="00AA67AE">
            <w:pPr>
              <w:pStyle w:val="TableBodyText"/>
              <w:rPr>
                <w:sz w:val="17"/>
                <w:szCs w:val="17"/>
              </w:rPr>
            </w:pPr>
            <w:r w:rsidRPr="00AA67AE">
              <w:rPr>
                <w:sz w:val="17"/>
                <w:szCs w:val="17"/>
              </w:rPr>
              <w:lastRenderedPageBreak/>
              <w:t xml:space="preserve">Capital expenditure </w:t>
            </w:r>
            <w:hyperlink w:anchor="NotecTable411" w:history="1">
              <w:r w:rsidRPr="00AA67AE">
                <w:rPr>
                  <w:rStyle w:val="Hyperlink"/>
                  <w:sz w:val="17"/>
                  <w:szCs w:val="17"/>
                </w:rPr>
                <w:t>refer note c</w:t>
              </w:r>
            </w:hyperlink>
          </w:p>
        </w:tc>
        <w:tc>
          <w:tcPr>
            <w:tcW w:w="437" w:type="pct"/>
            <w:vAlign w:val="top"/>
          </w:tcPr>
          <w:p w14:paraId="0AE96B07" w14:textId="60B697B3" w:rsidR="003D1606" w:rsidRPr="00AA67AE" w:rsidRDefault="003D1606" w:rsidP="00AA67AE">
            <w:pPr>
              <w:pStyle w:val="TableBodyText"/>
              <w:rPr>
                <w:sz w:val="17"/>
                <w:szCs w:val="17"/>
              </w:rPr>
            </w:pPr>
            <w:r w:rsidRPr="00AA67AE">
              <w:rPr>
                <w:sz w:val="17"/>
                <w:szCs w:val="17"/>
              </w:rPr>
              <w:t>479,903</w:t>
            </w:r>
          </w:p>
        </w:tc>
        <w:tc>
          <w:tcPr>
            <w:tcW w:w="438" w:type="pct"/>
            <w:vAlign w:val="top"/>
          </w:tcPr>
          <w:p w14:paraId="37BB9474" w14:textId="2BEC5A9D" w:rsidR="003D1606" w:rsidRPr="00AA67AE" w:rsidRDefault="003D1606" w:rsidP="00AA67AE">
            <w:pPr>
              <w:pStyle w:val="TableBodyText"/>
              <w:rPr>
                <w:sz w:val="17"/>
                <w:szCs w:val="17"/>
              </w:rPr>
            </w:pPr>
            <w:r w:rsidRPr="00AA67AE">
              <w:rPr>
                <w:sz w:val="17"/>
                <w:szCs w:val="17"/>
              </w:rPr>
              <w:t>N/A</w:t>
            </w:r>
          </w:p>
        </w:tc>
        <w:tc>
          <w:tcPr>
            <w:tcW w:w="437" w:type="pct"/>
            <w:vAlign w:val="top"/>
          </w:tcPr>
          <w:p w14:paraId="323B06B9" w14:textId="255D0D68" w:rsidR="003D1606" w:rsidRPr="00AA67AE" w:rsidRDefault="003D1606" w:rsidP="00AA67AE">
            <w:pPr>
              <w:pStyle w:val="TableBodyText"/>
              <w:rPr>
                <w:sz w:val="17"/>
                <w:szCs w:val="17"/>
              </w:rPr>
            </w:pPr>
            <w:r w:rsidRPr="00AA67AE">
              <w:rPr>
                <w:sz w:val="17"/>
                <w:szCs w:val="17"/>
              </w:rPr>
              <w:t>N/A</w:t>
            </w:r>
          </w:p>
        </w:tc>
        <w:tc>
          <w:tcPr>
            <w:tcW w:w="438" w:type="pct"/>
            <w:vAlign w:val="top"/>
          </w:tcPr>
          <w:p w14:paraId="1D7DC638" w14:textId="7DD8167C" w:rsidR="003D1606" w:rsidRPr="00AA67AE" w:rsidRDefault="003D1606" w:rsidP="00AA67AE">
            <w:pPr>
              <w:pStyle w:val="TableBodyText"/>
              <w:rPr>
                <w:sz w:val="17"/>
                <w:szCs w:val="17"/>
              </w:rPr>
            </w:pPr>
            <w:r w:rsidRPr="00AA67AE">
              <w:rPr>
                <w:sz w:val="17"/>
                <w:szCs w:val="17"/>
              </w:rPr>
              <w:t>N/A</w:t>
            </w:r>
          </w:p>
        </w:tc>
        <w:tc>
          <w:tcPr>
            <w:tcW w:w="438" w:type="pct"/>
            <w:vAlign w:val="top"/>
          </w:tcPr>
          <w:p w14:paraId="7D2A121B" w14:textId="65E38CBA" w:rsidR="003D1606" w:rsidRPr="00AA67AE" w:rsidRDefault="003D1606" w:rsidP="00AA67AE">
            <w:pPr>
              <w:pStyle w:val="TableBodyText"/>
              <w:rPr>
                <w:sz w:val="17"/>
                <w:szCs w:val="17"/>
              </w:rPr>
            </w:pPr>
            <w:r w:rsidRPr="00AA67AE">
              <w:rPr>
                <w:sz w:val="17"/>
                <w:szCs w:val="17"/>
              </w:rPr>
              <w:t>N/A</w:t>
            </w:r>
          </w:p>
        </w:tc>
        <w:tc>
          <w:tcPr>
            <w:tcW w:w="437" w:type="pct"/>
            <w:vAlign w:val="top"/>
          </w:tcPr>
          <w:p w14:paraId="520585C0" w14:textId="659ABB2C" w:rsidR="003D1606" w:rsidRPr="00AA67AE" w:rsidRDefault="003D1606" w:rsidP="00AA67AE">
            <w:pPr>
              <w:pStyle w:val="TableBodyText"/>
              <w:rPr>
                <w:sz w:val="17"/>
                <w:szCs w:val="17"/>
              </w:rPr>
            </w:pPr>
            <w:r w:rsidRPr="00AA67AE">
              <w:rPr>
                <w:sz w:val="17"/>
                <w:szCs w:val="17"/>
              </w:rPr>
              <w:t>N/A</w:t>
            </w:r>
          </w:p>
        </w:tc>
        <w:tc>
          <w:tcPr>
            <w:tcW w:w="438" w:type="pct"/>
            <w:vAlign w:val="top"/>
          </w:tcPr>
          <w:p w14:paraId="38E8FEFA" w14:textId="7C0B6DA2" w:rsidR="003D1606" w:rsidRPr="00AA67AE" w:rsidRDefault="003D1606" w:rsidP="00AA67AE">
            <w:pPr>
              <w:pStyle w:val="TableBodyText"/>
              <w:rPr>
                <w:sz w:val="17"/>
                <w:szCs w:val="17"/>
              </w:rPr>
            </w:pPr>
            <w:r w:rsidRPr="00AA67AE">
              <w:rPr>
                <w:sz w:val="17"/>
                <w:szCs w:val="17"/>
              </w:rPr>
              <w:t>N/A</w:t>
            </w:r>
          </w:p>
        </w:tc>
        <w:tc>
          <w:tcPr>
            <w:tcW w:w="437" w:type="pct"/>
            <w:vAlign w:val="top"/>
          </w:tcPr>
          <w:p w14:paraId="5D8A89B2" w14:textId="5D79DA35" w:rsidR="003D1606" w:rsidRPr="00AA67AE" w:rsidRDefault="003D1606" w:rsidP="00AA67AE">
            <w:pPr>
              <w:pStyle w:val="TableBodyText"/>
              <w:rPr>
                <w:sz w:val="17"/>
                <w:szCs w:val="17"/>
              </w:rPr>
            </w:pPr>
            <w:r w:rsidRPr="00AA67AE">
              <w:rPr>
                <w:sz w:val="17"/>
                <w:szCs w:val="17"/>
              </w:rPr>
              <w:t>N/A</w:t>
            </w:r>
          </w:p>
        </w:tc>
        <w:tc>
          <w:tcPr>
            <w:tcW w:w="438" w:type="pct"/>
            <w:vAlign w:val="top"/>
          </w:tcPr>
          <w:p w14:paraId="26D15971" w14:textId="26B514EC" w:rsidR="003D1606" w:rsidRPr="00AA67AE" w:rsidRDefault="003D1606" w:rsidP="00AA67AE">
            <w:pPr>
              <w:pStyle w:val="TableBodyText"/>
              <w:rPr>
                <w:sz w:val="17"/>
                <w:szCs w:val="17"/>
              </w:rPr>
            </w:pPr>
            <w:r w:rsidRPr="00AA67AE">
              <w:rPr>
                <w:sz w:val="17"/>
                <w:szCs w:val="17"/>
              </w:rPr>
              <w:t>N/A</w:t>
            </w:r>
          </w:p>
        </w:tc>
        <w:tc>
          <w:tcPr>
            <w:tcW w:w="428" w:type="pct"/>
            <w:vAlign w:val="top"/>
          </w:tcPr>
          <w:p w14:paraId="48610D7B" w14:textId="04713545" w:rsidR="003D1606" w:rsidRPr="00AA67AE" w:rsidRDefault="003D1606" w:rsidP="00AA67AE">
            <w:pPr>
              <w:pStyle w:val="TableBodyText"/>
              <w:rPr>
                <w:sz w:val="17"/>
                <w:szCs w:val="17"/>
              </w:rPr>
            </w:pPr>
            <w:r w:rsidRPr="00AA67AE">
              <w:rPr>
                <w:sz w:val="17"/>
                <w:szCs w:val="17"/>
              </w:rPr>
              <w:t>479,903</w:t>
            </w:r>
          </w:p>
        </w:tc>
      </w:tr>
      <w:tr w:rsidR="00AA67AE" w:rsidRPr="00AA67AE" w14:paraId="6BBF88FD" w14:textId="77777777" w:rsidTr="001D2D74">
        <w:trPr>
          <w:trHeight w:val="20"/>
        </w:trPr>
        <w:tc>
          <w:tcPr>
            <w:tcW w:w="632" w:type="pct"/>
            <w:vAlign w:val="top"/>
          </w:tcPr>
          <w:p w14:paraId="3CDC4D21" w14:textId="4C59639A" w:rsidR="003D1606" w:rsidRPr="00AA67AE" w:rsidRDefault="003D1606" w:rsidP="001D2D74">
            <w:pPr>
              <w:pStyle w:val="TableBodyText"/>
              <w:rPr>
                <w:sz w:val="17"/>
                <w:szCs w:val="17"/>
              </w:rPr>
            </w:pPr>
            <w:r w:rsidRPr="00AA67AE">
              <w:rPr>
                <w:sz w:val="17"/>
                <w:szCs w:val="17"/>
              </w:rPr>
              <w:t>Capital contributions</w:t>
            </w:r>
          </w:p>
        </w:tc>
        <w:tc>
          <w:tcPr>
            <w:tcW w:w="437" w:type="pct"/>
            <w:vAlign w:val="top"/>
          </w:tcPr>
          <w:p w14:paraId="6A87B218" w14:textId="13686D1D" w:rsidR="003D1606" w:rsidRPr="00AA67AE" w:rsidRDefault="003D1606" w:rsidP="00AA67AE">
            <w:pPr>
              <w:pStyle w:val="TableBodyText"/>
              <w:rPr>
                <w:sz w:val="17"/>
                <w:szCs w:val="17"/>
              </w:rPr>
            </w:pPr>
            <w:r w:rsidRPr="00AA67AE">
              <w:rPr>
                <w:sz w:val="17"/>
                <w:szCs w:val="17"/>
              </w:rPr>
              <w:t>N/A</w:t>
            </w:r>
          </w:p>
        </w:tc>
        <w:tc>
          <w:tcPr>
            <w:tcW w:w="438" w:type="pct"/>
            <w:vAlign w:val="top"/>
          </w:tcPr>
          <w:p w14:paraId="72C82B04" w14:textId="282EBE90" w:rsidR="003D1606" w:rsidRPr="00AA67AE" w:rsidRDefault="003D1606" w:rsidP="00AA67AE">
            <w:pPr>
              <w:pStyle w:val="TableBodyText"/>
              <w:rPr>
                <w:sz w:val="17"/>
                <w:szCs w:val="17"/>
              </w:rPr>
            </w:pPr>
            <w:r w:rsidRPr="00AA67AE">
              <w:rPr>
                <w:sz w:val="17"/>
                <w:szCs w:val="17"/>
              </w:rPr>
              <w:t>N/A</w:t>
            </w:r>
          </w:p>
        </w:tc>
        <w:tc>
          <w:tcPr>
            <w:tcW w:w="437" w:type="pct"/>
            <w:vAlign w:val="top"/>
          </w:tcPr>
          <w:p w14:paraId="042732AA" w14:textId="245169AA" w:rsidR="003D1606" w:rsidRPr="00AA67AE" w:rsidRDefault="003D1606" w:rsidP="00AA67AE">
            <w:pPr>
              <w:pStyle w:val="TableBodyText"/>
              <w:rPr>
                <w:sz w:val="17"/>
                <w:szCs w:val="17"/>
              </w:rPr>
            </w:pPr>
            <w:r w:rsidRPr="00AA67AE">
              <w:rPr>
                <w:sz w:val="17"/>
                <w:szCs w:val="17"/>
              </w:rPr>
              <w:t>N/A</w:t>
            </w:r>
          </w:p>
        </w:tc>
        <w:tc>
          <w:tcPr>
            <w:tcW w:w="438" w:type="pct"/>
            <w:vAlign w:val="top"/>
          </w:tcPr>
          <w:p w14:paraId="6ECF611F" w14:textId="624F5FF2" w:rsidR="003D1606" w:rsidRPr="00AA67AE" w:rsidRDefault="003D1606" w:rsidP="00AA67AE">
            <w:pPr>
              <w:pStyle w:val="TableBodyText"/>
              <w:rPr>
                <w:sz w:val="17"/>
                <w:szCs w:val="17"/>
              </w:rPr>
            </w:pPr>
            <w:r w:rsidRPr="00AA67AE">
              <w:rPr>
                <w:sz w:val="17"/>
                <w:szCs w:val="17"/>
              </w:rPr>
              <w:t>N/A</w:t>
            </w:r>
          </w:p>
        </w:tc>
        <w:tc>
          <w:tcPr>
            <w:tcW w:w="438" w:type="pct"/>
            <w:vAlign w:val="top"/>
          </w:tcPr>
          <w:p w14:paraId="24CDD966" w14:textId="1A20A1CE" w:rsidR="003D1606" w:rsidRPr="00AA67AE" w:rsidRDefault="003D1606" w:rsidP="00AA67AE">
            <w:pPr>
              <w:pStyle w:val="TableBodyText"/>
              <w:rPr>
                <w:sz w:val="17"/>
                <w:szCs w:val="17"/>
              </w:rPr>
            </w:pPr>
            <w:r w:rsidRPr="00AA67AE">
              <w:rPr>
                <w:sz w:val="17"/>
                <w:szCs w:val="17"/>
              </w:rPr>
              <w:t>N/A</w:t>
            </w:r>
          </w:p>
        </w:tc>
        <w:tc>
          <w:tcPr>
            <w:tcW w:w="437" w:type="pct"/>
            <w:vAlign w:val="top"/>
          </w:tcPr>
          <w:p w14:paraId="0819F0B4" w14:textId="70EC1BF9" w:rsidR="003D1606" w:rsidRPr="00AA67AE" w:rsidRDefault="003D1606" w:rsidP="00AA67AE">
            <w:pPr>
              <w:pStyle w:val="TableBodyText"/>
              <w:rPr>
                <w:sz w:val="17"/>
                <w:szCs w:val="17"/>
              </w:rPr>
            </w:pPr>
            <w:r w:rsidRPr="00AA67AE">
              <w:rPr>
                <w:sz w:val="17"/>
                <w:szCs w:val="17"/>
              </w:rPr>
              <w:t>N/A</w:t>
            </w:r>
          </w:p>
        </w:tc>
        <w:tc>
          <w:tcPr>
            <w:tcW w:w="438" w:type="pct"/>
            <w:vAlign w:val="top"/>
          </w:tcPr>
          <w:p w14:paraId="6633EA47" w14:textId="2CFA0BE1" w:rsidR="003D1606" w:rsidRPr="00AA67AE" w:rsidRDefault="003D1606" w:rsidP="00AA67AE">
            <w:pPr>
              <w:pStyle w:val="TableBodyText"/>
              <w:rPr>
                <w:sz w:val="17"/>
                <w:szCs w:val="17"/>
              </w:rPr>
            </w:pPr>
            <w:r w:rsidRPr="00AA67AE">
              <w:rPr>
                <w:sz w:val="17"/>
                <w:szCs w:val="17"/>
              </w:rPr>
              <w:t>N/A</w:t>
            </w:r>
          </w:p>
        </w:tc>
        <w:tc>
          <w:tcPr>
            <w:tcW w:w="437" w:type="pct"/>
            <w:vAlign w:val="top"/>
          </w:tcPr>
          <w:p w14:paraId="70AF8B2B" w14:textId="0FA68A49" w:rsidR="003D1606" w:rsidRPr="00AA67AE" w:rsidRDefault="003D1606" w:rsidP="00AA67AE">
            <w:pPr>
              <w:pStyle w:val="TableBodyText"/>
              <w:rPr>
                <w:sz w:val="17"/>
                <w:szCs w:val="17"/>
              </w:rPr>
            </w:pPr>
            <w:r w:rsidRPr="00AA67AE">
              <w:rPr>
                <w:sz w:val="17"/>
                <w:szCs w:val="17"/>
              </w:rPr>
              <w:t>N/A</w:t>
            </w:r>
          </w:p>
        </w:tc>
        <w:tc>
          <w:tcPr>
            <w:tcW w:w="438" w:type="pct"/>
            <w:vAlign w:val="top"/>
          </w:tcPr>
          <w:p w14:paraId="197AE79C" w14:textId="0313DA4E" w:rsidR="003D1606" w:rsidRPr="00AA67AE" w:rsidRDefault="003D1606" w:rsidP="00AA67AE">
            <w:pPr>
              <w:pStyle w:val="TableBodyText"/>
              <w:rPr>
                <w:sz w:val="17"/>
                <w:szCs w:val="17"/>
              </w:rPr>
            </w:pPr>
            <w:r w:rsidRPr="00AA67AE">
              <w:rPr>
                <w:sz w:val="17"/>
                <w:szCs w:val="17"/>
              </w:rPr>
              <w:t>N/A</w:t>
            </w:r>
          </w:p>
        </w:tc>
        <w:tc>
          <w:tcPr>
            <w:tcW w:w="428" w:type="pct"/>
            <w:vAlign w:val="top"/>
          </w:tcPr>
          <w:p w14:paraId="1B14103C" w14:textId="2BAA9643" w:rsidR="003D1606" w:rsidRPr="00AA67AE" w:rsidRDefault="003D1606" w:rsidP="00AA67AE">
            <w:pPr>
              <w:pStyle w:val="TableBodyText"/>
              <w:rPr>
                <w:sz w:val="17"/>
                <w:szCs w:val="17"/>
              </w:rPr>
            </w:pPr>
            <w:r w:rsidRPr="00AA67AE">
              <w:rPr>
                <w:sz w:val="17"/>
                <w:szCs w:val="17"/>
              </w:rPr>
              <w:t>N/A</w:t>
            </w:r>
          </w:p>
        </w:tc>
      </w:tr>
      <w:tr w:rsidR="00AA67AE" w:rsidRPr="00AA67AE" w14:paraId="2AFC9D70" w14:textId="77777777" w:rsidTr="002B25DA">
        <w:trPr>
          <w:trHeight w:val="20"/>
        </w:trPr>
        <w:tc>
          <w:tcPr>
            <w:tcW w:w="632" w:type="pct"/>
            <w:tcBorders>
              <w:bottom w:val="single" w:sz="4" w:space="0" w:color="auto"/>
            </w:tcBorders>
            <w:vAlign w:val="top"/>
          </w:tcPr>
          <w:p w14:paraId="2ED882D1" w14:textId="042377AD" w:rsidR="004F0931" w:rsidRPr="00AA67AE" w:rsidRDefault="004F0931" w:rsidP="001D2D74">
            <w:pPr>
              <w:pStyle w:val="TableBodyText"/>
              <w:rPr>
                <w:sz w:val="17"/>
                <w:szCs w:val="17"/>
              </w:rPr>
            </w:pPr>
            <w:r w:rsidRPr="00AA67AE">
              <w:rPr>
                <w:sz w:val="17"/>
                <w:szCs w:val="17"/>
              </w:rPr>
              <w:t>Capitalisation of works in progress</w:t>
            </w:r>
          </w:p>
        </w:tc>
        <w:tc>
          <w:tcPr>
            <w:tcW w:w="437" w:type="pct"/>
            <w:tcBorders>
              <w:bottom w:val="single" w:sz="4" w:space="0" w:color="auto"/>
            </w:tcBorders>
            <w:vAlign w:val="top"/>
          </w:tcPr>
          <w:p w14:paraId="431F4E03" w14:textId="69616A2B" w:rsidR="004F0931" w:rsidRPr="00AA67AE" w:rsidRDefault="004F0931" w:rsidP="00AA67AE">
            <w:pPr>
              <w:pStyle w:val="TableBodyText"/>
              <w:rPr>
                <w:sz w:val="17"/>
                <w:szCs w:val="17"/>
              </w:rPr>
            </w:pPr>
            <w:r w:rsidRPr="00AA67AE">
              <w:rPr>
                <w:sz w:val="17"/>
                <w:szCs w:val="17"/>
              </w:rPr>
              <w:t>35</w:t>
            </w:r>
          </w:p>
        </w:tc>
        <w:tc>
          <w:tcPr>
            <w:tcW w:w="438" w:type="pct"/>
            <w:tcBorders>
              <w:bottom w:val="single" w:sz="4" w:space="0" w:color="auto"/>
            </w:tcBorders>
            <w:vAlign w:val="top"/>
          </w:tcPr>
          <w:p w14:paraId="2300AAE0" w14:textId="0052DE24" w:rsidR="004F0931" w:rsidRPr="00AA67AE" w:rsidRDefault="004F0931" w:rsidP="00AA67AE">
            <w:pPr>
              <w:pStyle w:val="TableBodyText"/>
              <w:rPr>
                <w:sz w:val="17"/>
                <w:szCs w:val="17"/>
              </w:rPr>
            </w:pPr>
            <w:r w:rsidRPr="00AA67AE">
              <w:rPr>
                <w:sz w:val="17"/>
                <w:szCs w:val="17"/>
              </w:rPr>
              <w:t>N/A</w:t>
            </w:r>
          </w:p>
        </w:tc>
        <w:tc>
          <w:tcPr>
            <w:tcW w:w="437" w:type="pct"/>
            <w:tcBorders>
              <w:bottom w:val="single" w:sz="4" w:space="0" w:color="auto"/>
            </w:tcBorders>
            <w:vAlign w:val="top"/>
          </w:tcPr>
          <w:p w14:paraId="6BA8086C" w14:textId="2C573026" w:rsidR="004F0931" w:rsidRPr="00AA67AE" w:rsidRDefault="004F0931" w:rsidP="00AA67AE">
            <w:pPr>
              <w:pStyle w:val="TableBodyText"/>
              <w:rPr>
                <w:sz w:val="17"/>
                <w:szCs w:val="17"/>
              </w:rPr>
            </w:pPr>
            <w:r w:rsidRPr="00AA67AE">
              <w:rPr>
                <w:sz w:val="17"/>
                <w:szCs w:val="17"/>
              </w:rPr>
              <w:t>4,243</w:t>
            </w:r>
          </w:p>
        </w:tc>
        <w:tc>
          <w:tcPr>
            <w:tcW w:w="438" w:type="pct"/>
            <w:tcBorders>
              <w:bottom w:val="single" w:sz="4" w:space="0" w:color="auto"/>
            </w:tcBorders>
            <w:vAlign w:val="top"/>
          </w:tcPr>
          <w:p w14:paraId="28580827" w14:textId="520111F8" w:rsidR="004F0931" w:rsidRPr="00AA67AE" w:rsidRDefault="004F0931" w:rsidP="00AA67AE">
            <w:pPr>
              <w:pStyle w:val="TableBodyText"/>
              <w:rPr>
                <w:sz w:val="17"/>
                <w:szCs w:val="17"/>
              </w:rPr>
            </w:pPr>
            <w:r w:rsidRPr="00AA67AE">
              <w:rPr>
                <w:sz w:val="17"/>
                <w:szCs w:val="17"/>
              </w:rPr>
              <w:t>6,727</w:t>
            </w:r>
          </w:p>
        </w:tc>
        <w:tc>
          <w:tcPr>
            <w:tcW w:w="438" w:type="pct"/>
            <w:tcBorders>
              <w:bottom w:val="single" w:sz="4" w:space="0" w:color="auto"/>
            </w:tcBorders>
            <w:vAlign w:val="top"/>
          </w:tcPr>
          <w:p w14:paraId="543D8FD1" w14:textId="21E4BE2A" w:rsidR="004F0931" w:rsidRPr="00AA67AE" w:rsidRDefault="004F0931" w:rsidP="00AA67AE">
            <w:pPr>
              <w:pStyle w:val="TableBodyText"/>
              <w:rPr>
                <w:sz w:val="17"/>
                <w:szCs w:val="17"/>
              </w:rPr>
            </w:pPr>
            <w:r w:rsidRPr="00AA67AE">
              <w:rPr>
                <w:sz w:val="17"/>
                <w:szCs w:val="17"/>
              </w:rPr>
              <w:t>N/A</w:t>
            </w:r>
          </w:p>
        </w:tc>
        <w:tc>
          <w:tcPr>
            <w:tcW w:w="437" w:type="pct"/>
            <w:tcBorders>
              <w:bottom w:val="single" w:sz="4" w:space="0" w:color="auto"/>
            </w:tcBorders>
            <w:vAlign w:val="top"/>
          </w:tcPr>
          <w:p w14:paraId="58C321FC" w14:textId="7AEE953C" w:rsidR="004F0931" w:rsidRPr="00AA67AE" w:rsidRDefault="004F0931" w:rsidP="00AA67AE">
            <w:pPr>
              <w:pStyle w:val="TableBodyText"/>
              <w:rPr>
                <w:sz w:val="17"/>
                <w:szCs w:val="17"/>
              </w:rPr>
            </w:pPr>
            <w:r w:rsidRPr="00AA67AE">
              <w:rPr>
                <w:sz w:val="17"/>
                <w:szCs w:val="17"/>
              </w:rPr>
              <w:t>2,348</w:t>
            </w:r>
          </w:p>
        </w:tc>
        <w:tc>
          <w:tcPr>
            <w:tcW w:w="438" w:type="pct"/>
            <w:tcBorders>
              <w:bottom w:val="single" w:sz="4" w:space="0" w:color="auto"/>
            </w:tcBorders>
            <w:vAlign w:val="top"/>
          </w:tcPr>
          <w:p w14:paraId="50FBB150" w14:textId="49EB2286" w:rsidR="004F0931" w:rsidRPr="00AA67AE" w:rsidRDefault="004F0931" w:rsidP="00AA67AE">
            <w:pPr>
              <w:pStyle w:val="TableBodyText"/>
              <w:rPr>
                <w:sz w:val="17"/>
                <w:szCs w:val="17"/>
              </w:rPr>
            </w:pPr>
            <w:r w:rsidRPr="00AA67AE">
              <w:rPr>
                <w:sz w:val="17"/>
                <w:szCs w:val="17"/>
              </w:rPr>
              <w:t>N/A</w:t>
            </w:r>
          </w:p>
        </w:tc>
        <w:tc>
          <w:tcPr>
            <w:tcW w:w="437" w:type="pct"/>
            <w:tcBorders>
              <w:bottom w:val="single" w:sz="4" w:space="0" w:color="auto"/>
            </w:tcBorders>
            <w:vAlign w:val="top"/>
          </w:tcPr>
          <w:p w14:paraId="62CE3210" w14:textId="56EDA662" w:rsidR="004F0931" w:rsidRPr="00AA67AE" w:rsidRDefault="004F0931" w:rsidP="00AA67AE">
            <w:pPr>
              <w:pStyle w:val="TableBodyText"/>
              <w:rPr>
                <w:sz w:val="17"/>
                <w:szCs w:val="17"/>
              </w:rPr>
            </w:pPr>
            <w:r w:rsidRPr="00AA67AE">
              <w:rPr>
                <w:sz w:val="17"/>
                <w:szCs w:val="17"/>
              </w:rPr>
              <w:t>382,207</w:t>
            </w:r>
          </w:p>
        </w:tc>
        <w:tc>
          <w:tcPr>
            <w:tcW w:w="438" w:type="pct"/>
            <w:tcBorders>
              <w:bottom w:val="single" w:sz="4" w:space="0" w:color="auto"/>
            </w:tcBorders>
            <w:vAlign w:val="top"/>
          </w:tcPr>
          <w:p w14:paraId="1B636E26" w14:textId="14588B83" w:rsidR="004F0931" w:rsidRPr="00AA67AE" w:rsidRDefault="004F0931" w:rsidP="00AA67AE">
            <w:pPr>
              <w:pStyle w:val="TableBodyText"/>
              <w:rPr>
                <w:sz w:val="17"/>
                <w:szCs w:val="17"/>
              </w:rPr>
            </w:pPr>
            <w:r w:rsidRPr="00AA67AE">
              <w:rPr>
                <w:sz w:val="17"/>
                <w:szCs w:val="17"/>
              </w:rPr>
              <w:t>N/A</w:t>
            </w:r>
          </w:p>
        </w:tc>
        <w:tc>
          <w:tcPr>
            <w:tcW w:w="428" w:type="pct"/>
            <w:tcBorders>
              <w:bottom w:val="single" w:sz="4" w:space="0" w:color="auto"/>
            </w:tcBorders>
            <w:vAlign w:val="top"/>
          </w:tcPr>
          <w:p w14:paraId="50857594" w14:textId="70B88959" w:rsidR="004F0931" w:rsidRPr="00AA67AE" w:rsidRDefault="004F0931" w:rsidP="00AA67AE">
            <w:pPr>
              <w:pStyle w:val="TableBodyText"/>
              <w:rPr>
                <w:sz w:val="17"/>
                <w:szCs w:val="17"/>
              </w:rPr>
            </w:pPr>
            <w:r w:rsidRPr="00AA67AE">
              <w:rPr>
                <w:sz w:val="17"/>
                <w:szCs w:val="17"/>
              </w:rPr>
              <w:t>(395,490)</w:t>
            </w:r>
          </w:p>
        </w:tc>
      </w:tr>
      <w:tr w:rsidR="00AA67AE" w:rsidRPr="00AA67AE" w14:paraId="44D44287" w14:textId="77777777" w:rsidTr="002B25DA">
        <w:trPr>
          <w:trHeight w:val="20"/>
        </w:trPr>
        <w:tc>
          <w:tcPr>
            <w:tcW w:w="632" w:type="pct"/>
            <w:tcBorders>
              <w:top w:val="single" w:sz="4" w:space="0" w:color="auto"/>
              <w:bottom w:val="single" w:sz="4" w:space="0" w:color="auto"/>
            </w:tcBorders>
            <w:vAlign w:val="top"/>
          </w:tcPr>
          <w:p w14:paraId="6BBFC2BC" w14:textId="116EE404" w:rsidR="004F0931" w:rsidRPr="00AA67AE" w:rsidRDefault="004F0931" w:rsidP="001D2D74">
            <w:pPr>
              <w:pStyle w:val="TableBodyText"/>
              <w:rPr>
                <w:rStyle w:val="Bold"/>
                <w:sz w:val="17"/>
                <w:szCs w:val="17"/>
              </w:rPr>
            </w:pPr>
            <w:r w:rsidRPr="00AA67AE">
              <w:rPr>
                <w:rStyle w:val="Bold"/>
                <w:sz w:val="17"/>
                <w:szCs w:val="17"/>
              </w:rPr>
              <w:t>Closing carrying amount</w:t>
            </w:r>
          </w:p>
        </w:tc>
        <w:tc>
          <w:tcPr>
            <w:tcW w:w="437" w:type="pct"/>
            <w:tcBorders>
              <w:top w:val="single" w:sz="4" w:space="0" w:color="auto"/>
              <w:bottom w:val="single" w:sz="4" w:space="0" w:color="auto"/>
            </w:tcBorders>
            <w:vAlign w:val="top"/>
          </w:tcPr>
          <w:p w14:paraId="369E98B7" w14:textId="35E4B09B" w:rsidR="004F0931" w:rsidRPr="00AA67AE" w:rsidRDefault="004F0931" w:rsidP="00AA67AE">
            <w:pPr>
              <w:pStyle w:val="TableBodyText"/>
              <w:rPr>
                <w:rStyle w:val="Bold"/>
                <w:sz w:val="17"/>
                <w:szCs w:val="17"/>
              </w:rPr>
            </w:pPr>
            <w:r w:rsidRPr="00AA67AE">
              <w:rPr>
                <w:rStyle w:val="Bold"/>
                <w:sz w:val="17"/>
                <w:szCs w:val="17"/>
              </w:rPr>
              <w:t>15,127,888</w:t>
            </w:r>
          </w:p>
        </w:tc>
        <w:tc>
          <w:tcPr>
            <w:tcW w:w="438" w:type="pct"/>
            <w:tcBorders>
              <w:top w:val="single" w:sz="4" w:space="0" w:color="auto"/>
              <w:bottom w:val="single" w:sz="4" w:space="0" w:color="auto"/>
            </w:tcBorders>
            <w:vAlign w:val="top"/>
          </w:tcPr>
          <w:p w14:paraId="7D55660A" w14:textId="5530980B" w:rsidR="004F0931" w:rsidRPr="00AA67AE" w:rsidRDefault="004F0931" w:rsidP="00AA67AE">
            <w:pPr>
              <w:pStyle w:val="TableBodyText"/>
              <w:rPr>
                <w:rStyle w:val="Bold"/>
                <w:sz w:val="17"/>
                <w:szCs w:val="17"/>
              </w:rPr>
            </w:pPr>
            <w:r w:rsidRPr="00AA67AE">
              <w:rPr>
                <w:rStyle w:val="Bold"/>
                <w:sz w:val="17"/>
                <w:szCs w:val="17"/>
              </w:rPr>
              <w:t>111,420</w:t>
            </w:r>
          </w:p>
        </w:tc>
        <w:tc>
          <w:tcPr>
            <w:tcW w:w="437" w:type="pct"/>
            <w:tcBorders>
              <w:top w:val="single" w:sz="4" w:space="0" w:color="auto"/>
              <w:bottom w:val="single" w:sz="4" w:space="0" w:color="auto"/>
            </w:tcBorders>
            <w:vAlign w:val="top"/>
          </w:tcPr>
          <w:p w14:paraId="50388B5D" w14:textId="474D2065" w:rsidR="004F0931" w:rsidRPr="00AA67AE" w:rsidRDefault="004F0931" w:rsidP="00AA67AE">
            <w:pPr>
              <w:pStyle w:val="TableBodyText"/>
              <w:rPr>
                <w:rStyle w:val="Bold"/>
                <w:sz w:val="17"/>
                <w:szCs w:val="17"/>
              </w:rPr>
            </w:pPr>
            <w:r w:rsidRPr="00AA67AE">
              <w:rPr>
                <w:rStyle w:val="Bold"/>
                <w:sz w:val="17"/>
                <w:szCs w:val="17"/>
              </w:rPr>
              <w:t>1,368,072</w:t>
            </w:r>
          </w:p>
        </w:tc>
        <w:tc>
          <w:tcPr>
            <w:tcW w:w="438" w:type="pct"/>
            <w:tcBorders>
              <w:top w:val="single" w:sz="4" w:space="0" w:color="auto"/>
              <w:bottom w:val="single" w:sz="4" w:space="0" w:color="auto"/>
            </w:tcBorders>
            <w:vAlign w:val="top"/>
          </w:tcPr>
          <w:p w14:paraId="244740D5" w14:textId="6D225472" w:rsidR="004F0931" w:rsidRPr="00AA67AE" w:rsidRDefault="004F0931" w:rsidP="00AA67AE">
            <w:pPr>
              <w:pStyle w:val="TableBodyText"/>
              <w:rPr>
                <w:rStyle w:val="Bold"/>
                <w:sz w:val="17"/>
                <w:szCs w:val="17"/>
              </w:rPr>
            </w:pPr>
            <w:r w:rsidRPr="00AA67AE">
              <w:rPr>
                <w:rStyle w:val="Bold"/>
                <w:sz w:val="17"/>
                <w:szCs w:val="17"/>
              </w:rPr>
              <w:t>27,742</w:t>
            </w:r>
          </w:p>
        </w:tc>
        <w:tc>
          <w:tcPr>
            <w:tcW w:w="438" w:type="pct"/>
            <w:tcBorders>
              <w:top w:val="single" w:sz="4" w:space="0" w:color="auto"/>
              <w:bottom w:val="single" w:sz="4" w:space="0" w:color="auto"/>
            </w:tcBorders>
            <w:vAlign w:val="top"/>
          </w:tcPr>
          <w:p w14:paraId="5C8F013F" w14:textId="752810CB" w:rsidR="004F0931" w:rsidRPr="00AA67AE" w:rsidRDefault="004F0931" w:rsidP="00AA67AE">
            <w:pPr>
              <w:pStyle w:val="TableBodyText"/>
              <w:rPr>
                <w:rStyle w:val="Bold"/>
                <w:sz w:val="17"/>
                <w:szCs w:val="17"/>
              </w:rPr>
            </w:pPr>
            <w:r w:rsidRPr="00AA67AE">
              <w:rPr>
                <w:rStyle w:val="Bold"/>
                <w:sz w:val="17"/>
                <w:szCs w:val="17"/>
              </w:rPr>
              <w:t>1,145</w:t>
            </w:r>
          </w:p>
        </w:tc>
        <w:tc>
          <w:tcPr>
            <w:tcW w:w="437" w:type="pct"/>
            <w:tcBorders>
              <w:top w:val="single" w:sz="4" w:space="0" w:color="auto"/>
              <w:bottom w:val="single" w:sz="4" w:space="0" w:color="auto"/>
            </w:tcBorders>
            <w:vAlign w:val="top"/>
          </w:tcPr>
          <w:p w14:paraId="752FADDE" w14:textId="61832E3C" w:rsidR="004F0931" w:rsidRPr="00AA67AE" w:rsidRDefault="004F0931" w:rsidP="00AA67AE">
            <w:pPr>
              <w:pStyle w:val="TableBodyText"/>
              <w:rPr>
                <w:rStyle w:val="Bold"/>
                <w:sz w:val="17"/>
                <w:szCs w:val="17"/>
              </w:rPr>
            </w:pPr>
            <w:r w:rsidRPr="00AA67AE">
              <w:rPr>
                <w:rStyle w:val="Bold"/>
                <w:sz w:val="17"/>
                <w:szCs w:val="17"/>
              </w:rPr>
              <w:t>17,788</w:t>
            </w:r>
          </w:p>
        </w:tc>
        <w:tc>
          <w:tcPr>
            <w:tcW w:w="438" w:type="pct"/>
            <w:tcBorders>
              <w:top w:val="single" w:sz="4" w:space="0" w:color="auto"/>
              <w:bottom w:val="single" w:sz="4" w:space="0" w:color="auto"/>
            </w:tcBorders>
            <w:vAlign w:val="top"/>
          </w:tcPr>
          <w:p w14:paraId="412E11A3" w14:textId="33A3A570" w:rsidR="004F0931" w:rsidRPr="00AA67AE" w:rsidRDefault="004F0931" w:rsidP="00AA67AE">
            <w:pPr>
              <w:pStyle w:val="TableBodyText"/>
              <w:rPr>
                <w:rStyle w:val="Bold"/>
                <w:sz w:val="17"/>
                <w:szCs w:val="17"/>
              </w:rPr>
            </w:pPr>
            <w:r w:rsidRPr="00AA67AE">
              <w:rPr>
                <w:rStyle w:val="Bold"/>
                <w:sz w:val="17"/>
                <w:szCs w:val="17"/>
              </w:rPr>
              <w:t>13,665</w:t>
            </w:r>
          </w:p>
        </w:tc>
        <w:tc>
          <w:tcPr>
            <w:tcW w:w="437" w:type="pct"/>
            <w:tcBorders>
              <w:top w:val="single" w:sz="4" w:space="0" w:color="auto"/>
              <w:bottom w:val="single" w:sz="4" w:space="0" w:color="auto"/>
            </w:tcBorders>
            <w:vAlign w:val="top"/>
          </w:tcPr>
          <w:p w14:paraId="1F677AF3" w14:textId="20AEB809" w:rsidR="004F0931" w:rsidRPr="00AA67AE" w:rsidRDefault="004F0931" w:rsidP="00AA67AE">
            <w:pPr>
              <w:pStyle w:val="TableBodyText"/>
              <w:rPr>
                <w:rStyle w:val="Bold"/>
                <w:sz w:val="17"/>
                <w:szCs w:val="17"/>
              </w:rPr>
            </w:pPr>
            <w:r w:rsidRPr="00AA67AE">
              <w:rPr>
                <w:rStyle w:val="Bold"/>
                <w:sz w:val="17"/>
                <w:szCs w:val="17"/>
              </w:rPr>
              <w:t>8,873,139</w:t>
            </w:r>
          </w:p>
        </w:tc>
        <w:tc>
          <w:tcPr>
            <w:tcW w:w="438" w:type="pct"/>
            <w:tcBorders>
              <w:top w:val="single" w:sz="4" w:space="0" w:color="auto"/>
              <w:bottom w:val="single" w:sz="4" w:space="0" w:color="auto"/>
            </w:tcBorders>
            <w:vAlign w:val="top"/>
          </w:tcPr>
          <w:p w14:paraId="5FE482DC" w14:textId="444096DA" w:rsidR="004F0931" w:rsidRPr="00AA67AE" w:rsidRDefault="004F0931" w:rsidP="00AA67AE">
            <w:pPr>
              <w:pStyle w:val="TableBodyText"/>
              <w:rPr>
                <w:rStyle w:val="Bold"/>
                <w:sz w:val="17"/>
                <w:szCs w:val="17"/>
              </w:rPr>
            </w:pPr>
            <w:r w:rsidRPr="00AA67AE">
              <w:rPr>
                <w:rStyle w:val="Bold"/>
                <w:sz w:val="17"/>
                <w:szCs w:val="17"/>
              </w:rPr>
              <w:t>4,071,895</w:t>
            </w:r>
          </w:p>
        </w:tc>
        <w:tc>
          <w:tcPr>
            <w:tcW w:w="428" w:type="pct"/>
            <w:tcBorders>
              <w:top w:val="single" w:sz="4" w:space="0" w:color="auto"/>
              <w:bottom w:val="single" w:sz="4" w:space="0" w:color="auto"/>
            </w:tcBorders>
            <w:vAlign w:val="top"/>
          </w:tcPr>
          <w:p w14:paraId="5C7D0FCE" w14:textId="319DE7D2" w:rsidR="004F0931" w:rsidRPr="00AA67AE" w:rsidRDefault="004F0931" w:rsidP="00AA67AE">
            <w:pPr>
              <w:pStyle w:val="TableBodyText"/>
              <w:rPr>
                <w:rStyle w:val="Bold"/>
                <w:sz w:val="17"/>
                <w:szCs w:val="17"/>
              </w:rPr>
            </w:pPr>
            <w:r w:rsidRPr="00AA67AE">
              <w:rPr>
                <w:rStyle w:val="Bold"/>
                <w:sz w:val="17"/>
                <w:szCs w:val="17"/>
              </w:rPr>
              <w:t>643,022</w:t>
            </w:r>
          </w:p>
        </w:tc>
      </w:tr>
    </w:tbl>
    <w:p w14:paraId="3A87A8D3" w14:textId="0E2BD910" w:rsidR="004F0931" w:rsidRPr="00E00F3F" w:rsidRDefault="004F0931" w:rsidP="004F0931">
      <w:pPr>
        <w:pStyle w:val="BodyText"/>
        <w:rPr>
          <w:rStyle w:val="Bold"/>
          <w:lang w:eastAsia="en-US"/>
        </w:rPr>
      </w:pPr>
      <w:r>
        <w:rPr>
          <w:rStyle w:val="Bold"/>
        </w:rPr>
        <w:t xml:space="preserve">At </w:t>
      </w:r>
      <w:r w:rsidRPr="00E00F3F">
        <w:rPr>
          <w:rStyle w:val="Bold"/>
        </w:rPr>
        <w:t>30 June 202</w:t>
      </w:r>
      <w:r>
        <w:rPr>
          <w:rStyle w:val="Bold"/>
        </w:rPr>
        <w:t>0</w:t>
      </w:r>
    </w:p>
    <w:tbl>
      <w:tblPr>
        <w:tblStyle w:val="Style1"/>
        <w:tblW w:w="5000" w:type="pct"/>
        <w:tblLayout w:type="fixed"/>
        <w:tblLook w:val="0660" w:firstRow="1" w:lastRow="1" w:firstColumn="0" w:lastColumn="0" w:noHBand="1" w:noVBand="1"/>
      </w:tblPr>
      <w:tblGrid>
        <w:gridCol w:w="1703"/>
        <w:gridCol w:w="1275"/>
        <w:gridCol w:w="1277"/>
        <w:gridCol w:w="1276"/>
        <w:gridCol w:w="1274"/>
        <w:gridCol w:w="1419"/>
        <w:gridCol w:w="1274"/>
        <w:gridCol w:w="1276"/>
        <w:gridCol w:w="1285"/>
        <w:gridCol w:w="1271"/>
        <w:gridCol w:w="1241"/>
      </w:tblGrid>
      <w:tr w:rsidR="004F0931" w:rsidRPr="001D2D74" w14:paraId="7FCFA1F1" w14:textId="77777777" w:rsidTr="002B25DA">
        <w:trPr>
          <w:cnfStyle w:val="100000000000" w:firstRow="1" w:lastRow="0" w:firstColumn="0" w:lastColumn="0" w:oddVBand="0" w:evenVBand="0" w:oddHBand="0" w:evenHBand="0" w:firstRowFirstColumn="0" w:firstRowLastColumn="0" w:lastRowFirstColumn="0" w:lastRowLastColumn="0"/>
          <w:trHeight w:val="20"/>
        </w:trPr>
        <w:tc>
          <w:tcPr>
            <w:tcW w:w="584" w:type="pct"/>
            <w:tcBorders>
              <w:top w:val="single" w:sz="4" w:space="0" w:color="auto"/>
            </w:tcBorders>
            <w:vAlign w:val="bottom"/>
          </w:tcPr>
          <w:p w14:paraId="0164813F" w14:textId="77777777" w:rsidR="004F0931" w:rsidRPr="001D2D74" w:rsidRDefault="004F0931" w:rsidP="001D2D74">
            <w:pPr>
              <w:rPr>
                <w:sz w:val="17"/>
                <w:szCs w:val="17"/>
              </w:rPr>
            </w:pPr>
            <w:bookmarkStart w:id="1002" w:name="ColumnTitle_62"/>
            <w:r w:rsidRPr="001D2D74">
              <w:rPr>
                <w:sz w:val="17"/>
                <w:szCs w:val="17"/>
              </w:rPr>
              <w:t>Item</w:t>
            </w:r>
          </w:p>
        </w:tc>
        <w:tc>
          <w:tcPr>
            <w:tcW w:w="437" w:type="pct"/>
            <w:tcBorders>
              <w:top w:val="single" w:sz="4" w:space="0" w:color="auto"/>
            </w:tcBorders>
            <w:vAlign w:val="bottom"/>
          </w:tcPr>
          <w:p w14:paraId="07BEF228" w14:textId="77777777" w:rsidR="004F0931" w:rsidRPr="001D2D74" w:rsidRDefault="004F0931" w:rsidP="001D2D74">
            <w:pPr>
              <w:rPr>
                <w:sz w:val="17"/>
                <w:szCs w:val="17"/>
              </w:rPr>
            </w:pPr>
            <w:r w:rsidRPr="001D2D74">
              <w:rPr>
                <w:sz w:val="17"/>
                <w:szCs w:val="17"/>
              </w:rPr>
              <w:t>Total</w:t>
            </w:r>
          </w:p>
          <w:p w14:paraId="435C98B6" w14:textId="77777777" w:rsidR="004F0931" w:rsidRPr="001D2D74" w:rsidRDefault="004F0931" w:rsidP="001D2D74">
            <w:pPr>
              <w:rPr>
                <w:sz w:val="17"/>
                <w:szCs w:val="17"/>
              </w:rPr>
            </w:pPr>
            <w:r w:rsidRPr="001D2D74">
              <w:rPr>
                <w:sz w:val="17"/>
                <w:szCs w:val="17"/>
              </w:rPr>
              <w:t>($ thousands)</w:t>
            </w:r>
          </w:p>
        </w:tc>
        <w:tc>
          <w:tcPr>
            <w:tcW w:w="438" w:type="pct"/>
            <w:tcBorders>
              <w:top w:val="single" w:sz="4" w:space="0" w:color="auto"/>
            </w:tcBorders>
            <w:vAlign w:val="bottom"/>
          </w:tcPr>
          <w:p w14:paraId="15D58D5E" w14:textId="264AF223" w:rsidR="004F0931" w:rsidRPr="001D2D74" w:rsidRDefault="004F0931" w:rsidP="001D2D74">
            <w:pPr>
              <w:rPr>
                <w:sz w:val="17"/>
                <w:szCs w:val="17"/>
              </w:rPr>
            </w:pPr>
            <w:r w:rsidRPr="001D2D74">
              <w:rPr>
                <w:sz w:val="17"/>
                <w:szCs w:val="17"/>
              </w:rPr>
              <w:t>Crown</w:t>
            </w:r>
            <w:r w:rsidR="001D2D74">
              <w:rPr>
                <w:sz w:val="17"/>
                <w:szCs w:val="17"/>
              </w:rPr>
              <w:t xml:space="preserve"> </w:t>
            </w:r>
            <w:r w:rsidRPr="001D2D74">
              <w:rPr>
                <w:sz w:val="17"/>
                <w:szCs w:val="17"/>
              </w:rPr>
              <w:t>land</w:t>
            </w:r>
          </w:p>
          <w:p w14:paraId="3C9D1D00" w14:textId="77777777" w:rsidR="004F0931" w:rsidRPr="001D2D74" w:rsidRDefault="004F0931" w:rsidP="001D2D74">
            <w:pPr>
              <w:rPr>
                <w:sz w:val="17"/>
                <w:szCs w:val="17"/>
              </w:rPr>
            </w:pPr>
            <w:r w:rsidRPr="001D2D74">
              <w:rPr>
                <w:sz w:val="17"/>
                <w:szCs w:val="17"/>
              </w:rPr>
              <w:t>($ thousands)</w:t>
            </w:r>
          </w:p>
        </w:tc>
        <w:tc>
          <w:tcPr>
            <w:tcW w:w="438" w:type="pct"/>
            <w:tcBorders>
              <w:top w:val="single" w:sz="4" w:space="0" w:color="auto"/>
            </w:tcBorders>
            <w:vAlign w:val="bottom"/>
          </w:tcPr>
          <w:p w14:paraId="0E3D5604" w14:textId="7049BF94" w:rsidR="004F0931" w:rsidRPr="001D2D74" w:rsidRDefault="004F0931" w:rsidP="001D2D74">
            <w:pPr>
              <w:rPr>
                <w:sz w:val="17"/>
                <w:szCs w:val="17"/>
              </w:rPr>
            </w:pPr>
            <w:r w:rsidRPr="001D2D74">
              <w:rPr>
                <w:sz w:val="17"/>
                <w:szCs w:val="17"/>
              </w:rPr>
              <w:t>Freehold</w:t>
            </w:r>
            <w:r w:rsidR="001D2D74">
              <w:rPr>
                <w:sz w:val="17"/>
                <w:szCs w:val="17"/>
              </w:rPr>
              <w:t xml:space="preserve"> </w:t>
            </w:r>
            <w:r w:rsidRPr="001D2D74">
              <w:rPr>
                <w:sz w:val="17"/>
                <w:szCs w:val="17"/>
              </w:rPr>
              <w:t>land</w:t>
            </w:r>
          </w:p>
          <w:p w14:paraId="6219902C" w14:textId="77777777" w:rsidR="004F0931" w:rsidRPr="001D2D74" w:rsidRDefault="004F0931" w:rsidP="001D2D74">
            <w:pPr>
              <w:rPr>
                <w:sz w:val="17"/>
                <w:szCs w:val="17"/>
              </w:rPr>
            </w:pPr>
            <w:r w:rsidRPr="001D2D74">
              <w:rPr>
                <w:sz w:val="17"/>
                <w:szCs w:val="17"/>
              </w:rPr>
              <w:t>($ thousands)</w:t>
            </w:r>
          </w:p>
        </w:tc>
        <w:tc>
          <w:tcPr>
            <w:tcW w:w="437" w:type="pct"/>
            <w:tcBorders>
              <w:top w:val="single" w:sz="4" w:space="0" w:color="auto"/>
            </w:tcBorders>
            <w:vAlign w:val="bottom"/>
          </w:tcPr>
          <w:p w14:paraId="09BCD515" w14:textId="77777777" w:rsidR="004F0931" w:rsidRPr="001D2D74" w:rsidRDefault="004F0931" w:rsidP="001D2D74">
            <w:pPr>
              <w:rPr>
                <w:sz w:val="17"/>
                <w:szCs w:val="17"/>
              </w:rPr>
            </w:pPr>
            <w:r w:rsidRPr="001D2D74">
              <w:rPr>
                <w:sz w:val="17"/>
                <w:szCs w:val="17"/>
              </w:rPr>
              <w:t>Buildings</w:t>
            </w:r>
          </w:p>
          <w:p w14:paraId="2C474C17" w14:textId="77777777" w:rsidR="004F0931" w:rsidRPr="001D2D74" w:rsidRDefault="004F0931" w:rsidP="001D2D74">
            <w:pPr>
              <w:rPr>
                <w:sz w:val="17"/>
                <w:szCs w:val="17"/>
              </w:rPr>
            </w:pPr>
            <w:r w:rsidRPr="001D2D74">
              <w:rPr>
                <w:sz w:val="17"/>
                <w:szCs w:val="17"/>
              </w:rPr>
              <w:t>($ thousands)</w:t>
            </w:r>
          </w:p>
        </w:tc>
        <w:tc>
          <w:tcPr>
            <w:tcW w:w="487" w:type="pct"/>
            <w:tcBorders>
              <w:top w:val="single" w:sz="4" w:space="0" w:color="auto"/>
            </w:tcBorders>
            <w:vAlign w:val="bottom"/>
          </w:tcPr>
          <w:p w14:paraId="72CF60D4" w14:textId="7A5A2556" w:rsidR="004F0931" w:rsidRPr="001D2D74" w:rsidRDefault="004F0931" w:rsidP="001D2D74">
            <w:pPr>
              <w:rPr>
                <w:sz w:val="17"/>
                <w:szCs w:val="17"/>
              </w:rPr>
            </w:pPr>
            <w:r w:rsidRPr="001D2D74">
              <w:rPr>
                <w:sz w:val="17"/>
                <w:szCs w:val="17"/>
              </w:rPr>
              <w:t>Leasehold</w:t>
            </w:r>
            <w:r w:rsidR="001D2D74">
              <w:rPr>
                <w:sz w:val="17"/>
                <w:szCs w:val="17"/>
              </w:rPr>
              <w:t xml:space="preserve"> i</w:t>
            </w:r>
            <w:r w:rsidRPr="001D2D74">
              <w:rPr>
                <w:sz w:val="17"/>
                <w:szCs w:val="17"/>
              </w:rPr>
              <w:t>mprovements</w:t>
            </w:r>
          </w:p>
          <w:p w14:paraId="18C2A6CB" w14:textId="77777777" w:rsidR="004F0931" w:rsidRPr="001D2D74" w:rsidRDefault="004F0931" w:rsidP="001D2D74">
            <w:pPr>
              <w:rPr>
                <w:sz w:val="17"/>
                <w:szCs w:val="17"/>
              </w:rPr>
            </w:pPr>
            <w:r w:rsidRPr="001D2D74">
              <w:rPr>
                <w:sz w:val="17"/>
                <w:szCs w:val="17"/>
              </w:rPr>
              <w:t>($ thousands)</w:t>
            </w:r>
          </w:p>
        </w:tc>
        <w:tc>
          <w:tcPr>
            <w:tcW w:w="437" w:type="pct"/>
            <w:tcBorders>
              <w:top w:val="single" w:sz="4" w:space="0" w:color="auto"/>
            </w:tcBorders>
            <w:vAlign w:val="bottom"/>
          </w:tcPr>
          <w:p w14:paraId="63314D8B" w14:textId="3AE4E831" w:rsidR="004F0931" w:rsidRPr="001D2D74" w:rsidRDefault="004F0931" w:rsidP="001D2D74">
            <w:pPr>
              <w:rPr>
                <w:sz w:val="17"/>
                <w:szCs w:val="17"/>
              </w:rPr>
            </w:pPr>
            <w:r w:rsidRPr="001D2D74">
              <w:rPr>
                <w:sz w:val="17"/>
                <w:szCs w:val="17"/>
              </w:rPr>
              <w:t>Plant and</w:t>
            </w:r>
            <w:r w:rsidR="001D2D74">
              <w:rPr>
                <w:sz w:val="17"/>
                <w:szCs w:val="17"/>
              </w:rPr>
              <w:t xml:space="preserve"> e</w:t>
            </w:r>
            <w:r w:rsidRPr="001D2D74">
              <w:rPr>
                <w:sz w:val="17"/>
                <w:szCs w:val="17"/>
              </w:rPr>
              <w:t>quipment</w:t>
            </w:r>
          </w:p>
          <w:p w14:paraId="7578CA19" w14:textId="77777777" w:rsidR="004F0931" w:rsidRPr="001D2D74" w:rsidRDefault="004F0931" w:rsidP="001D2D74">
            <w:pPr>
              <w:rPr>
                <w:sz w:val="17"/>
                <w:szCs w:val="17"/>
              </w:rPr>
            </w:pPr>
            <w:r w:rsidRPr="001D2D74">
              <w:rPr>
                <w:sz w:val="17"/>
                <w:szCs w:val="17"/>
              </w:rPr>
              <w:t>($ thousands)</w:t>
            </w:r>
          </w:p>
        </w:tc>
        <w:tc>
          <w:tcPr>
            <w:tcW w:w="438" w:type="pct"/>
            <w:tcBorders>
              <w:top w:val="single" w:sz="4" w:space="0" w:color="auto"/>
            </w:tcBorders>
            <w:vAlign w:val="bottom"/>
          </w:tcPr>
          <w:p w14:paraId="0BE45AD1" w14:textId="0B3F43A0" w:rsidR="004F0931" w:rsidRPr="001D2D74" w:rsidRDefault="004F0931" w:rsidP="001D2D74">
            <w:pPr>
              <w:rPr>
                <w:sz w:val="17"/>
                <w:szCs w:val="17"/>
              </w:rPr>
            </w:pPr>
            <w:r w:rsidRPr="001D2D74">
              <w:rPr>
                <w:sz w:val="17"/>
                <w:szCs w:val="17"/>
              </w:rPr>
              <w:t>Fleet</w:t>
            </w:r>
            <w:r w:rsidR="001D2D74">
              <w:rPr>
                <w:sz w:val="17"/>
                <w:szCs w:val="17"/>
              </w:rPr>
              <w:t xml:space="preserve"> v</w:t>
            </w:r>
            <w:r w:rsidRPr="001D2D74">
              <w:rPr>
                <w:sz w:val="17"/>
                <w:szCs w:val="17"/>
              </w:rPr>
              <w:t>ehicles</w:t>
            </w:r>
          </w:p>
          <w:p w14:paraId="527CCE1B" w14:textId="77777777" w:rsidR="004F0931" w:rsidRPr="001D2D74" w:rsidRDefault="004F0931" w:rsidP="001D2D74">
            <w:pPr>
              <w:rPr>
                <w:sz w:val="17"/>
                <w:szCs w:val="17"/>
              </w:rPr>
            </w:pPr>
            <w:r w:rsidRPr="001D2D74">
              <w:rPr>
                <w:sz w:val="17"/>
                <w:szCs w:val="17"/>
              </w:rPr>
              <w:t>($ thousands)</w:t>
            </w:r>
          </w:p>
        </w:tc>
        <w:tc>
          <w:tcPr>
            <w:tcW w:w="441" w:type="pct"/>
            <w:tcBorders>
              <w:top w:val="single" w:sz="4" w:space="0" w:color="auto"/>
            </w:tcBorders>
            <w:vAlign w:val="bottom"/>
          </w:tcPr>
          <w:p w14:paraId="18FBB4E8" w14:textId="77777777" w:rsidR="004F0931" w:rsidRPr="001D2D74" w:rsidRDefault="004F0931" w:rsidP="001D2D74">
            <w:pPr>
              <w:rPr>
                <w:sz w:val="17"/>
                <w:szCs w:val="17"/>
              </w:rPr>
            </w:pPr>
            <w:r w:rsidRPr="001D2D74">
              <w:rPr>
                <w:sz w:val="17"/>
                <w:szCs w:val="17"/>
              </w:rPr>
              <w:t>Infrastructure</w:t>
            </w:r>
          </w:p>
          <w:p w14:paraId="0B57EC9F" w14:textId="77777777" w:rsidR="004F0931" w:rsidRPr="001D2D74" w:rsidRDefault="004F0931" w:rsidP="001D2D74">
            <w:pPr>
              <w:rPr>
                <w:sz w:val="17"/>
                <w:szCs w:val="17"/>
              </w:rPr>
            </w:pPr>
            <w:r w:rsidRPr="001D2D74">
              <w:rPr>
                <w:sz w:val="17"/>
                <w:szCs w:val="17"/>
              </w:rPr>
              <w:t>($ thousands)</w:t>
            </w:r>
          </w:p>
        </w:tc>
        <w:tc>
          <w:tcPr>
            <w:tcW w:w="436" w:type="pct"/>
            <w:tcBorders>
              <w:top w:val="single" w:sz="4" w:space="0" w:color="auto"/>
            </w:tcBorders>
            <w:vAlign w:val="bottom"/>
          </w:tcPr>
          <w:p w14:paraId="518C9403" w14:textId="4E449C89" w:rsidR="004F0931" w:rsidRPr="001D2D74" w:rsidRDefault="00DC0A06" w:rsidP="001D2D74">
            <w:pPr>
              <w:rPr>
                <w:sz w:val="17"/>
                <w:szCs w:val="17"/>
              </w:rPr>
            </w:pPr>
            <w:r>
              <w:rPr>
                <w:sz w:val="17"/>
                <w:szCs w:val="17"/>
              </w:rPr>
              <w:t>Victorian Desalination Plant</w:t>
            </w:r>
            <w:r w:rsidR="004F0931" w:rsidRPr="001D2D74">
              <w:rPr>
                <w:sz w:val="17"/>
                <w:szCs w:val="17"/>
              </w:rPr>
              <w:t xml:space="preserve"> service</w:t>
            </w:r>
            <w:r w:rsidR="001D2D74">
              <w:rPr>
                <w:sz w:val="17"/>
                <w:szCs w:val="17"/>
              </w:rPr>
              <w:t xml:space="preserve"> c</w:t>
            </w:r>
            <w:r w:rsidR="004F0931" w:rsidRPr="001D2D74">
              <w:rPr>
                <w:sz w:val="17"/>
                <w:szCs w:val="17"/>
              </w:rPr>
              <w:t>oncession</w:t>
            </w:r>
            <w:r w:rsidR="001D2D74">
              <w:rPr>
                <w:sz w:val="17"/>
                <w:szCs w:val="17"/>
              </w:rPr>
              <w:t xml:space="preserve"> a</w:t>
            </w:r>
            <w:r w:rsidR="004F0931" w:rsidRPr="001D2D74">
              <w:rPr>
                <w:sz w:val="17"/>
                <w:szCs w:val="17"/>
              </w:rPr>
              <w:t>sset</w:t>
            </w:r>
          </w:p>
          <w:p w14:paraId="1917101B" w14:textId="77777777" w:rsidR="004F0931" w:rsidRPr="001D2D74" w:rsidRDefault="004F0931" w:rsidP="001D2D74">
            <w:pPr>
              <w:rPr>
                <w:sz w:val="17"/>
                <w:szCs w:val="17"/>
              </w:rPr>
            </w:pPr>
            <w:r w:rsidRPr="001D2D74">
              <w:rPr>
                <w:sz w:val="17"/>
                <w:szCs w:val="17"/>
              </w:rPr>
              <w:t>($ thousands)</w:t>
            </w:r>
          </w:p>
        </w:tc>
        <w:tc>
          <w:tcPr>
            <w:tcW w:w="426" w:type="pct"/>
            <w:tcBorders>
              <w:top w:val="single" w:sz="4" w:space="0" w:color="auto"/>
            </w:tcBorders>
            <w:vAlign w:val="bottom"/>
          </w:tcPr>
          <w:p w14:paraId="1AFC00F2" w14:textId="42091442" w:rsidR="004F0931" w:rsidRPr="001D2D74" w:rsidRDefault="004F0931" w:rsidP="001D2D74">
            <w:pPr>
              <w:rPr>
                <w:sz w:val="17"/>
                <w:szCs w:val="17"/>
              </w:rPr>
            </w:pPr>
            <w:r w:rsidRPr="001D2D74">
              <w:rPr>
                <w:sz w:val="17"/>
                <w:szCs w:val="17"/>
              </w:rPr>
              <w:t>Capital works</w:t>
            </w:r>
            <w:r w:rsidR="001D2D74">
              <w:rPr>
                <w:sz w:val="17"/>
                <w:szCs w:val="17"/>
              </w:rPr>
              <w:t xml:space="preserve"> i</w:t>
            </w:r>
            <w:r w:rsidRPr="001D2D74">
              <w:rPr>
                <w:sz w:val="17"/>
                <w:szCs w:val="17"/>
              </w:rPr>
              <w:t>n progress</w:t>
            </w:r>
          </w:p>
          <w:p w14:paraId="50BD0E04" w14:textId="77777777" w:rsidR="004F0931" w:rsidRPr="001D2D74" w:rsidRDefault="004F0931" w:rsidP="001D2D74">
            <w:pPr>
              <w:rPr>
                <w:sz w:val="17"/>
                <w:szCs w:val="17"/>
              </w:rPr>
            </w:pPr>
            <w:r w:rsidRPr="001D2D74">
              <w:rPr>
                <w:sz w:val="17"/>
                <w:szCs w:val="17"/>
              </w:rPr>
              <w:t>($ thousands)</w:t>
            </w:r>
          </w:p>
        </w:tc>
      </w:tr>
      <w:bookmarkEnd w:id="1002"/>
      <w:tr w:rsidR="004F0931" w:rsidRPr="001D2D74" w14:paraId="460F1BA5" w14:textId="77777777" w:rsidTr="001D2D74">
        <w:trPr>
          <w:trHeight w:val="20"/>
        </w:trPr>
        <w:tc>
          <w:tcPr>
            <w:tcW w:w="584" w:type="pct"/>
            <w:vAlign w:val="top"/>
          </w:tcPr>
          <w:p w14:paraId="5B84895E" w14:textId="0ABC3C34" w:rsidR="004F0931" w:rsidRPr="001D2D74" w:rsidRDefault="004F0931" w:rsidP="001D2D74">
            <w:pPr>
              <w:pStyle w:val="TableBodyText"/>
              <w:rPr>
                <w:sz w:val="17"/>
                <w:szCs w:val="17"/>
              </w:rPr>
            </w:pPr>
            <w:r w:rsidRPr="001D2D74">
              <w:rPr>
                <w:sz w:val="17"/>
                <w:szCs w:val="17"/>
              </w:rPr>
              <w:t>Gross carrying amount</w:t>
            </w:r>
          </w:p>
        </w:tc>
        <w:tc>
          <w:tcPr>
            <w:tcW w:w="437" w:type="pct"/>
            <w:vAlign w:val="top"/>
          </w:tcPr>
          <w:p w14:paraId="0696CDDE" w14:textId="12A045C5" w:rsidR="004F0931" w:rsidRPr="001D2D74" w:rsidRDefault="004F0931" w:rsidP="001D2D74">
            <w:pPr>
              <w:pStyle w:val="TableBodyText"/>
              <w:rPr>
                <w:sz w:val="17"/>
                <w:szCs w:val="17"/>
              </w:rPr>
            </w:pPr>
            <w:r w:rsidRPr="001D2D74">
              <w:rPr>
                <w:sz w:val="17"/>
                <w:szCs w:val="17"/>
              </w:rPr>
              <w:t>16,846,390</w:t>
            </w:r>
          </w:p>
        </w:tc>
        <w:tc>
          <w:tcPr>
            <w:tcW w:w="438" w:type="pct"/>
            <w:vAlign w:val="top"/>
          </w:tcPr>
          <w:p w14:paraId="626474A5" w14:textId="24981DDE" w:rsidR="004F0931" w:rsidRPr="001D2D74" w:rsidRDefault="004F0931" w:rsidP="001D2D74">
            <w:pPr>
              <w:pStyle w:val="TableBodyText"/>
              <w:rPr>
                <w:sz w:val="17"/>
                <w:szCs w:val="17"/>
              </w:rPr>
            </w:pPr>
            <w:r w:rsidRPr="001D2D74">
              <w:rPr>
                <w:sz w:val="17"/>
                <w:szCs w:val="17"/>
              </w:rPr>
              <w:t>111,420</w:t>
            </w:r>
          </w:p>
        </w:tc>
        <w:tc>
          <w:tcPr>
            <w:tcW w:w="438" w:type="pct"/>
            <w:vAlign w:val="top"/>
          </w:tcPr>
          <w:p w14:paraId="42DBC438" w14:textId="426F4118" w:rsidR="004F0931" w:rsidRPr="001D2D74" w:rsidRDefault="004F0931" w:rsidP="001D2D74">
            <w:pPr>
              <w:pStyle w:val="TableBodyText"/>
              <w:rPr>
                <w:sz w:val="17"/>
                <w:szCs w:val="17"/>
              </w:rPr>
            </w:pPr>
            <w:r w:rsidRPr="001D2D74">
              <w:rPr>
                <w:sz w:val="17"/>
                <w:szCs w:val="17"/>
              </w:rPr>
              <w:t>1,368,072</w:t>
            </w:r>
          </w:p>
        </w:tc>
        <w:tc>
          <w:tcPr>
            <w:tcW w:w="437" w:type="pct"/>
            <w:vAlign w:val="top"/>
          </w:tcPr>
          <w:p w14:paraId="04036FDD" w14:textId="73719122" w:rsidR="004F0931" w:rsidRPr="001D2D74" w:rsidRDefault="004F0931" w:rsidP="001D2D74">
            <w:pPr>
              <w:pStyle w:val="TableBodyText"/>
              <w:rPr>
                <w:sz w:val="17"/>
                <w:szCs w:val="17"/>
              </w:rPr>
            </w:pPr>
            <w:r w:rsidRPr="001D2D74">
              <w:rPr>
                <w:sz w:val="17"/>
                <w:szCs w:val="17"/>
              </w:rPr>
              <w:t>30,968</w:t>
            </w:r>
          </w:p>
        </w:tc>
        <w:tc>
          <w:tcPr>
            <w:tcW w:w="487" w:type="pct"/>
            <w:vAlign w:val="top"/>
          </w:tcPr>
          <w:p w14:paraId="12E72AC2" w14:textId="0616737E" w:rsidR="004F0931" w:rsidRPr="001D2D74" w:rsidRDefault="004F0931" w:rsidP="001D2D74">
            <w:pPr>
              <w:pStyle w:val="TableBodyText"/>
              <w:rPr>
                <w:sz w:val="17"/>
                <w:szCs w:val="17"/>
              </w:rPr>
            </w:pPr>
            <w:r w:rsidRPr="001D2D74">
              <w:rPr>
                <w:sz w:val="17"/>
                <w:szCs w:val="17"/>
              </w:rPr>
              <w:t>2,441</w:t>
            </w:r>
          </w:p>
        </w:tc>
        <w:tc>
          <w:tcPr>
            <w:tcW w:w="437" w:type="pct"/>
            <w:vAlign w:val="top"/>
          </w:tcPr>
          <w:p w14:paraId="4960142A" w14:textId="03F2CE6D" w:rsidR="004F0931" w:rsidRPr="001D2D74" w:rsidRDefault="006945F4" w:rsidP="001D2D74">
            <w:pPr>
              <w:pStyle w:val="TableBodyText"/>
              <w:rPr>
                <w:sz w:val="17"/>
                <w:szCs w:val="17"/>
              </w:rPr>
            </w:pPr>
            <w:r>
              <w:rPr>
                <w:sz w:val="17"/>
                <w:szCs w:val="17"/>
              </w:rPr>
              <w:t>98,264</w:t>
            </w:r>
          </w:p>
        </w:tc>
        <w:tc>
          <w:tcPr>
            <w:tcW w:w="438" w:type="pct"/>
            <w:vAlign w:val="top"/>
          </w:tcPr>
          <w:p w14:paraId="05F2783C" w14:textId="78936D12" w:rsidR="004F0931" w:rsidRPr="001D2D74" w:rsidRDefault="00186611" w:rsidP="001D2D74">
            <w:pPr>
              <w:pStyle w:val="TableBodyText"/>
              <w:rPr>
                <w:sz w:val="17"/>
                <w:szCs w:val="17"/>
              </w:rPr>
            </w:pPr>
            <w:r w:rsidRPr="001D2D74">
              <w:rPr>
                <w:sz w:val="17"/>
                <w:szCs w:val="17"/>
              </w:rPr>
              <w:t>21,643</w:t>
            </w:r>
          </w:p>
        </w:tc>
        <w:tc>
          <w:tcPr>
            <w:tcW w:w="441" w:type="pct"/>
            <w:vAlign w:val="top"/>
          </w:tcPr>
          <w:p w14:paraId="41FB5BA1" w14:textId="12114471" w:rsidR="004F0931" w:rsidRPr="001D2D74" w:rsidRDefault="00186611" w:rsidP="001D2D74">
            <w:pPr>
              <w:pStyle w:val="TableBodyText"/>
              <w:rPr>
                <w:sz w:val="17"/>
                <w:szCs w:val="17"/>
              </w:rPr>
            </w:pPr>
            <w:r w:rsidRPr="001D2D74">
              <w:rPr>
                <w:sz w:val="17"/>
                <w:szCs w:val="17"/>
              </w:rPr>
              <w:t>9,907,767</w:t>
            </w:r>
          </w:p>
        </w:tc>
        <w:tc>
          <w:tcPr>
            <w:tcW w:w="436" w:type="pct"/>
            <w:vAlign w:val="top"/>
          </w:tcPr>
          <w:p w14:paraId="62F7146A" w14:textId="6B51ADEF" w:rsidR="004F0931" w:rsidRPr="001D2D74" w:rsidRDefault="00186611" w:rsidP="001D2D74">
            <w:pPr>
              <w:pStyle w:val="TableBodyText"/>
              <w:rPr>
                <w:sz w:val="17"/>
                <w:szCs w:val="17"/>
              </w:rPr>
            </w:pPr>
            <w:r w:rsidRPr="001D2D74">
              <w:rPr>
                <w:sz w:val="17"/>
                <w:szCs w:val="17"/>
              </w:rPr>
              <w:t>4,662,793</w:t>
            </w:r>
          </w:p>
        </w:tc>
        <w:tc>
          <w:tcPr>
            <w:tcW w:w="426" w:type="pct"/>
            <w:vAlign w:val="top"/>
          </w:tcPr>
          <w:p w14:paraId="3BD71A0C" w14:textId="29C6EAD2" w:rsidR="004F0931" w:rsidRPr="001D2D74" w:rsidRDefault="00186611" w:rsidP="001D2D74">
            <w:pPr>
              <w:pStyle w:val="TableBodyText"/>
              <w:rPr>
                <w:sz w:val="17"/>
                <w:szCs w:val="17"/>
              </w:rPr>
            </w:pPr>
            <w:r w:rsidRPr="001D2D74">
              <w:rPr>
                <w:sz w:val="17"/>
                <w:szCs w:val="17"/>
              </w:rPr>
              <w:t>643,022</w:t>
            </w:r>
          </w:p>
        </w:tc>
      </w:tr>
      <w:tr w:rsidR="004F0931" w:rsidRPr="001D2D74" w14:paraId="24149FB3" w14:textId="77777777" w:rsidTr="002B25DA">
        <w:trPr>
          <w:trHeight w:val="20"/>
        </w:trPr>
        <w:tc>
          <w:tcPr>
            <w:tcW w:w="584" w:type="pct"/>
            <w:tcBorders>
              <w:bottom w:val="single" w:sz="4" w:space="0" w:color="auto"/>
            </w:tcBorders>
            <w:vAlign w:val="top"/>
          </w:tcPr>
          <w:p w14:paraId="4CA46840" w14:textId="4E24A750" w:rsidR="004F0931" w:rsidRPr="001D2D74" w:rsidRDefault="00186611" w:rsidP="001D2D74">
            <w:pPr>
              <w:pStyle w:val="TableBodyText"/>
              <w:rPr>
                <w:sz w:val="17"/>
                <w:szCs w:val="17"/>
              </w:rPr>
            </w:pPr>
            <w:r w:rsidRPr="001D2D74">
              <w:rPr>
                <w:sz w:val="17"/>
                <w:szCs w:val="17"/>
              </w:rPr>
              <w:t>Accumulated depreciation</w:t>
            </w:r>
          </w:p>
        </w:tc>
        <w:tc>
          <w:tcPr>
            <w:tcW w:w="437" w:type="pct"/>
            <w:tcBorders>
              <w:bottom w:val="single" w:sz="4" w:space="0" w:color="auto"/>
            </w:tcBorders>
            <w:vAlign w:val="top"/>
          </w:tcPr>
          <w:p w14:paraId="5A403AE3" w14:textId="2A771972" w:rsidR="004F0931" w:rsidRPr="001D2D74" w:rsidRDefault="00186611" w:rsidP="001D2D74">
            <w:pPr>
              <w:pStyle w:val="TableBodyText"/>
              <w:rPr>
                <w:sz w:val="17"/>
                <w:szCs w:val="17"/>
              </w:rPr>
            </w:pPr>
            <w:r w:rsidRPr="001D2D74">
              <w:rPr>
                <w:sz w:val="17"/>
                <w:szCs w:val="17"/>
              </w:rPr>
              <w:t>(1,718,502)</w:t>
            </w:r>
          </w:p>
        </w:tc>
        <w:tc>
          <w:tcPr>
            <w:tcW w:w="438" w:type="pct"/>
            <w:tcBorders>
              <w:bottom w:val="single" w:sz="4" w:space="0" w:color="auto"/>
            </w:tcBorders>
            <w:vAlign w:val="top"/>
          </w:tcPr>
          <w:p w14:paraId="6D1FF5EC" w14:textId="77777777" w:rsidR="004F0931" w:rsidRPr="001D2D74" w:rsidRDefault="004F0931" w:rsidP="001D2D74">
            <w:pPr>
              <w:pStyle w:val="TableBodyText"/>
              <w:rPr>
                <w:sz w:val="17"/>
                <w:szCs w:val="17"/>
              </w:rPr>
            </w:pPr>
            <w:r w:rsidRPr="001D2D74">
              <w:rPr>
                <w:sz w:val="17"/>
                <w:szCs w:val="17"/>
              </w:rPr>
              <w:t>N/A</w:t>
            </w:r>
          </w:p>
        </w:tc>
        <w:tc>
          <w:tcPr>
            <w:tcW w:w="438" w:type="pct"/>
            <w:tcBorders>
              <w:bottom w:val="single" w:sz="4" w:space="0" w:color="auto"/>
            </w:tcBorders>
            <w:vAlign w:val="top"/>
          </w:tcPr>
          <w:p w14:paraId="7E2A484E" w14:textId="6BDD862F" w:rsidR="004F0931" w:rsidRPr="001D2D74" w:rsidRDefault="00186611" w:rsidP="001D2D74">
            <w:pPr>
              <w:pStyle w:val="TableBodyText"/>
              <w:rPr>
                <w:sz w:val="17"/>
                <w:szCs w:val="17"/>
              </w:rPr>
            </w:pPr>
            <w:r w:rsidRPr="001D2D74">
              <w:rPr>
                <w:sz w:val="17"/>
                <w:szCs w:val="17"/>
              </w:rPr>
              <w:t>N/A</w:t>
            </w:r>
          </w:p>
        </w:tc>
        <w:tc>
          <w:tcPr>
            <w:tcW w:w="437" w:type="pct"/>
            <w:tcBorders>
              <w:bottom w:val="single" w:sz="4" w:space="0" w:color="auto"/>
            </w:tcBorders>
            <w:vAlign w:val="top"/>
          </w:tcPr>
          <w:p w14:paraId="3724D5FE" w14:textId="220E5330" w:rsidR="004F0931" w:rsidRPr="001D2D74" w:rsidRDefault="00186611" w:rsidP="001D2D74">
            <w:pPr>
              <w:pStyle w:val="TableBodyText"/>
              <w:rPr>
                <w:sz w:val="17"/>
                <w:szCs w:val="17"/>
              </w:rPr>
            </w:pPr>
            <w:r w:rsidRPr="001D2D74">
              <w:rPr>
                <w:sz w:val="17"/>
                <w:szCs w:val="17"/>
              </w:rPr>
              <w:t>(3,226)</w:t>
            </w:r>
          </w:p>
        </w:tc>
        <w:tc>
          <w:tcPr>
            <w:tcW w:w="487" w:type="pct"/>
            <w:tcBorders>
              <w:bottom w:val="single" w:sz="4" w:space="0" w:color="auto"/>
            </w:tcBorders>
            <w:vAlign w:val="top"/>
          </w:tcPr>
          <w:p w14:paraId="1B323C47" w14:textId="6CACD7C1" w:rsidR="004F0931" w:rsidRPr="001D2D74" w:rsidRDefault="00186611" w:rsidP="001D2D74">
            <w:pPr>
              <w:pStyle w:val="TableBodyText"/>
              <w:rPr>
                <w:sz w:val="17"/>
                <w:szCs w:val="17"/>
              </w:rPr>
            </w:pPr>
            <w:r w:rsidRPr="001D2D74">
              <w:rPr>
                <w:sz w:val="17"/>
                <w:szCs w:val="17"/>
              </w:rPr>
              <w:t>(1,296)</w:t>
            </w:r>
          </w:p>
        </w:tc>
        <w:tc>
          <w:tcPr>
            <w:tcW w:w="437" w:type="pct"/>
            <w:tcBorders>
              <w:bottom w:val="single" w:sz="4" w:space="0" w:color="auto"/>
            </w:tcBorders>
            <w:vAlign w:val="top"/>
          </w:tcPr>
          <w:p w14:paraId="713F42D0" w14:textId="7194E3BD" w:rsidR="004F0931" w:rsidRPr="001D2D74" w:rsidRDefault="00186611" w:rsidP="001D2D74">
            <w:pPr>
              <w:pStyle w:val="TableBodyText"/>
              <w:rPr>
                <w:sz w:val="17"/>
                <w:szCs w:val="17"/>
              </w:rPr>
            </w:pPr>
            <w:r w:rsidRPr="001D2D74">
              <w:rPr>
                <w:sz w:val="17"/>
                <w:szCs w:val="17"/>
              </w:rPr>
              <w:t>(80,476)</w:t>
            </w:r>
          </w:p>
        </w:tc>
        <w:tc>
          <w:tcPr>
            <w:tcW w:w="438" w:type="pct"/>
            <w:tcBorders>
              <w:bottom w:val="single" w:sz="4" w:space="0" w:color="auto"/>
            </w:tcBorders>
            <w:vAlign w:val="top"/>
          </w:tcPr>
          <w:p w14:paraId="22F3094B" w14:textId="6B1A2B28" w:rsidR="004F0931" w:rsidRPr="001D2D74" w:rsidRDefault="00186611" w:rsidP="001D2D74">
            <w:pPr>
              <w:pStyle w:val="TableBodyText"/>
              <w:rPr>
                <w:sz w:val="17"/>
                <w:szCs w:val="17"/>
              </w:rPr>
            </w:pPr>
            <w:r w:rsidRPr="001D2D74">
              <w:rPr>
                <w:sz w:val="17"/>
                <w:szCs w:val="17"/>
              </w:rPr>
              <w:t>(7,978)</w:t>
            </w:r>
          </w:p>
        </w:tc>
        <w:tc>
          <w:tcPr>
            <w:tcW w:w="441" w:type="pct"/>
            <w:tcBorders>
              <w:bottom w:val="single" w:sz="4" w:space="0" w:color="auto"/>
            </w:tcBorders>
            <w:vAlign w:val="top"/>
          </w:tcPr>
          <w:p w14:paraId="60B85318" w14:textId="2C2AD7F5" w:rsidR="004F0931" w:rsidRPr="001D2D74" w:rsidRDefault="00186611" w:rsidP="001D2D74">
            <w:pPr>
              <w:pStyle w:val="TableBodyText"/>
              <w:rPr>
                <w:sz w:val="17"/>
                <w:szCs w:val="17"/>
              </w:rPr>
            </w:pPr>
            <w:r w:rsidRPr="001D2D74">
              <w:rPr>
                <w:sz w:val="17"/>
                <w:szCs w:val="17"/>
              </w:rPr>
              <w:t>(1,034,628)</w:t>
            </w:r>
          </w:p>
        </w:tc>
        <w:tc>
          <w:tcPr>
            <w:tcW w:w="436" w:type="pct"/>
            <w:tcBorders>
              <w:bottom w:val="single" w:sz="4" w:space="0" w:color="auto"/>
            </w:tcBorders>
            <w:vAlign w:val="top"/>
          </w:tcPr>
          <w:p w14:paraId="1A589930" w14:textId="6514F682" w:rsidR="004F0931" w:rsidRPr="001D2D74" w:rsidRDefault="00186611" w:rsidP="001D2D74">
            <w:pPr>
              <w:pStyle w:val="TableBodyText"/>
              <w:rPr>
                <w:sz w:val="17"/>
                <w:szCs w:val="17"/>
              </w:rPr>
            </w:pPr>
            <w:r w:rsidRPr="001D2D74">
              <w:rPr>
                <w:sz w:val="17"/>
                <w:szCs w:val="17"/>
              </w:rPr>
              <w:t>(590,898)</w:t>
            </w:r>
          </w:p>
        </w:tc>
        <w:tc>
          <w:tcPr>
            <w:tcW w:w="426" w:type="pct"/>
            <w:tcBorders>
              <w:bottom w:val="single" w:sz="4" w:space="0" w:color="auto"/>
            </w:tcBorders>
            <w:vAlign w:val="top"/>
          </w:tcPr>
          <w:p w14:paraId="53F97544" w14:textId="2DB09523" w:rsidR="004F0931" w:rsidRPr="001D2D74" w:rsidRDefault="00186611" w:rsidP="001D2D74">
            <w:pPr>
              <w:pStyle w:val="TableBodyText"/>
              <w:rPr>
                <w:sz w:val="17"/>
                <w:szCs w:val="17"/>
              </w:rPr>
            </w:pPr>
            <w:r w:rsidRPr="001D2D74">
              <w:rPr>
                <w:sz w:val="17"/>
                <w:szCs w:val="17"/>
              </w:rPr>
              <w:t>N/A</w:t>
            </w:r>
          </w:p>
        </w:tc>
      </w:tr>
      <w:tr w:rsidR="004F0931" w:rsidRPr="001D2D74" w14:paraId="5C2842B3" w14:textId="77777777" w:rsidTr="002B25DA">
        <w:trPr>
          <w:trHeight w:val="20"/>
        </w:trPr>
        <w:tc>
          <w:tcPr>
            <w:tcW w:w="584" w:type="pct"/>
            <w:tcBorders>
              <w:top w:val="single" w:sz="4" w:space="0" w:color="auto"/>
              <w:bottom w:val="single" w:sz="4" w:space="0" w:color="auto"/>
            </w:tcBorders>
            <w:vAlign w:val="top"/>
          </w:tcPr>
          <w:p w14:paraId="463F6261" w14:textId="446DDAC0" w:rsidR="004F0931" w:rsidRPr="001D2D74" w:rsidRDefault="00186611" w:rsidP="001D2D74">
            <w:pPr>
              <w:pStyle w:val="TableBodyText"/>
              <w:rPr>
                <w:rStyle w:val="Bold"/>
                <w:sz w:val="17"/>
                <w:szCs w:val="17"/>
              </w:rPr>
            </w:pPr>
            <w:r w:rsidRPr="001D2D74">
              <w:rPr>
                <w:rStyle w:val="Bold"/>
                <w:sz w:val="17"/>
                <w:szCs w:val="17"/>
              </w:rPr>
              <w:t>Carrying amount</w:t>
            </w:r>
          </w:p>
        </w:tc>
        <w:tc>
          <w:tcPr>
            <w:tcW w:w="437" w:type="pct"/>
            <w:tcBorders>
              <w:top w:val="single" w:sz="4" w:space="0" w:color="auto"/>
              <w:bottom w:val="single" w:sz="4" w:space="0" w:color="auto"/>
            </w:tcBorders>
            <w:vAlign w:val="top"/>
          </w:tcPr>
          <w:p w14:paraId="08AE009A" w14:textId="0035BB1F" w:rsidR="004F0931" w:rsidRPr="001D2D74" w:rsidRDefault="00186611" w:rsidP="001D2D74">
            <w:pPr>
              <w:pStyle w:val="TableBodyText"/>
              <w:rPr>
                <w:rStyle w:val="Bold"/>
                <w:sz w:val="17"/>
                <w:szCs w:val="17"/>
              </w:rPr>
            </w:pPr>
            <w:r w:rsidRPr="001D2D74">
              <w:rPr>
                <w:rStyle w:val="Bold"/>
                <w:sz w:val="17"/>
                <w:szCs w:val="17"/>
              </w:rPr>
              <w:t>15,127,888</w:t>
            </w:r>
          </w:p>
        </w:tc>
        <w:tc>
          <w:tcPr>
            <w:tcW w:w="438" w:type="pct"/>
            <w:tcBorders>
              <w:top w:val="single" w:sz="4" w:space="0" w:color="auto"/>
              <w:bottom w:val="single" w:sz="4" w:space="0" w:color="auto"/>
            </w:tcBorders>
            <w:vAlign w:val="top"/>
          </w:tcPr>
          <w:p w14:paraId="1659D3DD" w14:textId="56D4F727" w:rsidR="004F0931" w:rsidRPr="001D2D74" w:rsidRDefault="00186611" w:rsidP="001D2D74">
            <w:pPr>
              <w:pStyle w:val="TableBodyText"/>
              <w:rPr>
                <w:rStyle w:val="Bold"/>
                <w:sz w:val="17"/>
                <w:szCs w:val="17"/>
              </w:rPr>
            </w:pPr>
            <w:r w:rsidRPr="001D2D74">
              <w:rPr>
                <w:rStyle w:val="Bold"/>
                <w:sz w:val="17"/>
                <w:szCs w:val="17"/>
              </w:rPr>
              <w:t>111,420</w:t>
            </w:r>
          </w:p>
        </w:tc>
        <w:tc>
          <w:tcPr>
            <w:tcW w:w="438" w:type="pct"/>
            <w:tcBorders>
              <w:top w:val="single" w:sz="4" w:space="0" w:color="auto"/>
              <w:bottom w:val="single" w:sz="4" w:space="0" w:color="auto"/>
            </w:tcBorders>
            <w:vAlign w:val="top"/>
          </w:tcPr>
          <w:p w14:paraId="0F217671" w14:textId="3AFDE399" w:rsidR="004F0931" w:rsidRPr="001D2D74" w:rsidRDefault="00186611" w:rsidP="001D2D74">
            <w:pPr>
              <w:pStyle w:val="TableBodyText"/>
              <w:rPr>
                <w:rStyle w:val="Bold"/>
                <w:sz w:val="17"/>
                <w:szCs w:val="17"/>
              </w:rPr>
            </w:pPr>
            <w:r w:rsidRPr="001D2D74">
              <w:rPr>
                <w:rStyle w:val="Bold"/>
                <w:sz w:val="17"/>
                <w:szCs w:val="17"/>
              </w:rPr>
              <w:t>1,368,072</w:t>
            </w:r>
          </w:p>
        </w:tc>
        <w:tc>
          <w:tcPr>
            <w:tcW w:w="437" w:type="pct"/>
            <w:tcBorders>
              <w:top w:val="single" w:sz="4" w:space="0" w:color="auto"/>
              <w:bottom w:val="single" w:sz="4" w:space="0" w:color="auto"/>
            </w:tcBorders>
            <w:vAlign w:val="top"/>
          </w:tcPr>
          <w:p w14:paraId="11C98686" w14:textId="6F17B184" w:rsidR="004F0931" w:rsidRPr="001D2D74" w:rsidRDefault="00186611" w:rsidP="001D2D74">
            <w:pPr>
              <w:pStyle w:val="TableBodyText"/>
              <w:rPr>
                <w:rStyle w:val="Bold"/>
                <w:sz w:val="17"/>
                <w:szCs w:val="17"/>
              </w:rPr>
            </w:pPr>
            <w:r w:rsidRPr="001D2D74">
              <w:rPr>
                <w:rStyle w:val="Bold"/>
                <w:sz w:val="17"/>
                <w:szCs w:val="17"/>
              </w:rPr>
              <w:t>27,742</w:t>
            </w:r>
          </w:p>
        </w:tc>
        <w:tc>
          <w:tcPr>
            <w:tcW w:w="487" w:type="pct"/>
            <w:tcBorders>
              <w:top w:val="single" w:sz="4" w:space="0" w:color="auto"/>
              <w:bottom w:val="single" w:sz="4" w:space="0" w:color="auto"/>
            </w:tcBorders>
            <w:vAlign w:val="top"/>
          </w:tcPr>
          <w:p w14:paraId="7B3A825E" w14:textId="658B341C" w:rsidR="004F0931" w:rsidRPr="001D2D74" w:rsidRDefault="00186611" w:rsidP="001D2D74">
            <w:pPr>
              <w:pStyle w:val="TableBodyText"/>
              <w:rPr>
                <w:rStyle w:val="Bold"/>
                <w:sz w:val="17"/>
                <w:szCs w:val="17"/>
              </w:rPr>
            </w:pPr>
            <w:r w:rsidRPr="001D2D74">
              <w:rPr>
                <w:rStyle w:val="Bold"/>
                <w:sz w:val="17"/>
                <w:szCs w:val="17"/>
              </w:rPr>
              <w:t>1,145</w:t>
            </w:r>
          </w:p>
        </w:tc>
        <w:tc>
          <w:tcPr>
            <w:tcW w:w="437" w:type="pct"/>
            <w:tcBorders>
              <w:top w:val="single" w:sz="4" w:space="0" w:color="auto"/>
              <w:bottom w:val="single" w:sz="4" w:space="0" w:color="auto"/>
            </w:tcBorders>
            <w:vAlign w:val="top"/>
          </w:tcPr>
          <w:p w14:paraId="0EA83920" w14:textId="685020F4" w:rsidR="004F0931" w:rsidRPr="001D2D74" w:rsidRDefault="00186611" w:rsidP="001D2D74">
            <w:pPr>
              <w:pStyle w:val="TableBodyText"/>
              <w:rPr>
                <w:rStyle w:val="Bold"/>
                <w:sz w:val="17"/>
                <w:szCs w:val="17"/>
              </w:rPr>
            </w:pPr>
            <w:r w:rsidRPr="001D2D74">
              <w:rPr>
                <w:rStyle w:val="Bold"/>
                <w:sz w:val="17"/>
                <w:szCs w:val="17"/>
              </w:rPr>
              <w:t>17,788</w:t>
            </w:r>
          </w:p>
        </w:tc>
        <w:tc>
          <w:tcPr>
            <w:tcW w:w="438" w:type="pct"/>
            <w:tcBorders>
              <w:top w:val="single" w:sz="4" w:space="0" w:color="auto"/>
              <w:bottom w:val="single" w:sz="4" w:space="0" w:color="auto"/>
            </w:tcBorders>
            <w:vAlign w:val="top"/>
          </w:tcPr>
          <w:p w14:paraId="66A44688" w14:textId="7CB40E32" w:rsidR="004F0931" w:rsidRPr="001D2D74" w:rsidRDefault="00186611" w:rsidP="001D2D74">
            <w:pPr>
              <w:pStyle w:val="TableBodyText"/>
              <w:rPr>
                <w:rStyle w:val="Bold"/>
                <w:sz w:val="17"/>
                <w:szCs w:val="17"/>
              </w:rPr>
            </w:pPr>
            <w:r w:rsidRPr="001D2D74">
              <w:rPr>
                <w:rStyle w:val="Bold"/>
                <w:sz w:val="17"/>
                <w:szCs w:val="17"/>
              </w:rPr>
              <w:t>13,665</w:t>
            </w:r>
          </w:p>
        </w:tc>
        <w:tc>
          <w:tcPr>
            <w:tcW w:w="441" w:type="pct"/>
            <w:tcBorders>
              <w:top w:val="single" w:sz="4" w:space="0" w:color="auto"/>
              <w:bottom w:val="single" w:sz="4" w:space="0" w:color="auto"/>
            </w:tcBorders>
            <w:vAlign w:val="top"/>
          </w:tcPr>
          <w:p w14:paraId="4732BB4E" w14:textId="2F6E6A5E" w:rsidR="004F0931" w:rsidRPr="001D2D74" w:rsidRDefault="00186611" w:rsidP="001D2D74">
            <w:pPr>
              <w:pStyle w:val="TableBodyText"/>
              <w:rPr>
                <w:rStyle w:val="Bold"/>
                <w:sz w:val="17"/>
                <w:szCs w:val="17"/>
              </w:rPr>
            </w:pPr>
            <w:r w:rsidRPr="001D2D74">
              <w:rPr>
                <w:rStyle w:val="Bold"/>
                <w:sz w:val="17"/>
                <w:szCs w:val="17"/>
              </w:rPr>
              <w:t>8,873,139</w:t>
            </w:r>
          </w:p>
        </w:tc>
        <w:tc>
          <w:tcPr>
            <w:tcW w:w="436" w:type="pct"/>
            <w:tcBorders>
              <w:top w:val="single" w:sz="4" w:space="0" w:color="auto"/>
              <w:bottom w:val="single" w:sz="4" w:space="0" w:color="auto"/>
            </w:tcBorders>
            <w:vAlign w:val="top"/>
          </w:tcPr>
          <w:p w14:paraId="00486865" w14:textId="1341E9D3" w:rsidR="004F0931" w:rsidRPr="001D2D74" w:rsidRDefault="00186611" w:rsidP="001D2D74">
            <w:pPr>
              <w:pStyle w:val="TableBodyText"/>
              <w:rPr>
                <w:rStyle w:val="Bold"/>
                <w:sz w:val="17"/>
                <w:szCs w:val="17"/>
              </w:rPr>
            </w:pPr>
            <w:r w:rsidRPr="001D2D74">
              <w:rPr>
                <w:rStyle w:val="Bold"/>
                <w:sz w:val="17"/>
                <w:szCs w:val="17"/>
              </w:rPr>
              <w:t>4,071,895</w:t>
            </w:r>
          </w:p>
        </w:tc>
        <w:tc>
          <w:tcPr>
            <w:tcW w:w="426" w:type="pct"/>
            <w:tcBorders>
              <w:top w:val="single" w:sz="4" w:space="0" w:color="auto"/>
              <w:bottom w:val="single" w:sz="4" w:space="0" w:color="auto"/>
            </w:tcBorders>
            <w:vAlign w:val="top"/>
          </w:tcPr>
          <w:p w14:paraId="74D9A1FC" w14:textId="7976E4A2" w:rsidR="004F0931" w:rsidRPr="001D2D74" w:rsidRDefault="00186611" w:rsidP="001D2D74">
            <w:pPr>
              <w:pStyle w:val="TableBodyText"/>
              <w:rPr>
                <w:rStyle w:val="Bold"/>
                <w:sz w:val="17"/>
                <w:szCs w:val="17"/>
              </w:rPr>
            </w:pPr>
            <w:r w:rsidRPr="001D2D74">
              <w:rPr>
                <w:rStyle w:val="Bold"/>
                <w:sz w:val="17"/>
                <w:szCs w:val="17"/>
              </w:rPr>
              <w:t>643,022</w:t>
            </w:r>
          </w:p>
        </w:tc>
      </w:tr>
    </w:tbl>
    <w:p w14:paraId="1A39DB86" w14:textId="2D4C3A54" w:rsidR="00DC0D74" w:rsidRPr="00186611" w:rsidRDefault="00186611" w:rsidP="002B25DA">
      <w:pPr>
        <w:pStyle w:val="BodyText"/>
        <w:keepNext/>
        <w:keepLines/>
        <w:rPr>
          <w:rStyle w:val="Bold"/>
        </w:rPr>
      </w:pPr>
      <w:r w:rsidRPr="00186611">
        <w:rPr>
          <w:rStyle w:val="Bold"/>
        </w:rPr>
        <w:lastRenderedPageBreak/>
        <w:t>Year ended 30 June 2021</w:t>
      </w:r>
    </w:p>
    <w:tbl>
      <w:tblPr>
        <w:tblStyle w:val="Style1"/>
        <w:tblW w:w="5000" w:type="pct"/>
        <w:tblLayout w:type="fixed"/>
        <w:tblLook w:val="0660" w:firstRow="1" w:lastRow="1" w:firstColumn="0" w:lastColumn="0" w:noHBand="1" w:noVBand="1"/>
      </w:tblPr>
      <w:tblGrid>
        <w:gridCol w:w="1703"/>
        <w:gridCol w:w="1275"/>
        <w:gridCol w:w="1277"/>
        <w:gridCol w:w="1276"/>
        <w:gridCol w:w="1274"/>
        <w:gridCol w:w="1419"/>
        <w:gridCol w:w="1274"/>
        <w:gridCol w:w="1276"/>
        <w:gridCol w:w="1285"/>
        <w:gridCol w:w="1271"/>
        <w:gridCol w:w="1241"/>
      </w:tblGrid>
      <w:tr w:rsidR="00186611" w:rsidRPr="006945F4" w14:paraId="7AE41529" w14:textId="77777777" w:rsidTr="002B25DA">
        <w:trPr>
          <w:cnfStyle w:val="100000000000" w:firstRow="1" w:lastRow="0" w:firstColumn="0" w:lastColumn="0" w:oddVBand="0" w:evenVBand="0" w:oddHBand="0" w:evenHBand="0" w:firstRowFirstColumn="0" w:firstRowLastColumn="0" w:lastRowFirstColumn="0" w:lastRowLastColumn="0"/>
          <w:trHeight w:val="20"/>
        </w:trPr>
        <w:tc>
          <w:tcPr>
            <w:tcW w:w="584" w:type="pct"/>
            <w:tcBorders>
              <w:top w:val="single" w:sz="4" w:space="0" w:color="auto"/>
            </w:tcBorders>
            <w:vAlign w:val="bottom"/>
          </w:tcPr>
          <w:p w14:paraId="51644361" w14:textId="77777777" w:rsidR="00186611" w:rsidRPr="006945F4" w:rsidRDefault="00186611" w:rsidP="002B25DA">
            <w:pPr>
              <w:keepNext/>
              <w:keepLines/>
              <w:rPr>
                <w:sz w:val="17"/>
                <w:szCs w:val="17"/>
              </w:rPr>
            </w:pPr>
            <w:bookmarkStart w:id="1003" w:name="ColumnTitle_63"/>
            <w:r w:rsidRPr="006945F4">
              <w:rPr>
                <w:sz w:val="17"/>
                <w:szCs w:val="17"/>
              </w:rPr>
              <w:t>Item</w:t>
            </w:r>
          </w:p>
        </w:tc>
        <w:tc>
          <w:tcPr>
            <w:tcW w:w="437" w:type="pct"/>
            <w:tcBorders>
              <w:top w:val="single" w:sz="4" w:space="0" w:color="auto"/>
            </w:tcBorders>
            <w:vAlign w:val="bottom"/>
          </w:tcPr>
          <w:p w14:paraId="0E79D2A8" w14:textId="77777777" w:rsidR="00186611" w:rsidRPr="006945F4" w:rsidRDefault="00186611" w:rsidP="002B25DA">
            <w:pPr>
              <w:keepNext/>
              <w:keepLines/>
              <w:rPr>
                <w:sz w:val="17"/>
                <w:szCs w:val="17"/>
              </w:rPr>
            </w:pPr>
            <w:r w:rsidRPr="006945F4">
              <w:rPr>
                <w:sz w:val="17"/>
                <w:szCs w:val="17"/>
              </w:rPr>
              <w:t>Total</w:t>
            </w:r>
          </w:p>
          <w:p w14:paraId="72933884" w14:textId="77777777" w:rsidR="00186611" w:rsidRPr="006945F4" w:rsidRDefault="00186611" w:rsidP="002B25DA">
            <w:pPr>
              <w:keepNext/>
              <w:keepLines/>
              <w:rPr>
                <w:sz w:val="17"/>
                <w:szCs w:val="17"/>
              </w:rPr>
            </w:pPr>
            <w:r w:rsidRPr="006945F4">
              <w:rPr>
                <w:sz w:val="17"/>
                <w:szCs w:val="17"/>
              </w:rPr>
              <w:t>($ thousands)</w:t>
            </w:r>
          </w:p>
        </w:tc>
        <w:tc>
          <w:tcPr>
            <w:tcW w:w="438" w:type="pct"/>
            <w:tcBorders>
              <w:top w:val="single" w:sz="4" w:space="0" w:color="auto"/>
            </w:tcBorders>
            <w:vAlign w:val="bottom"/>
          </w:tcPr>
          <w:p w14:paraId="40304093" w14:textId="192363DB" w:rsidR="00186611" w:rsidRPr="006945F4" w:rsidRDefault="00186611" w:rsidP="002B25DA">
            <w:pPr>
              <w:keepNext/>
              <w:keepLines/>
              <w:rPr>
                <w:sz w:val="17"/>
                <w:szCs w:val="17"/>
              </w:rPr>
            </w:pPr>
            <w:r w:rsidRPr="006945F4">
              <w:rPr>
                <w:sz w:val="17"/>
                <w:szCs w:val="17"/>
              </w:rPr>
              <w:t>Crown</w:t>
            </w:r>
            <w:r w:rsidR="006945F4">
              <w:rPr>
                <w:sz w:val="17"/>
                <w:szCs w:val="17"/>
              </w:rPr>
              <w:t xml:space="preserve"> </w:t>
            </w:r>
            <w:r w:rsidRPr="006945F4">
              <w:rPr>
                <w:sz w:val="17"/>
                <w:szCs w:val="17"/>
              </w:rPr>
              <w:t>land</w:t>
            </w:r>
          </w:p>
          <w:p w14:paraId="162A15EE" w14:textId="77777777" w:rsidR="00186611" w:rsidRPr="006945F4" w:rsidRDefault="00186611" w:rsidP="002B25DA">
            <w:pPr>
              <w:keepNext/>
              <w:keepLines/>
              <w:rPr>
                <w:sz w:val="17"/>
                <w:szCs w:val="17"/>
              </w:rPr>
            </w:pPr>
            <w:r w:rsidRPr="006945F4">
              <w:rPr>
                <w:sz w:val="17"/>
                <w:szCs w:val="17"/>
              </w:rPr>
              <w:t>($ thousands)</w:t>
            </w:r>
          </w:p>
        </w:tc>
        <w:tc>
          <w:tcPr>
            <w:tcW w:w="438" w:type="pct"/>
            <w:tcBorders>
              <w:top w:val="single" w:sz="4" w:space="0" w:color="auto"/>
            </w:tcBorders>
            <w:vAlign w:val="bottom"/>
          </w:tcPr>
          <w:p w14:paraId="4F2CF710" w14:textId="462D9223" w:rsidR="00186611" w:rsidRPr="006945F4" w:rsidRDefault="00186611" w:rsidP="002B25DA">
            <w:pPr>
              <w:keepNext/>
              <w:keepLines/>
              <w:rPr>
                <w:sz w:val="17"/>
                <w:szCs w:val="17"/>
              </w:rPr>
            </w:pPr>
            <w:r w:rsidRPr="006945F4">
              <w:rPr>
                <w:sz w:val="17"/>
                <w:szCs w:val="17"/>
              </w:rPr>
              <w:t>Freehold</w:t>
            </w:r>
            <w:r w:rsidR="006945F4">
              <w:rPr>
                <w:sz w:val="17"/>
                <w:szCs w:val="17"/>
              </w:rPr>
              <w:t xml:space="preserve"> </w:t>
            </w:r>
            <w:r w:rsidRPr="006945F4">
              <w:rPr>
                <w:sz w:val="17"/>
                <w:szCs w:val="17"/>
              </w:rPr>
              <w:t>land</w:t>
            </w:r>
          </w:p>
          <w:p w14:paraId="0B0F0332" w14:textId="77777777" w:rsidR="00186611" w:rsidRPr="006945F4" w:rsidRDefault="00186611" w:rsidP="002B25DA">
            <w:pPr>
              <w:keepNext/>
              <w:keepLines/>
              <w:rPr>
                <w:sz w:val="17"/>
                <w:szCs w:val="17"/>
              </w:rPr>
            </w:pPr>
            <w:r w:rsidRPr="006945F4">
              <w:rPr>
                <w:sz w:val="17"/>
                <w:szCs w:val="17"/>
              </w:rPr>
              <w:t>($ thousands)</w:t>
            </w:r>
          </w:p>
        </w:tc>
        <w:tc>
          <w:tcPr>
            <w:tcW w:w="437" w:type="pct"/>
            <w:tcBorders>
              <w:top w:val="single" w:sz="4" w:space="0" w:color="auto"/>
            </w:tcBorders>
            <w:vAlign w:val="bottom"/>
          </w:tcPr>
          <w:p w14:paraId="59FA5B98" w14:textId="77777777" w:rsidR="00186611" w:rsidRPr="006945F4" w:rsidRDefault="00186611" w:rsidP="002B25DA">
            <w:pPr>
              <w:keepNext/>
              <w:keepLines/>
              <w:rPr>
                <w:sz w:val="17"/>
                <w:szCs w:val="17"/>
              </w:rPr>
            </w:pPr>
            <w:r w:rsidRPr="006945F4">
              <w:rPr>
                <w:sz w:val="17"/>
                <w:szCs w:val="17"/>
              </w:rPr>
              <w:t>Buildings</w:t>
            </w:r>
          </w:p>
          <w:p w14:paraId="7498CC87" w14:textId="77777777" w:rsidR="00186611" w:rsidRPr="006945F4" w:rsidRDefault="00186611" w:rsidP="002B25DA">
            <w:pPr>
              <w:keepNext/>
              <w:keepLines/>
              <w:rPr>
                <w:sz w:val="17"/>
                <w:szCs w:val="17"/>
              </w:rPr>
            </w:pPr>
            <w:r w:rsidRPr="006945F4">
              <w:rPr>
                <w:sz w:val="17"/>
                <w:szCs w:val="17"/>
              </w:rPr>
              <w:t>($ thousands)</w:t>
            </w:r>
          </w:p>
        </w:tc>
        <w:tc>
          <w:tcPr>
            <w:tcW w:w="487" w:type="pct"/>
            <w:tcBorders>
              <w:top w:val="single" w:sz="4" w:space="0" w:color="auto"/>
            </w:tcBorders>
            <w:vAlign w:val="bottom"/>
          </w:tcPr>
          <w:p w14:paraId="72680A40" w14:textId="0B93264D" w:rsidR="00186611" w:rsidRPr="006945F4" w:rsidRDefault="00186611" w:rsidP="002B25DA">
            <w:pPr>
              <w:keepNext/>
              <w:keepLines/>
              <w:rPr>
                <w:sz w:val="17"/>
                <w:szCs w:val="17"/>
              </w:rPr>
            </w:pPr>
            <w:r w:rsidRPr="006945F4">
              <w:rPr>
                <w:sz w:val="17"/>
                <w:szCs w:val="17"/>
              </w:rPr>
              <w:t>Leasehold</w:t>
            </w:r>
            <w:r w:rsidR="006945F4">
              <w:rPr>
                <w:sz w:val="17"/>
                <w:szCs w:val="17"/>
              </w:rPr>
              <w:t xml:space="preserve"> i</w:t>
            </w:r>
            <w:r w:rsidRPr="006945F4">
              <w:rPr>
                <w:sz w:val="17"/>
                <w:szCs w:val="17"/>
              </w:rPr>
              <w:t>mprovements</w:t>
            </w:r>
          </w:p>
          <w:p w14:paraId="1C5E30B0" w14:textId="77777777" w:rsidR="00186611" w:rsidRPr="006945F4" w:rsidRDefault="00186611" w:rsidP="002B25DA">
            <w:pPr>
              <w:keepNext/>
              <w:keepLines/>
              <w:rPr>
                <w:sz w:val="17"/>
                <w:szCs w:val="17"/>
              </w:rPr>
            </w:pPr>
            <w:r w:rsidRPr="006945F4">
              <w:rPr>
                <w:sz w:val="17"/>
                <w:szCs w:val="17"/>
              </w:rPr>
              <w:t>($ thousands)</w:t>
            </w:r>
          </w:p>
        </w:tc>
        <w:tc>
          <w:tcPr>
            <w:tcW w:w="437" w:type="pct"/>
            <w:tcBorders>
              <w:top w:val="single" w:sz="4" w:space="0" w:color="auto"/>
            </w:tcBorders>
            <w:vAlign w:val="bottom"/>
          </w:tcPr>
          <w:p w14:paraId="679DA77C" w14:textId="47D74E9F" w:rsidR="00186611" w:rsidRPr="006945F4" w:rsidRDefault="00186611" w:rsidP="002B25DA">
            <w:pPr>
              <w:keepNext/>
              <w:keepLines/>
              <w:rPr>
                <w:sz w:val="17"/>
                <w:szCs w:val="17"/>
              </w:rPr>
            </w:pPr>
            <w:r w:rsidRPr="006945F4">
              <w:rPr>
                <w:sz w:val="17"/>
                <w:szCs w:val="17"/>
              </w:rPr>
              <w:t>Plant and</w:t>
            </w:r>
            <w:r w:rsidR="006945F4">
              <w:rPr>
                <w:sz w:val="17"/>
                <w:szCs w:val="17"/>
              </w:rPr>
              <w:t xml:space="preserve"> e</w:t>
            </w:r>
            <w:r w:rsidRPr="006945F4">
              <w:rPr>
                <w:sz w:val="17"/>
                <w:szCs w:val="17"/>
              </w:rPr>
              <w:t>quipment</w:t>
            </w:r>
          </w:p>
          <w:p w14:paraId="262F26ED" w14:textId="77777777" w:rsidR="00186611" w:rsidRPr="006945F4" w:rsidRDefault="00186611" w:rsidP="002B25DA">
            <w:pPr>
              <w:keepNext/>
              <w:keepLines/>
              <w:rPr>
                <w:sz w:val="17"/>
                <w:szCs w:val="17"/>
              </w:rPr>
            </w:pPr>
            <w:r w:rsidRPr="006945F4">
              <w:rPr>
                <w:sz w:val="17"/>
                <w:szCs w:val="17"/>
              </w:rPr>
              <w:t>($ thousands)</w:t>
            </w:r>
          </w:p>
        </w:tc>
        <w:tc>
          <w:tcPr>
            <w:tcW w:w="438" w:type="pct"/>
            <w:tcBorders>
              <w:top w:val="single" w:sz="4" w:space="0" w:color="auto"/>
            </w:tcBorders>
            <w:vAlign w:val="bottom"/>
          </w:tcPr>
          <w:p w14:paraId="4A257014" w14:textId="13081E51" w:rsidR="00186611" w:rsidRPr="006945F4" w:rsidRDefault="00186611" w:rsidP="002B25DA">
            <w:pPr>
              <w:keepNext/>
              <w:keepLines/>
              <w:rPr>
                <w:sz w:val="17"/>
                <w:szCs w:val="17"/>
              </w:rPr>
            </w:pPr>
            <w:r w:rsidRPr="006945F4">
              <w:rPr>
                <w:sz w:val="17"/>
                <w:szCs w:val="17"/>
              </w:rPr>
              <w:t>Fleet</w:t>
            </w:r>
            <w:r w:rsidR="006945F4">
              <w:rPr>
                <w:sz w:val="17"/>
                <w:szCs w:val="17"/>
              </w:rPr>
              <w:t xml:space="preserve"> v</w:t>
            </w:r>
            <w:r w:rsidRPr="006945F4">
              <w:rPr>
                <w:sz w:val="17"/>
                <w:szCs w:val="17"/>
              </w:rPr>
              <w:t>ehicles</w:t>
            </w:r>
          </w:p>
          <w:p w14:paraId="19499865" w14:textId="77777777" w:rsidR="00186611" w:rsidRPr="006945F4" w:rsidRDefault="00186611" w:rsidP="002B25DA">
            <w:pPr>
              <w:keepNext/>
              <w:keepLines/>
              <w:rPr>
                <w:sz w:val="17"/>
                <w:szCs w:val="17"/>
              </w:rPr>
            </w:pPr>
            <w:r w:rsidRPr="006945F4">
              <w:rPr>
                <w:sz w:val="17"/>
                <w:szCs w:val="17"/>
              </w:rPr>
              <w:t>($ thousands)</w:t>
            </w:r>
          </w:p>
        </w:tc>
        <w:tc>
          <w:tcPr>
            <w:tcW w:w="441" w:type="pct"/>
            <w:tcBorders>
              <w:top w:val="single" w:sz="4" w:space="0" w:color="auto"/>
            </w:tcBorders>
            <w:vAlign w:val="bottom"/>
          </w:tcPr>
          <w:p w14:paraId="37680819" w14:textId="77777777" w:rsidR="00186611" w:rsidRPr="006945F4" w:rsidRDefault="00186611" w:rsidP="002B25DA">
            <w:pPr>
              <w:keepNext/>
              <w:keepLines/>
              <w:rPr>
                <w:sz w:val="17"/>
                <w:szCs w:val="17"/>
              </w:rPr>
            </w:pPr>
            <w:r w:rsidRPr="006945F4">
              <w:rPr>
                <w:sz w:val="17"/>
                <w:szCs w:val="17"/>
              </w:rPr>
              <w:t>Infrastructure</w:t>
            </w:r>
          </w:p>
          <w:p w14:paraId="2D0B83C5" w14:textId="77777777" w:rsidR="00186611" w:rsidRPr="006945F4" w:rsidRDefault="00186611" w:rsidP="002B25DA">
            <w:pPr>
              <w:keepNext/>
              <w:keepLines/>
              <w:rPr>
                <w:sz w:val="17"/>
                <w:szCs w:val="17"/>
              </w:rPr>
            </w:pPr>
            <w:r w:rsidRPr="006945F4">
              <w:rPr>
                <w:sz w:val="17"/>
                <w:szCs w:val="17"/>
              </w:rPr>
              <w:t>($ thousands)</w:t>
            </w:r>
          </w:p>
        </w:tc>
        <w:tc>
          <w:tcPr>
            <w:tcW w:w="436" w:type="pct"/>
            <w:tcBorders>
              <w:top w:val="single" w:sz="4" w:space="0" w:color="auto"/>
            </w:tcBorders>
            <w:vAlign w:val="bottom"/>
          </w:tcPr>
          <w:p w14:paraId="03F707EB" w14:textId="6CEDE63A" w:rsidR="00186611" w:rsidRPr="006945F4" w:rsidRDefault="00DC0A06" w:rsidP="002B25DA">
            <w:pPr>
              <w:keepNext/>
              <w:keepLines/>
              <w:rPr>
                <w:sz w:val="17"/>
                <w:szCs w:val="17"/>
              </w:rPr>
            </w:pPr>
            <w:r>
              <w:rPr>
                <w:sz w:val="17"/>
                <w:szCs w:val="17"/>
              </w:rPr>
              <w:t>Victorian Desalination Plant</w:t>
            </w:r>
            <w:r w:rsidR="00186611" w:rsidRPr="006945F4">
              <w:rPr>
                <w:sz w:val="17"/>
                <w:szCs w:val="17"/>
              </w:rPr>
              <w:t xml:space="preserve"> service</w:t>
            </w:r>
            <w:r w:rsidR="006945F4">
              <w:rPr>
                <w:sz w:val="17"/>
                <w:szCs w:val="17"/>
              </w:rPr>
              <w:t xml:space="preserve"> c</w:t>
            </w:r>
            <w:r w:rsidR="00186611" w:rsidRPr="006945F4">
              <w:rPr>
                <w:sz w:val="17"/>
                <w:szCs w:val="17"/>
              </w:rPr>
              <w:t>oncession</w:t>
            </w:r>
            <w:r w:rsidR="006945F4">
              <w:rPr>
                <w:sz w:val="17"/>
                <w:szCs w:val="17"/>
              </w:rPr>
              <w:t xml:space="preserve"> a</w:t>
            </w:r>
            <w:r w:rsidR="00186611" w:rsidRPr="006945F4">
              <w:rPr>
                <w:sz w:val="17"/>
                <w:szCs w:val="17"/>
              </w:rPr>
              <w:t>sset</w:t>
            </w:r>
          </w:p>
          <w:p w14:paraId="36F77B64" w14:textId="77777777" w:rsidR="00186611" w:rsidRPr="006945F4" w:rsidRDefault="00186611" w:rsidP="002B25DA">
            <w:pPr>
              <w:keepNext/>
              <w:keepLines/>
              <w:rPr>
                <w:sz w:val="17"/>
                <w:szCs w:val="17"/>
              </w:rPr>
            </w:pPr>
            <w:r w:rsidRPr="006945F4">
              <w:rPr>
                <w:sz w:val="17"/>
                <w:szCs w:val="17"/>
              </w:rPr>
              <w:t>($ thousands)</w:t>
            </w:r>
          </w:p>
        </w:tc>
        <w:tc>
          <w:tcPr>
            <w:tcW w:w="426" w:type="pct"/>
            <w:tcBorders>
              <w:top w:val="single" w:sz="4" w:space="0" w:color="auto"/>
            </w:tcBorders>
            <w:vAlign w:val="bottom"/>
          </w:tcPr>
          <w:p w14:paraId="3A62E52A" w14:textId="6950D084" w:rsidR="00186611" w:rsidRPr="006945F4" w:rsidRDefault="00186611" w:rsidP="002B25DA">
            <w:pPr>
              <w:keepNext/>
              <w:keepLines/>
              <w:rPr>
                <w:sz w:val="17"/>
                <w:szCs w:val="17"/>
              </w:rPr>
            </w:pPr>
            <w:r w:rsidRPr="006945F4">
              <w:rPr>
                <w:sz w:val="17"/>
                <w:szCs w:val="17"/>
              </w:rPr>
              <w:t>Capital works</w:t>
            </w:r>
            <w:r w:rsidR="006945F4">
              <w:rPr>
                <w:sz w:val="17"/>
                <w:szCs w:val="17"/>
              </w:rPr>
              <w:t xml:space="preserve"> i</w:t>
            </w:r>
            <w:r w:rsidRPr="006945F4">
              <w:rPr>
                <w:sz w:val="17"/>
                <w:szCs w:val="17"/>
              </w:rPr>
              <w:t>n progress</w:t>
            </w:r>
          </w:p>
          <w:p w14:paraId="7EFE3FD7" w14:textId="77777777" w:rsidR="00186611" w:rsidRPr="006945F4" w:rsidRDefault="00186611" w:rsidP="002B25DA">
            <w:pPr>
              <w:keepNext/>
              <w:keepLines/>
              <w:rPr>
                <w:sz w:val="17"/>
                <w:szCs w:val="17"/>
              </w:rPr>
            </w:pPr>
            <w:r w:rsidRPr="006945F4">
              <w:rPr>
                <w:sz w:val="17"/>
                <w:szCs w:val="17"/>
              </w:rPr>
              <w:t>($ thousands)</w:t>
            </w:r>
          </w:p>
        </w:tc>
      </w:tr>
      <w:bookmarkEnd w:id="1003"/>
      <w:tr w:rsidR="00186611" w:rsidRPr="006945F4" w14:paraId="527E71D6" w14:textId="77777777" w:rsidTr="006945F4">
        <w:trPr>
          <w:trHeight w:val="20"/>
        </w:trPr>
        <w:tc>
          <w:tcPr>
            <w:tcW w:w="584" w:type="pct"/>
            <w:vAlign w:val="top"/>
          </w:tcPr>
          <w:p w14:paraId="1B0CC20E" w14:textId="78CD917D" w:rsidR="00186611" w:rsidRPr="006945F4" w:rsidRDefault="00186611" w:rsidP="002B25DA">
            <w:pPr>
              <w:pStyle w:val="TableBodyText"/>
              <w:keepNext/>
              <w:keepLines/>
              <w:rPr>
                <w:sz w:val="17"/>
                <w:szCs w:val="17"/>
              </w:rPr>
            </w:pPr>
            <w:r w:rsidRPr="006945F4">
              <w:rPr>
                <w:sz w:val="17"/>
                <w:szCs w:val="17"/>
              </w:rPr>
              <w:t>Opening balance</w:t>
            </w:r>
          </w:p>
        </w:tc>
        <w:tc>
          <w:tcPr>
            <w:tcW w:w="437" w:type="pct"/>
            <w:vAlign w:val="top"/>
          </w:tcPr>
          <w:p w14:paraId="537D45D0" w14:textId="6139066C" w:rsidR="00186611" w:rsidRPr="006945F4" w:rsidRDefault="00186611" w:rsidP="002B25DA">
            <w:pPr>
              <w:pStyle w:val="TableBodyText"/>
              <w:keepNext/>
              <w:keepLines/>
              <w:rPr>
                <w:sz w:val="17"/>
                <w:szCs w:val="17"/>
              </w:rPr>
            </w:pPr>
            <w:r w:rsidRPr="006945F4">
              <w:rPr>
                <w:sz w:val="17"/>
                <w:szCs w:val="17"/>
              </w:rPr>
              <w:t>15,127,888</w:t>
            </w:r>
          </w:p>
        </w:tc>
        <w:tc>
          <w:tcPr>
            <w:tcW w:w="438" w:type="pct"/>
            <w:vAlign w:val="top"/>
          </w:tcPr>
          <w:p w14:paraId="07EC1548" w14:textId="6B0F0AAA" w:rsidR="00186611" w:rsidRPr="006945F4" w:rsidRDefault="00186611" w:rsidP="002B25DA">
            <w:pPr>
              <w:pStyle w:val="TableBodyText"/>
              <w:keepNext/>
              <w:keepLines/>
              <w:rPr>
                <w:sz w:val="17"/>
                <w:szCs w:val="17"/>
              </w:rPr>
            </w:pPr>
            <w:r w:rsidRPr="006945F4">
              <w:rPr>
                <w:sz w:val="17"/>
                <w:szCs w:val="17"/>
              </w:rPr>
              <w:t>111,420</w:t>
            </w:r>
          </w:p>
        </w:tc>
        <w:tc>
          <w:tcPr>
            <w:tcW w:w="438" w:type="pct"/>
            <w:vAlign w:val="top"/>
          </w:tcPr>
          <w:p w14:paraId="06F92109" w14:textId="590831ED" w:rsidR="00186611" w:rsidRPr="006945F4" w:rsidRDefault="00186611" w:rsidP="002B25DA">
            <w:pPr>
              <w:pStyle w:val="TableBodyText"/>
              <w:keepNext/>
              <w:keepLines/>
              <w:rPr>
                <w:sz w:val="17"/>
                <w:szCs w:val="17"/>
              </w:rPr>
            </w:pPr>
            <w:r w:rsidRPr="006945F4">
              <w:rPr>
                <w:sz w:val="17"/>
                <w:szCs w:val="17"/>
              </w:rPr>
              <w:t>1,368,072</w:t>
            </w:r>
          </w:p>
        </w:tc>
        <w:tc>
          <w:tcPr>
            <w:tcW w:w="437" w:type="pct"/>
            <w:vAlign w:val="top"/>
          </w:tcPr>
          <w:p w14:paraId="1E74FA63" w14:textId="16FEDD36" w:rsidR="00186611" w:rsidRPr="006945F4" w:rsidRDefault="00186611" w:rsidP="002B25DA">
            <w:pPr>
              <w:pStyle w:val="TableBodyText"/>
              <w:keepNext/>
              <w:keepLines/>
              <w:rPr>
                <w:sz w:val="17"/>
                <w:szCs w:val="17"/>
              </w:rPr>
            </w:pPr>
            <w:r w:rsidRPr="006945F4">
              <w:rPr>
                <w:sz w:val="17"/>
                <w:szCs w:val="17"/>
              </w:rPr>
              <w:t>27,742</w:t>
            </w:r>
          </w:p>
        </w:tc>
        <w:tc>
          <w:tcPr>
            <w:tcW w:w="487" w:type="pct"/>
            <w:vAlign w:val="top"/>
          </w:tcPr>
          <w:p w14:paraId="08B67093" w14:textId="2ED6A619" w:rsidR="00186611" w:rsidRPr="006945F4" w:rsidRDefault="00186611" w:rsidP="002B25DA">
            <w:pPr>
              <w:pStyle w:val="TableBodyText"/>
              <w:keepNext/>
              <w:keepLines/>
              <w:rPr>
                <w:sz w:val="17"/>
                <w:szCs w:val="17"/>
              </w:rPr>
            </w:pPr>
            <w:r w:rsidRPr="006945F4">
              <w:rPr>
                <w:sz w:val="17"/>
                <w:szCs w:val="17"/>
              </w:rPr>
              <w:t>1,145</w:t>
            </w:r>
          </w:p>
        </w:tc>
        <w:tc>
          <w:tcPr>
            <w:tcW w:w="437" w:type="pct"/>
            <w:vAlign w:val="top"/>
          </w:tcPr>
          <w:p w14:paraId="5A096B40" w14:textId="4AAA19E1" w:rsidR="00186611" w:rsidRPr="006945F4" w:rsidRDefault="00186611" w:rsidP="002B25DA">
            <w:pPr>
              <w:pStyle w:val="TableBodyText"/>
              <w:keepNext/>
              <w:keepLines/>
              <w:rPr>
                <w:sz w:val="17"/>
                <w:szCs w:val="17"/>
              </w:rPr>
            </w:pPr>
            <w:r w:rsidRPr="006945F4">
              <w:rPr>
                <w:sz w:val="17"/>
                <w:szCs w:val="17"/>
              </w:rPr>
              <w:t>17,788</w:t>
            </w:r>
          </w:p>
        </w:tc>
        <w:tc>
          <w:tcPr>
            <w:tcW w:w="438" w:type="pct"/>
            <w:vAlign w:val="top"/>
          </w:tcPr>
          <w:p w14:paraId="36646AC4" w14:textId="3C90299C" w:rsidR="00186611" w:rsidRPr="006945F4" w:rsidRDefault="00186611" w:rsidP="002B25DA">
            <w:pPr>
              <w:pStyle w:val="TableBodyText"/>
              <w:keepNext/>
              <w:keepLines/>
              <w:rPr>
                <w:sz w:val="17"/>
                <w:szCs w:val="17"/>
              </w:rPr>
            </w:pPr>
            <w:r w:rsidRPr="006945F4">
              <w:rPr>
                <w:sz w:val="17"/>
                <w:szCs w:val="17"/>
              </w:rPr>
              <w:t>13,665</w:t>
            </w:r>
          </w:p>
        </w:tc>
        <w:tc>
          <w:tcPr>
            <w:tcW w:w="441" w:type="pct"/>
            <w:vAlign w:val="top"/>
          </w:tcPr>
          <w:p w14:paraId="4560A5FD" w14:textId="53752587" w:rsidR="00186611" w:rsidRPr="006945F4" w:rsidRDefault="00186611" w:rsidP="002B25DA">
            <w:pPr>
              <w:pStyle w:val="TableBodyText"/>
              <w:keepNext/>
              <w:keepLines/>
              <w:rPr>
                <w:sz w:val="17"/>
                <w:szCs w:val="17"/>
              </w:rPr>
            </w:pPr>
            <w:r w:rsidRPr="006945F4">
              <w:rPr>
                <w:sz w:val="17"/>
                <w:szCs w:val="17"/>
              </w:rPr>
              <w:t>8,873,139</w:t>
            </w:r>
          </w:p>
        </w:tc>
        <w:tc>
          <w:tcPr>
            <w:tcW w:w="436" w:type="pct"/>
            <w:vAlign w:val="top"/>
          </w:tcPr>
          <w:p w14:paraId="27CCAB03" w14:textId="680536A4" w:rsidR="00186611" w:rsidRPr="006945F4" w:rsidRDefault="00186611" w:rsidP="002B25DA">
            <w:pPr>
              <w:pStyle w:val="TableBodyText"/>
              <w:keepNext/>
              <w:keepLines/>
              <w:rPr>
                <w:sz w:val="17"/>
                <w:szCs w:val="17"/>
              </w:rPr>
            </w:pPr>
            <w:r w:rsidRPr="006945F4">
              <w:rPr>
                <w:sz w:val="17"/>
                <w:szCs w:val="17"/>
              </w:rPr>
              <w:t>4,071,895</w:t>
            </w:r>
          </w:p>
        </w:tc>
        <w:tc>
          <w:tcPr>
            <w:tcW w:w="426" w:type="pct"/>
            <w:vAlign w:val="top"/>
          </w:tcPr>
          <w:p w14:paraId="71C94C3B" w14:textId="10E3B8F5" w:rsidR="00186611" w:rsidRPr="006945F4" w:rsidRDefault="00186611" w:rsidP="002B25DA">
            <w:pPr>
              <w:pStyle w:val="TableBodyText"/>
              <w:keepNext/>
              <w:keepLines/>
              <w:rPr>
                <w:sz w:val="17"/>
                <w:szCs w:val="17"/>
              </w:rPr>
            </w:pPr>
            <w:r w:rsidRPr="006945F4">
              <w:rPr>
                <w:sz w:val="17"/>
                <w:szCs w:val="17"/>
              </w:rPr>
              <w:t>643,022</w:t>
            </w:r>
          </w:p>
        </w:tc>
      </w:tr>
      <w:tr w:rsidR="00186611" w:rsidRPr="006945F4" w14:paraId="1B815E1F" w14:textId="77777777" w:rsidTr="006945F4">
        <w:trPr>
          <w:trHeight w:val="20"/>
        </w:trPr>
        <w:tc>
          <w:tcPr>
            <w:tcW w:w="584" w:type="pct"/>
            <w:vAlign w:val="top"/>
          </w:tcPr>
          <w:p w14:paraId="57E20910" w14:textId="5D8ECA2E" w:rsidR="00186611" w:rsidRPr="006945F4" w:rsidRDefault="00186611" w:rsidP="002B25DA">
            <w:pPr>
              <w:pStyle w:val="TableBodyText"/>
              <w:keepNext/>
              <w:keepLines/>
              <w:rPr>
                <w:sz w:val="17"/>
                <w:szCs w:val="17"/>
              </w:rPr>
            </w:pPr>
            <w:r w:rsidRPr="006945F4">
              <w:rPr>
                <w:sz w:val="17"/>
                <w:szCs w:val="17"/>
              </w:rPr>
              <w:t>Purchased additions</w:t>
            </w:r>
          </w:p>
        </w:tc>
        <w:tc>
          <w:tcPr>
            <w:tcW w:w="437" w:type="pct"/>
            <w:vAlign w:val="top"/>
          </w:tcPr>
          <w:p w14:paraId="1582A15A" w14:textId="3C2C582F" w:rsidR="00186611" w:rsidRPr="006945F4" w:rsidRDefault="00186611" w:rsidP="002B25DA">
            <w:pPr>
              <w:pStyle w:val="TableBodyText"/>
              <w:keepNext/>
              <w:keepLines/>
              <w:rPr>
                <w:sz w:val="17"/>
                <w:szCs w:val="17"/>
              </w:rPr>
            </w:pPr>
            <w:r w:rsidRPr="006945F4">
              <w:rPr>
                <w:sz w:val="17"/>
                <w:szCs w:val="17"/>
              </w:rPr>
              <w:t>3,952</w:t>
            </w:r>
          </w:p>
        </w:tc>
        <w:tc>
          <w:tcPr>
            <w:tcW w:w="438" w:type="pct"/>
            <w:vAlign w:val="top"/>
          </w:tcPr>
          <w:p w14:paraId="4F74BACF" w14:textId="3BDD7877" w:rsidR="00186611" w:rsidRPr="006945F4" w:rsidRDefault="00186611" w:rsidP="002B25DA">
            <w:pPr>
              <w:pStyle w:val="TableBodyText"/>
              <w:keepNext/>
              <w:keepLines/>
              <w:rPr>
                <w:sz w:val="17"/>
                <w:szCs w:val="17"/>
              </w:rPr>
            </w:pPr>
            <w:r w:rsidRPr="006945F4">
              <w:rPr>
                <w:sz w:val="17"/>
                <w:szCs w:val="17"/>
              </w:rPr>
              <w:t>N/A</w:t>
            </w:r>
          </w:p>
        </w:tc>
        <w:tc>
          <w:tcPr>
            <w:tcW w:w="438" w:type="pct"/>
            <w:vAlign w:val="top"/>
          </w:tcPr>
          <w:p w14:paraId="4C2F6B1E" w14:textId="77777777" w:rsidR="00186611" w:rsidRPr="006945F4" w:rsidRDefault="00186611" w:rsidP="002B25DA">
            <w:pPr>
              <w:pStyle w:val="TableBodyText"/>
              <w:keepNext/>
              <w:keepLines/>
              <w:rPr>
                <w:sz w:val="17"/>
                <w:szCs w:val="17"/>
              </w:rPr>
            </w:pPr>
            <w:r w:rsidRPr="006945F4">
              <w:rPr>
                <w:sz w:val="17"/>
                <w:szCs w:val="17"/>
              </w:rPr>
              <w:t>N/A</w:t>
            </w:r>
          </w:p>
        </w:tc>
        <w:tc>
          <w:tcPr>
            <w:tcW w:w="437" w:type="pct"/>
            <w:vAlign w:val="top"/>
          </w:tcPr>
          <w:p w14:paraId="522D4885" w14:textId="3ABC4336" w:rsidR="00186611" w:rsidRPr="006945F4" w:rsidRDefault="00186611" w:rsidP="002B25DA">
            <w:pPr>
              <w:pStyle w:val="TableBodyText"/>
              <w:keepNext/>
              <w:keepLines/>
              <w:rPr>
                <w:sz w:val="17"/>
                <w:szCs w:val="17"/>
              </w:rPr>
            </w:pPr>
            <w:r w:rsidRPr="006945F4">
              <w:rPr>
                <w:sz w:val="17"/>
                <w:szCs w:val="17"/>
              </w:rPr>
              <w:t>N/A</w:t>
            </w:r>
          </w:p>
        </w:tc>
        <w:tc>
          <w:tcPr>
            <w:tcW w:w="487" w:type="pct"/>
            <w:vAlign w:val="top"/>
          </w:tcPr>
          <w:p w14:paraId="2E44025D" w14:textId="5A4CBF44" w:rsidR="00186611" w:rsidRPr="006945F4" w:rsidRDefault="00186611" w:rsidP="002B25DA">
            <w:pPr>
              <w:pStyle w:val="TableBodyText"/>
              <w:keepNext/>
              <w:keepLines/>
              <w:rPr>
                <w:sz w:val="17"/>
                <w:szCs w:val="17"/>
              </w:rPr>
            </w:pPr>
            <w:r w:rsidRPr="006945F4">
              <w:rPr>
                <w:sz w:val="17"/>
                <w:szCs w:val="17"/>
              </w:rPr>
              <w:t>N/a</w:t>
            </w:r>
          </w:p>
        </w:tc>
        <w:tc>
          <w:tcPr>
            <w:tcW w:w="437" w:type="pct"/>
            <w:vAlign w:val="top"/>
          </w:tcPr>
          <w:p w14:paraId="021B80C8" w14:textId="4E5A3AC4" w:rsidR="00186611" w:rsidRPr="006945F4" w:rsidRDefault="00186611" w:rsidP="002B25DA">
            <w:pPr>
              <w:pStyle w:val="TableBodyText"/>
              <w:keepNext/>
              <w:keepLines/>
              <w:rPr>
                <w:sz w:val="17"/>
                <w:szCs w:val="17"/>
              </w:rPr>
            </w:pPr>
            <w:r w:rsidRPr="006945F4">
              <w:rPr>
                <w:sz w:val="17"/>
                <w:szCs w:val="17"/>
              </w:rPr>
              <w:t>N/a</w:t>
            </w:r>
          </w:p>
        </w:tc>
        <w:tc>
          <w:tcPr>
            <w:tcW w:w="438" w:type="pct"/>
            <w:vAlign w:val="top"/>
          </w:tcPr>
          <w:p w14:paraId="742827B5" w14:textId="1A503E57" w:rsidR="00186611" w:rsidRPr="006945F4" w:rsidRDefault="00186611" w:rsidP="002B25DA">
            <w:pPr>
              <w:pStyle w:val="TableBodyText"/>
              <w:keepNext/>
              <w:keepLines/>
              <w:rPr>
                <w:sz w:val="17"/>
                <w:szCs w:val="17"/>
              </w:rPr>
            </w:pPr>
            <w:r w:rsidRPr="006945F4">
              <w:rPr>
                <w:sz w:val="17"/>
                <w:szCs w:val="17"/>
              </w:rPr>
              <w:t>3,952</w:t>
            </w:r>
          </w:p>
        </w:tc>
        <w:tc>
          <w:tcPr>
            <w:tcW w:w="441" w:type="pct"/>
            <w:vAlign w:val="top"/>
          </w:tcPr>
          <w:p w14:paraId="43884DA8" w14:textId="51FEBA6C" w:rsidR="00186611" w:rsidRPr="006945F4" w:rsidRDefault="00186611" w:rsidP="002B25DA">
            <w:pPr>
              <w:pStyle w:val="TableBodyText"/>
              <w:keepNext/>
              <w:keepLines/>
              <w:rPr>
                <w:sz w:val="17"/>
                <w:szCs w:val="17"/>
              </w:rPr>
            </w:pPr>
            <w:r w:rsidRPr="006945F4">
              <w:rPr>
                <w:sz w:val="17"/>
                <w:szCs w:val="17"/>
              </w:rPr>
              <w:t>N/A</w:t>
            </w:r>
          </w:p>
        </w:tc>
        <w:tc>
          <w:tcPr>
            <w:tcW w:w="436" w:type="pct"/>
            <w:vAlign w:val="top"/>
          </w:tcPr>
          <w:p w14:paraId="5F17FD05" w14:textId="267B5BDC" w:rsidR="00186611" w:rsidRPr="006945F4" w:rsidRDefault="00186611" w:rsidP="002B25DA">
            <w:pPr>
              <w:pStyle w:val="TableBodyText"/>
              <w:keepNext/>
              <w:keepLines/>
              <w:rPr>
                <w:sz w:val="17"/>
                <w:szCs w:val="17"/>
              </w:rPr>
            </w:pPr>
            <w:r w:rsidRPr="006945F4">
              <w:rPr>
                <w:sz w:val="17"/>
                <w:szCs w:val="17"/>
              </w:rPr>
              <w:t>N/A</w:t>
            </w:r>
          </w:p>
        </w:tc>
        <w:tc>
          <w:tcPr>
            <w:tcW w:w="426" w:type="pct"/>
            <w:vAlign w:val="top"/>
          </w:tcPr>
          <w:p w14:paraId="3652A499" w14:textId="77777777" w:rsidR="00186611" w:rsidRPr="006945F4" w:rsidRDefault="00186611" w:rsidP="002B25DA">
            <w:pPr>
              <w:pStyle w:val="TableBodyText"/>
              <w:keepNext/>
              <w:keepLines/>
              <w:rPr>
                <w:sz w:val="17"/>
                <w:szCs w:val="17"/>
              </w:rPr>
            </w:pPr>
            <w:r w:rsidRPr="006945F4">
              <w:rPr>
                <w:sz w:val="17"/>
                <w:szCs w:val="17"/>
              </w:rPr>
              <w:t>N/A</w:t>
            </w:r>
          </w:p>
        </w:tc>
      </w:tr>
      <w:tr w:rsidR="003D1606" w:rsidRPr="006945F4" w14:paraId="49525DCB" w14:textId="77777777" w:rsidTr="006945F4">
        <w:trPr>
          <w:trHeight w:val="20"/>
        </w:trPr>
        <w:tc>
          <w:tcPr>
            <w:tcW w:w="584" w:type="pct"/>
            <w:vAlign w:val="top"/>
          </w:tcPr>
          <w:p w14:paraId="22223FA7" w14:textId="0DC22E93" w:rsidR="003D1606" w:rsidRPr="006945F4" w:rsidRDefault="003D1606" w:rsidP="002B25DA">
            <w:pPr>
              <w:pStyle w:val="TableBodyText"/>
              <w:keepNext/>
              <w:keepLines/>
              <w:rPr>
                <w:sz w:val="17"/>
                <w:szCs w:val="17"/>
              </w:rPr>
            </w:pPr>
            <w:r w:rsidRPr="006945F4">
              <w:rPr>
                <w:sz w:val="17"/>
                <w:szCs w:val="17"/>
              </w:rPr>
              <w:t>Developer contributed assets</w:t>
            </w:r>
          </w:p>
        </w:tc>
        <w:tc>
          <w:tcPr>
            <w:tcW w:w="437" w:type="pct"/>
            <w:vAlign w:val="top"/>
          </w:tcPr>
          <w:p w14:paraId="16F0BF17" w14:textId="2A5ACB3C" w:rsidR="003D1606" w:rsidRPr="006945F4" w:rsidRDefault="003D1606" w:rsidP="002B25DA">
            <w:pPr>
              <w:pStyle w:val="TableBodyText"/>
              <w:keepNext/>
              <w:keepLines/>
              <w:rPr>
                <w:sz w:val="17"/>
                <w:szCs w:val="17"/>
              </w:rPr>
            </w:pPr>
            <w:r w:rsidRPr="006945F4">
              <w:rPr>
                <w:sz w:val="17"/>
                <w:szCs w:val="17"/>
              </w:rPr>
              <w:t>38,484</w:t>
            </w:r>
          </w:p>
        </w:tc>
        <w:tc>
          <w:tcPr>
            <w:tcW w:w="438" w:type="pct"/>
            <w:vAlign w:val="top"/>
          </w:tcPr>
          <w:p w14:paraId="2CDF8B88" w14:textId="402A135F" w:rsidR="003D1606" w:rsidRPr="006945F4" w:rsidRDefault="003D1606" w:rsidP="002B25DA">
            <w:pPr>
              <w:pStyle w:val="TableBodyText"/>
              <w:keepNext/>
              <w:keepLines/>
              <w:rPr>
                <w:sz w:val="17"/>
                <w:szCs w:val="17"/>
              </w:rPr>
            </w:pPr>
            <w:r w:rsidRPr="006945F4">
              <w:rPr>
                <w:sz w:val="17"/>
                <w:szCs w:val="17"/>
              </w:rPr>
              <w:t>N/A</w:t>
            </w:r>
          </w:p>
        </w:tc>
        <w:tc>
          <w:tcPr>
            <w:tcW w:w="438" w:type="pct"/>
            <w:vAlign w:val="top"/>
          </w:tcPr>
          <w:p w14:paraId="16F8A066" w14:textId="2935FAE1" w:rsidR="003D1606" w:rsidRPr="006945F4" w:rsidRDefault="003D1606" w:rsidP="002B25DA">
            <w:pPr>
              <w:pStyle w:val="TableBodyText"/>
              <w:keepNext/>
              <w:keepLines/>
              <w:rPr>
                <w:sz w:val="17"/>
                <w:szCs w:val="17"/>
              </w:rPr>
            </w:pPr>
            <w:r w:rsidRPr="006945F4">
              <w:rPr>
                <w:sz w:val="17"/>
                <w:szCs w:val="17"/>
              </w:rPr>
              <w:t>N/A</w:t>
            </w:r>
          </w:p>
        </w:tc>
        <w:tc>
          <w:tcPr>
            <w:tcW w:w="437" w:type="pct"/>
            <w:vAlign w:val="top"/>
          </w:tcPr>
          <w:p w14:paraId="5B2E212D" w14:textId="16E65BA3" w:rsidR="003D1606" w:rsidRPr="006945F4" w:rsidRDefault="003D1606" w:rsidP="002B25DA">
            <w:pPr>
              <w:pStyle w:val="TableBodyText"/>
              <w:keepNext/>
              <w:keepLines/>
              <w:rPr>
                <w:sz w:val="17"/>
                <w:szCs w:val="17"/>
              </w:rPr>
            </w:pPr>
            <w:r w:rsidRPr="006945F4">
              <w:rPr>
                <w:sz w:val="17"/>
                <w:szCs w:val="17"/>
              </w:rPr>
              <w:t>N/A</w:t>
            </w:r>
          </w:p>
        </w:tc>
        <w:tc>
          <w:tcPr>
            <w:tcW w:w="487" w:type="pct"/>
            <w:vAlign w:val="top"/>
          </w:tcPr>
          <w:p w14:paraId="13BB9710" w14:textId="1E564426" w:rsidR="003D1606" w:rsidRPr="006945F4" w:rsidRDefault="003D1606" w:rsidP="002B25DA">
            <w:pPr>
              <w:pStyle w:val="TableBodyText"/>
              <w:keepNext/>
              <w:keepLines/>
              <w:rPr>
                <w:sz w:val="17"/>
                <w:szCs w:val="17"/>
              </w:rPr>
            </w:pPr>
            <w:r w:rsidRPr="006945F4">
              <w:rPr>
                <w:sz w:val="17"/>
                <w:szCs w:val="17"/>
              </w:rPr>
              <w:t>N/A</w:t>
            </w:r>
          </w:p>
        </w:tc>
        <w:tc>
          <w:tcPr>
            <w:tcW w:w="437" w:type="pct"/>
            <w:vAlign w:val="top"/>
          </w:tcPr>
          <w:p w14:paraId="1E9F00E1" w14:textId="6E8127AA" w:rsidR="003D1606" w:rsidRPr="006945F4" w:rsidRDefault="003D1606" w:rsidP="002B25DA">
            <w:pPr>
              <w:pStyle w:val="TableBodyText"/>
              <w:keepNext/>
              <w:keepLines/>
              <w:rPr>
                <w:sz w:val="17"/>
                <w:szCs w:val="17"/>
              </w:rPr>
            </w:pPr>
            <w:r w:rsidRPr="006945F4">
              <w:rPr>
                <w:sz w:val="17"/>
                <w:szCs w:val="17"/>
              </w:rPr>
              <w:t>N/A</w:t>
            </w:r>
          </w:p>
        </w:tc>
        <w:tc>
          <w:tcPr>
            <w:tcW w:w="438" w:type="pct"/>
            <w:vAlign w:val="top"/>
          </w:tcPr>
          <w:p w14:paraId="54F176D4" w14:textId="6BDB97FF" w:rsidR="003D1606" w:rsidRPr="006945F4" w:rsidRDefault="003D1606" w:rsidP="002B25DA">
            <w:pPr>
              <w:pStyle w:val="TableBodyText"/>
              <w:keepNext/>
              <w:keepLines/>
              <w:rPr>
                <w:sz w:val="17"/>
                <w:szCs w:val="17"/>
              </w:rPr>
            </w:pPr>
            <w:r w:rsidRPr="006945F4">
              <w:rPr>
                <w:sz w:val="17"/>
                <w:szCs w:val="17"/>
              </w:rPr>
              <w:t>N/A</w:t>
            </w:r>
          </w:p>
        </w:tc>
        <w:tc>
          <w:tcPr>
            <w:tcW w:w="441" w:type="pct"/>
            <w:vAlign w:val="top"/>
          </w:tcPr>
          <w:p w14:paraId="4E687A9B" w14:textId="5ED3AC15" w:rsidR="003D1606" w:rsidRPr="006945F4" w:rsidRDefault="006945F4" w:rsidP="002B25DA">
            <w:pPr>
              <w:pStyle w:val="TableBodyText"/>
              <w:keepNext/>
              <w:keepLines/>
              <w:rPr>
                <w:sz w:val="17"/>
                <w:szCs w:val="17"/>
              </w:rPr>
            </w:pPr>
            <w:r>
              <w:rPr>
                <w:sz w:val="17"/>
                <w:szCs w:val="17"/>
              </w:rPr>
              <w:t>38,484</w:t>
            </w:r>
          </w:p>
        </w:tc>
        <w:tc>
          <w:tcPr>
            <w:tcW w:w="436" w:type="pct"/>
            <w:vAlign w:val="top"/>
          </w:tcPr>
          <w:p w14:paraId="1934731D" w14:textId="286D94AE" w:rsidR="003D1606" w:rsidRPr="006945F4" w:rsidRDefault="003D1606" w:rsidP="002B25DA">
            <w:pPr>
              <w:pStyle w:val="TableBodyText"/>
              <w:keepNext/>
              <w:keepLines/>
              <w:rPr>
                <w:sz w:val="17"/>
                <w:szCs w:val="17"/>
              </w:rPr>
            </w:pPr>
            <w:r w:rsidRPr="006945F4">
              <w:rPr>
                <w:sz w:val="17"/>
                <w:szCs w:val="17"/>
              </w:rPr>
              <w:t>N/A</w:t>
            </w:r>
          </w:p>
        </w:tc>
        <w:tc>
          <w:tcPr>
            <w:tcW w:w="426" w:type="pct"/>
            <w:vAlign w:val="top"/>
          </w:tcPr>
          <w:p w14:paraId="0C30DB1B" w14:textId="0EED8FB6" w:rsidR="003D1606" w:rsidRPr="006945F4" w:rsidRDefault="003D1606" w:rsidP="002B25DA">
            <w:pPr>
              <w:pStyle w:val="TableBodyText"/>
              <w:keepNext/>
              <w:keepLines/>
              <w:rPr>
                <w:sz w:val="17"/>
                <w:szCs w:val="17"/>
              </w:rPr>
            </w:pPr>
            <w:r w:rsidRPr="006945F4">
              <w:rPr>
                <w:sz w:val="17"/>
                <w:szCs w:val="17"/>
              </w:rPr>
              <w:t>N/A</w:t>
            </w:r>
          </w:p>
        </w:tc>
      </w:tr>
      <w:tr w:rsidR="00186611" w:rsidRPr="006945F4" w14:paraId="0C822131" w14:textId="77777777" w:rsidTr="006945F4">
        <w:trPr>
          <w:trHeight w:val="20"/>
        </w:trPr>
        <w:tc>
          <w:tcPr>
            <w:tcW w:w="584" w:type="pct"/>
            <w:vAlign w:val="top"/>
          </w:tcPr>
          <w:p w14:paraId="3E6C15ED" w14:textId="69FE29E8" w:rsidR="00186611" w:rsidRPr="006945F4" w:rsidRDefault="00186611" w:rsidP="006945F4">
            <w:pPr>
              <w:pStyle w:val="TableBodyText"/>
              <w:rPr>
                <w:sz w:val="17"/>
                <w:szCs w:val="17"/>
              </w:rPr>
            </w:pPr>
            <w:r w:rsidRPr="006945F4">
              <w:rPr>
                <w:sz w:val="17"/>
                <w:szCs w:val="17"/>
              </w:rPr>
              <w:t>Disposals and write-offs</w:t>
            </w:r>
          </w:p>
        </w:tc>
        <w:tc>
          <w:tcPr>
            <w:tcW w:w="437" w:type="pct"/>
            <w:vAlign w:val="top"/>
          </w:tcPr>
          <w:p w14:paraId="5391F1AC" w14:textId="4B10AB3F" w:rsidR="00186611" w:rsidRPr="006945F4" w:rsidRDefault="00186611" w:rsidP="006945F4">
            <w:pPr>
              <w:pStyle w:val="TableBodyText"/>
              <w:rPr>
                <w:sz w:val="17"/>
                <w:szCs w:val="17"/>
              </w:rPr>
            </w:pPr>
            <w:r w:rsidRPr="006945F4">
              <w:rPr>
                <w:sz w:val="17"/>
                <w:szCs w:val="17"/>
              </w:rPr>
              <w:t>(49,171)</w:t>
            </w:r>
          </w:p>
        </w:tc>
        <w:tc>
          <w:tcPr>
            <w:tcW w:w="438" w:type="pct"/>
            <w:vAlign w:val="top"/>
          </w:tcPr>
          <w:p w14:paraId="20F145C1" w14:textId="62FF59DF" w:rsidR="00186611" w:rsidRPr="006945F4" w:rsidRDefault="00186611" w:rsidP="006945F4">
            <w:pPr>
              <w:pStyle w:val="TableBodyText"/>
              <w:rPr>
                <w:sz w:val="17"/>
                <w:szCs w:val="17"/>
              </w:rPr>
            </w:pPr>
            <w:r w:rsidRPr="006945F4">
              <w:rPr>
                <w:sz w:val="17"/>
                <w:szCs w:val="17"/>
              </w:rPr>
              <w:t>(11)</w:t>
            </w:r>
          </w:p>
        </w:tc>
        <w:tc>
          <w:tcPr>
            <w:tcW w:w="438" w:type="pct"/>
            <w:vAlign w:val="top"/>
          </w:tcPr>
          <w:p w14:paraId="630DB0AA" w14:textId="029584AC" w:rsidR="00186611" w:rsidRPr="006945F4" w:rsidRDefault="00186611" w:rsidP="006945F4">
            <w:pPr>
              <w:pStyle w:val="TableBodyText"/>
              <w:rPr>
                <w:sz w:val="17"/>
                <w:szCs w:val="17"/>
              </w:rPr>
            </w:pPr>
            <w:r w:rsidRPr="006945F4">
              <w:rPr>
                <w:sz w:val="17"/>
                <w:szCs w:val="17"/>
              </w:rPr>
              <w:t>(4,758)</w:t>
            </w:r>
          </w:p>
        </w:tc>
        <w:tc>
          <w:tcPr>
            <w:tcW w:w="437" w:type="pct"/>
            <w:vAlign w:val="top"/>
          </w:tcPr>
          <w:p w14:paraId="1F3F4266" w14:textId="28D4BFFD" w:rsidR="00186611" w:rsidRPr="006945F4" w:rsidRDefault="00186611" w:rsidP="006945F4">
            <w:pPr>
              <w:pStyle w:val="TableBodyText"/>
              <w:rPr>
                <w:sz w:val="17"/>
                <w:szCs w:val="17"/>
              </w:rPr>
            </w:pPr>
            <w:r w:rsidRPr="006945F4">
              <w:rPr>
                <w:sz w:val="17"/>
                <w:szCs w:val="17"/>
              </w:rPr>
              <w:t>N/A</w:t>
            </w:r>
          </w:p>
        </w:tc>
        <w:tc>
          <w:tcPr>
            <w:tcW w:w="487" w:type="pct"/>
            <w:vAlign w:val="top"/>
          </w:tcPr>
          <w:p w14:paraId="58E31852" w14:textId="69AB497A" w:rsidR="00186611" w:rsidRPr="006945F4" w:rsidRDefault="00186611" w:rsidP="006945F4">
            <w:pPr>
              <w:pStyle w:val="TableBodyText"/>
              <w:rPr>
                <w:sz w:val="17"/>
                <w:szCs w:val="17"/>
              </w:rPr>
            </w:pPr>
            <w:r w:rsidRPr="006945F4">
              <w:rPr>
                <w:sz w:val="17"/>
                <w:szCs w:val="17"/>
              </w:rPr>
              <w:t>N/A</w:t>
            </w:r>
          </w:p>
        </w:tc>
        <w:tc>
          <w:tcPr>
            <w:tcW w:w="437" w:type="pct"/>
            <w:vAlign w:val="top"/>
          </w:tcPr>
          <w:p w14:paraId="1B28F6C1" w14:textId="0E9E0ADC" w:rsidR="00186611" w:rsidRPr="006945F4" w:rsidRDefault="00186611" w:rsidP="006945F4">
            <w:pPr>
              <w:pStyle w:val="TableBodyText"/>
              <w:rPr>
                <w:sz w:val="17"/>
                <w:szCs w:val="17"/>
              </w:rPr>
            </w:pPr>
            <w:r w:rsidRPr="006945F4">
              <w:rPr>
                <w:sz w:val="17"/>
                <w:szCs w:val="17"/>
              </w:rPr>
              <w:t>(13)</w:t>
            </w:r>
          </w:p>
        </w:tc>
        <w:tc>
          <w:tcPr>
            <w:tcW w:w="438" w:type="pct"/>
            <w:vAlign w:val="top"/>
          </w:tcPr>
          <w:p w14:paraId="0D8F1259" w14:textId="446F668E" w:rsidR="00186611" w:rsidRPr="006945F4" w:rsidRDefault="00186611" w:rsidP="006945F4">
            <w:pPr>
              <w:pStyle w:val="TableBodyText"/>
              <w:rPr>
                <w:sz w:val="17"/>
                <w:szCs w:val="17"/>
              </w:rPr>
            </w:pPr>
            <w:r w:rsidRPr="006945F4">
              <w:rPr>
                <w:sz w:val="17"/>
                <w:szCs w:val="17"/>
              </w:rPr>
              <w:t>(723)</w:t>
            </w:r>
          </w:p>
        </w:tc>
        <w:tc>
          <w:tcPr>
            <w:tcW w:w="441" w:type="pct"/>
            <w:vAlign w:val="top"/>
          </w:tcPr>
          <w:p w14:paraId="44BF97B4" w14:textId="02362DEE" w:rsidR="00186611" w:rsidRPr="006945F4" w:rsidRDefault="00186611" w:rsidP="006945F4">
            <w:pPr>
              <w:pStyle w:val="TableBodyText"/>
              <w:rPr>
                <w:sz w:val="17"/>
                <w:szCs w:val="17"/>
              </w:rPr>
            </w:pPr>
            <w:r w:rsidRPr="006945F4">
              <w:rPr>
                <w:sz w:val="17"/>
                <w:szCs w:val="17"/>
              </w:rPr>
              <w:t>(40,951)</w:t>
            </w:r>
          </w:p>
        </w:tc>
        <w:tc>
          <w:tcPr>
            <w:tcW w:w="436" w:type="pct"/>
            <w:vAlign w:val="top"/>
          </w:tcPr>
          <w:p w14:paraId="052BB726" w14:textId="6EA1A4DE" w:rsidR="00186611" w:rsidRPr="006945F4" w:rsidRDefault="00186611" w:rsidP="006945F4">
            <w:pPr>
              <w:pStyle w:val="TableBodyText"/>
              <w:rPr>
                <w:sz w:val="17"/>
                <w:szCs w:val="17"/>
              </w:rPr>
            </w:pPr>
            <w:r w:rsidRPr="006945F4">
              <w:rPr>
                <w:sz w:val="17"/>
                <w:szCs w:val="17"/>
              </w:rPr>
              <w:t>N/A</w:t>
            </w:r>
          </w:p>
        </w:tc>
        <w:tc>
          <w:tcPr>
            <w:tcW w:w="426" w:type="pct"/>
            <w:vAlign w:val="top"/>
          </w:tcPr>
          <w:p w14:paraId="791DEFB6" w14:textId="272241E8" w:rsidR="00186611" w:rsidRPr="006945F4" w:rsidRDefault="00186611" w:rsidP="006945F4">
            <w:pPr>
              <w:pStyle w:val="TableBodyText"/>
              <w:rPr>
                <w:sz w:val="17"/>
                <w:szCs w:val="17"/>
              </w:rPr>
            </w:pPr>
            <w:r w:rsidRPr="006945F4">
              <w:rPr>
                <w:sz w:val="17"/>
                <w:szCs w:val="17"/>
              </w:rPr>
              <w:t>(2,715)</w:t>
            </w:r>
          </w:p>
        </w:tc>
      </w:tr>
      <w:tr w:rsidR="003D1606" w:rsidRPr="006945F4" w14:paraId="71A0E08C" w14:textId="77777777" w:rsidTr="006945F4">
        <w:trPr>
          <w:trHeight w:val="20"/>
        </w:trPr>
        <w:tc>
          <w:tcPr>
            <w:tcW w:w="584" w:type="pct"/>
            <w:vAlign w:val="top"/>
          </w:tcPr>
          <w:p w14:paraId="48F67A84" w14:textId="45AF0B53" w:rsidR="003D1606" w:rsidRPr="006945F4" w:rsidRDefault="003D1606" w:rsidP="006945F4">
            <w:pPr>
              <w:pStyle w:val="TableBodyText"/>
              <w:rPr>
                <w:sz w:val="17"/>
                <w:szCs w:val="17"/>
              </w:rPr>
            </w:pPr>
            <w:r w:rsidRPr="006945F4">
              <w:rPr>
                <w:sz w:val="17"/>
                <w:szCs w:val="17"/>
              </w:rPr>
              <w:t>Depreciation and amortisation</w:t>
            </w:r>
          </w:p>
        </w:tc>
        <w:tc>
          <w:tcPr>
            <w:tcW w:w="437" w:type="pct"/>
            <w:vAlign w:val="top"/>
          </w:tcPr>
          <w:p w14:paraId="32C70866" w14:textId="58A0DA3F" w:rsidR="003D1606" w:rsidRPr="006945F4" w:rsidRDefault="003D1606" w:rsidP="006945F4">
            <w:pPr>
              <w:pStyle w:val="TableBodyText"/>
              <w:rPr>
                <w:sz w:val="17"/>
                <w:szCs w:val="17"/>
              </w:rPr>
            </w:pPr>
            <w:r w:rsidRPr="006945F4">
              <w:rPr>
                <w:sz w:val="17"/>
                <w:szCs w:val="17"/>
              </w:rPr>
              <w:t>(417,544)</w:t>
            </w:r>
          </w:p>
        </w:tc>
        <w:tc>
          <w:tcPr>
            <w:tcW w:w="438" w:type="pct"/>
            <w:vAlign w:val="top"/>
          </w:tcPr>
          <w:p w14:paraId="189A00DB" w14:textId="657991C6" w:rsidR="003D1606" w:rsidRPr="006945F4" w:rsidRDefault="003D1606" w:rsidP="006945F4">
            <w:pPr>
              <w:pStyle w:val="TableBodyText"/>
              <w:rPr>
                <w:sz w:val="17"/>
                <w:szCs w:val="17"/>
              </w:rPr>
            </w:pPr>
            <w:r w:rsidRPr="006945F4">
              <w:rPr>
                <w:sz w:val="17"/>
                <w:szCs w:val="17"/>
              </w:rPr>
              <w:t>N/A</w:t>
            </w:r>
          </w:p>
        </w:tc>
        <w:tc>
          <w:tcPr>
            <w:tcW w:w="438" w:type="pct"/>
            <w:vAlign w:val="top"/>
          </w:tcPr>
          <w:p w14:paraId="671F9631" w14:textId="03DA42F5" w:rsidR="003D1606" w:rsidRPr="006945F4" w:rsidRDefault="003D1606" w:rsidP="006945F4">
            <w:pPr>
              <w:pStyle w:val="TableBodyText"/>
              <w:rPr>
                <w:sz w:val="17"/>
                <w:szCs w:val="17"/>
              </w:rPr>
            </w:pPr>
            <w:r w:rsidRPr="006945F4">
              <w:rPr>
                <w:sz w:val="17"/>
                <w:szCs w:val="17"/>
              </w:rPr>
              <w:t>N/A</w:t>
            </w:r>
          </w:p>
        </w:tc>
        <w:tc>
          <w:tcPr>
            <w:tcW w:w="437" w:type="pct"/>
            <w:vAlign w:val="top"/>
          </w:tcPr>
          <w:p w14:paraId="41D1BE53" w14:textId="747E55CA" w:rsidR="003D1606" w:rsidRPr="006945F4" w:rsidRDefault="003D1606" w:rsidP="006945F4">
            <w:pPr>
              <w:pStyle w:val="TableBodyText"/>
              <w:rPr>
                <w:sz w:val="17"/>
                <w:szCs w:val="17"/>
              </w:rPr>
            </w:pPr>
            <w:r w:rsidRPr="006945F4">
              <w:rPr>
                <w:sz w:val="17"/>
                <w:szCs w:val="17"/>
              </w:rPr>
              <w:t>(1,086)</w:t>
            </w:r>
          </w:p>
        </w:tc>
        <w:tc>
          <w:tcPr>
            <w:tcW w:w="487" w:type="pct"/>
            <w:vAlign w:val="top"/>
          </w:tcPr>
          <w:p w14:paraId="267F5EE7" w14:textId="3CFFDA19" w:rsidR="003D1606" w:rsidRPr="006945F4" w:rsidRDefault="003D1606" w:rsidP="006945F4">
            <w:pPr>
              <w:pStyle w:val="TableBodyText"/>
              <w:rPr>
                <w:sz w:val="17"/>
                <w:szCs w:val="17"/>
              </w:rPr>
            </w:pPr>
            <w:r w:rsidRPr="006945F4">
              <w:rPr>
                <w:sz w:val="17"/>
                <w:szCs w:val="17"/>
              </w:rPr>
              <w:t>(164)</w:t>
            </w:r>
          </w:p>
        </w:tc>
        <w:tc>
          <w:tcPr>
            <w:tcW w:w="437" w:type="pct"/>
            <w:vAlign w:val="top"/>
          </w:tcPr>
          <w:p w14:paraId="7F689B35" w14:textId="6B980C02" w:rsidR="003D1606" w:rsidRPr="006945F4" w:rsidRDefault="003D1606" w:rsidP="006945F4">
            <w:pPr>
              <w:pStyle w:val="TableBodyText"/>
              <w:rPr>
                <w:sz w:val="17"/>
                <w:szCs w:val="17"/>
              </w:rPr>
            </w:pPr>
            <w:r w:rsidRPr="006945F4">
              <w:rPr>
                <w:sz w:val="17"/>
                <w:szCs w:val="17"/>
              </w:rPr>
              <w:t>(5,035)</w:t>
            </w:r>
          </w:p>
        </w:tc>
        <w:tc>
          <w:tcPr>
            <w:tcW w:w="438" w:type="pct"/>
            <w:vAlign w:val="top"/>
          </w:tcPr>
          <w:p w14:paraId="6B17318B" w14:textId="1B9C78A2" w:rsidR="003D1606" w:rsidRPr="006945F4" w:rsidRDefault="003D1606" w:rsidP="006945F4">
            <w:pPr>
              <w:pStyle w:val="TableBodyText"/>
              <w:rPr>
                <w:sz w:val="17"/>
                <w:szCs w:val="17"/>
              </w:rPr>
            </w:pPr>
            <w:r w:rsidRPr="006945F4">
              <w:rPr>
                <w:sz w:val="17"/>
                <w:szCs w:val="17"/>
              </w:rPr>
              <w:t>(2,346)</w:t>
            </w:r>
          </w:p>
        </w:tc>
        <w:tc>
          <w:tcPr>
            <w:tcW w:w="441" w:type="pct"/>
            <w:vAlign w:val="top"/>
          </w:tcPr>
          <w:p w14:paraId="73D493E9" w14:textId="792EE653" w:rsidR="003D1606" w:rsidRPr="006945F4" w:rsidRDefault="003D1606" w:rsidP="006945F4">
            <w:pPr>
              <w:pStyle w:val="TableBodyText"/>
              <w:rPr>
                <w:sz w:val="17"/>
                <w:szCs w:val="17"/>
              </w:rPr>
            </w:pPr>
            <w:r w:rsidRPr="006945F4">
              <w:rPr>
                <w:sz w:val="17"/>
                <w:szCs w:val="17"/>
              </w:rPr>
              <w:t>(331,359)</w:t>
            </w:r>
          </w:p>
        </w:tc>
        <w:tc>
          <w:tcPr>
            <w:tcW w:w="436" w:type="pct"/>
            <w:vAlign w:val="top"/>
          </w:tcPr>
          <w:p w14:paraId="3D3B3992" w14:textId="79436CC9" w:rsidR="003D1606" w:rsidRPr="006945F4" w:rsidRDefault="003D1606" w:rsidP="006945F4">
            <w:pPr>
              <w:pStyle w:val="TableBodyText"/>
              <w:rPr>
                <w:sz w:val="17"/>
                <w:szCs w:val="17"/>
              </w:rPr>
            </w:pPr>
            <w:r w:rsidRPr="006945F4">
              <w:rPr>
                <w:sz w:val="17"/>
                <w:szCs w:val="17"/>
              </w:rPr>
              <w:t>(77,554)</w:t>
            </w:r>
          </w:p>
        </w:tc>
        <w:tc>
          <w:tcPr>
            <w:tcW w:w="426" w:type="pct"/>
            <w:vAlign w:val="top"/>
          </w:tcPr>
          <w:p w14:paraId="241C6D7B" w14:textId="23231B36" w:rsidR="003D1606" w:rsidRPr="006945F4" w:rsidRDefault="003D1606" w:rsidP="006945F4">
            <w:pPr>
              <w:pStyle w:val="TableBodyText"/>
              <w:rPr>
                <w:sz w:val="17"/>
                <w:szCs w:val="17"/>
              </w:rPr>
            </w:pPr>
            <w:r w:rsidRPr="006945F4">
              <w:rPr>
                <w:sz w:val="17"/>
                <w:szCs w:val="17"/>
              </w:rPr>
              <w:t>N/A</w:t>
            </w:r>
          </w:p>
        </w:tc>
      </w:tr>
      <w:tr w:rsidR="003D1606" w:rsidRPr="006945F4" w14:paraId="6391A2EB" w14:textId="77777777" w:rsidTr="006945F4">
        <w:trPr>
          <w:trHeight w:val="20"/>
        </w:trPr>
        <w:tc>
          <w:tcPr>
            <w:tcW w:w="584" w:type="pct"/>
            <w:vAlign w:val="top"/>
          </w:tcPr>
          <w:p w14:paraId="7C691AC3" w14:textId="592CE46E" w:rsidR="003D1606" w:rsidRPr="006945F4" w:rsidRDefault="003D1606" w:rsidP="006945F4">
            <w:pPr>
              <w:pStyle w:val="TableBodyText"/>
              <w:rPr>
                <w:sz w:val="17"/>
                <w:szCs w:val="17"/>
              </w:rPr>
            </w:pPr>
            <w:r w:rsidRPr="006945F4">
              <w:rPr>
                <w:sz w:val="17"/>
                <w:szCs w:val="17"/>
              </w:rPr>
              <w:t xml:space="preserve">Transfers between classes </w:t>
            </w:r>
            <w:hyperlink w:anchor="NoteaTable411" w:history="1">
              <w:r w:rsidRPr="006945F4">
                <w:rPr>
                  <w:rStyle w:val="Hyperlink"/>
                  <w:sz w:val="17"/>
                  <w:szCs w:val="17"/>
                </w:rPr>
                <w:t>refer note a</w:t>
              </w:r>
            </w:hyperlink>
          </w:p>
        </w:tc>
        <w:tc>
          <w:tcPr>
            <w:tcW w:w="437" w:type="pct"/>
            <w:vAlign w:val="top"/>
          </w:tcPr>
          <w:p w14:paraId="67349E27" w14:textId="6CAA85FE" w:rsidR="003D1606" w:rsidRPr="006945F4" w:rsidRDefault="003D1606" w:rsidP="006945F4">
            <w:pPr>
              <w:pStyle w:val="TableBodyText"/>
              <w:rPr>
                <w:sz w:val="17"/>
                <w:szCs w:val="17"/>
              </w:rPr>
            </w:pPr>
            <w:r w:rsidRPr="006945F4">
              <w:rPr>
                <w:sz w:val="17"/>
                <w:szCs w:val="17"/>
              </w:rPr>
              <w:t>8</w:t>
            </w:r>
          </w:p>
        </w:tc>
        <w:tc>
          <w:tcPr>
            <w:tcW w:w="438" w:type="pct"/>
            <w:vAlign w:val="top"/>
          </w:tcPr>
          <w:p w14:paraId="68A42CFC" w14:textId="64E35C14" w:rsidR="003D1606" w:rsidRPr="006945F4" w:rsidRDefault="003D1606" w:rsidP="006945F4">
            <w:pPr>
              <w:pStyle w:val="TableBodyText"/>
              <w:rPr>
                <w:sz w:val="17"/>
                <w:szCs w:val="17"/>
              </w:rPr>
            </w:pPr>
            <w:r w:rsidRPr="006945F4">
              <w:rPr>
                <w:sz w:val="17"/>
                <w:szCs w:val="17"/>
              </w:rPr>
              <w:t>3</w:t>
            </w:r>
          </w:p>
        </w:tc>
        <w:tc>
          <w:tcPr>
            <w:tcW w:w="438" w:type="pct"/>
            <w:vAlign w:val="top"/>
          </w:tcPr>
          <w:p w14:paraId="7D5EB22F" w14:textId="03234E48" w:rsidR="003D1606" w:rsidRPr="006945F4" w:rsidRDefault="003D1606" w:rsidP="006945F4">
            <w:pPr>
              <w:pStyle w:val="TableBodyText"/>
              <w:rPr>
                <w:sz w:val="17"/>
                <w:szCs w:val="17"/>
              </w:rPr>
            </w:pPr>
            <w:r w:rsidRPr="006945F4">
              <w:rPr>
                <w:sz w:val="17"/>
                <w:szCs w:val="17"/>
              </w:rPr>
              <w:t>(3)</w:t>
            </w:r>
          </w:p>
        </w:tc>
        <w:tc>
          <w:tcPr>
            <w:tcW w:w="437" w:type="pct"/>
            <w:vAlign w:val="top"/>
          </w:tcPr>
          <w:p w14:paraId="34E6B1D5" w14:textId="5245F041" w:rsidR="003D1606" w:rsidRPr="006945F4" w:rsidRDefault="003D1606" w:rsidP="006945F4">
            <w:pPr>
              <w:pStyle w:val="TableBodyText"/>
              <w:rPr>
                <w:sz w:val="17"/>
                <w:szCs w:val="17"/>
              </w:rPr>
            </w:pPr>
            <w:r w:rsidRPr="006945F4">
              <w:rPr>
                <w:sz w:val="17"/>
                <w:szCs w:val="17"/>
              </w:rPr>
              <w:t>3,598</w:t>
            </w:r>
          </w:p>
        </w:tc>
        <w:tc>
          <w:tcPr>
            <w:tcW w:w="487" w:type="pct"/>
            <w:vAlign w:val="top"/>
          </w:tcPr>
          <w:p w14:paraId="1140FC7E" w14:textId="1EF6EA67" w:rsidR="003D1606" w:rsidRPr="006945F4" w:rsidRDefault="003D1606" w:rsidP="006945F4">
            <w:pPr>
              <w:pStyle w:val="TableBodyText"/>
              <w:rPr>
                <w:sz w:val="17"/>
                <w:szCs w:val="17"/>
              </w:rPr>
            </w:pPr>
            <w:r w:rsidRPr="006945F4">
              <w:rPr>
                <w:sz w:val="17"/>
                <w:szCs w:val="17"/>
              </w:rPr>
              <w:t>N/A</w:t>
            </w:r>
          </w:p>
        </w:tc>
        <w:tc>
          <w:tcPr>
            <w:tcW w:w="437" w:type="pct"/>
            <w:vAlign w:val="top"/>
          </w:tcPr>
          <w:p w14:paraId="05232586" w14:textId="54ED5603" w:rsidR="003D1606" w:rsidRPr="006945F4" w:rsidRDefault="003D1606" w:rsidP="006945F4">
            <w:pPr>
              <w:pStyle w:val="TableBodyText"/>
              <w:rPr>
                <w:sz w:val="17"/>
                <w:szCs w:val="17"/>
              </w:rPr>
            </w:pPr>
            <w:r w:rsidRPr="006945F4">
              <w:rPr>
                <w:sz w:val="17"/>
                <w:szCs w:val="17"/>
              </w:rPr>
              <w:t>50</w:t>
            </w:r>
          </w:p>
        </w:tc>
        <w:tc>
          <w:tcPr>
            <w:tcW w:w="438" w:type="pct"/>
            <w:vAlign w:val="top"/>
          </w:tcPr>
          <w:p w14:paraId="30633E8D" w14:textId="7076F4AA" w:rsidR="003D1606" w:rsidRPr="006945F4" w:rsidRDefault="003D1606" w:rsidP="006945F4">
            <w:pPr>
              <w:pStyle w:val="TableBodyText"/>
              <w:rPr>
                <w:sz w:val="17"/>
                <w:szCs w:val="17"/>
              </w:rPr>
            </w:pPr>
            <w:r w:rsidRPr="006945F4">
              <w:rPr>
                <w:sz w:val="17"/>
                <w:szCs w:val="17"/>
              </w:rPr>
              <w:t>(38)</w:t>
            </w:r>
          </w:p>
        </w:tc>
        <w:tc>
          <w:tcPr>
            <w:tcW w:w="441" w:type="pct"/>
            <w:vAlign w:val="top"/>
          </w:tcPr>
          <w:p w14:paraId="6A637BE4" w14:textId="26E9EC50" w:rsidR="003D1606" w:rsidRPr="006945F4" w:rsidRDefault="003D1606" w:rsidP="006945F4">
            <w:pPr>
              <w:pStyle w:val="TableBodyText"/>
              <w:rPr>
                <w:sz w:val="17"/>
                <w:szCs w:val="17"/>
              </w:rPr>
            </w:pPr>
            <w:r w:rsidRPr="006945F4">
              <w:rPr>
                <w:sz w:val="17"/>
                <w:szCs w:val="17"/>
              </w:rPr>
              <w:t>(3,602)</w:t>
            </w:r>
          </w:p>
        </w:tc>
        <w:tc>
          <w:tcPr>
            <w:tcW w:w="436" w:type="pct"/>
            <w:vAlign w:val="top"/>
          </w:tcPr>
          <w:p w14:paraId="0594BD69" w14:textId="275E997B" w:rsidR="003D1606" w:rsidRPr="006945F4" w:rsidRDefault="003D1606" w:rsidP="006945F4">
            <w:pPr>
              <w:pStyle w:val="TableBodyText"/>
              <w:rPr>
                <w:sz w:val="17"/>
                <w:szCs w:val="17"/>
              </w:rPr>
            </w:pPr>
            <w:r w:rsidRPr="006945F4">
              <w:rPr>
                <w:sz w:val="17"/>
                <w:szCs w:val="17"/>
              </w:rPr>
              <w:t>N/A</w:t>
            </w:r>
          </w:p>
        </w:tc>
        <w:tc>
          <w:tcPr>
            <w:tcW w:w="426" w:type="pct"/>
            <w:vAlign w:val="top"/>
          </w:tcPr>
          <w:p w14:paraId="363327FB" w14:textId="01608FBE" w:rsidR="003D1606" w:rsidRPr="006945F4" w:rsidRDefault="003D1606" w:rsidP="006945F4">
            <w:pPr>
              <w:pStyle w:val="TableBodyText"/>
              <w:rPr>
                <w:sz w:val="17"/>
                <w:szCs w:val="17"/>
              </w:rPr>
            </w:pPr>
            <w:r w:rsidRPr="006945F4">
              <w:rPr>
                <w:sz w:val="17"/>
                <w:szCs w:val="17"/>
              </w:rPr>
              <w:t>N/A</w:t>
            </w:r>
          </w:p>
        </w:tc>
      </w:tr>
      <w:tr w:rsidR="003D1606" w:rsidRPr="006945F4" w14:paraId="73AD8C08" w14:textId="77777777" w:rsidTr="006945F4">
        <w:trPr>
          <w:trHeight w:val="20"/>
        </w:trPr>
        <w:tc>
          <w:tcPr>
            <w:tcW w:w="584" w:type="pct"/>
            <w:vAlign w:val="top"/>
          </w:tcPr>
          <w:p w14:paraId="2CB1C068" w14:textId="34284515" w:rsidR="003D1606" w:rsidRPr="006945F4" w:rsidRDefault="003D1606" w:rsidP="006945F4">
            <w:pPr>
              <w:pStyle w:val="TableBodyText"/>
              <w:rPr>
                <w:sz w:val="17"/>
                <w:szCs w:val="17"/>
              </w:rPr>
            </w:pPr>
            <w:r w:rsidRPr="006945F4">
              <w:rPr>
                <w:sz w:val="17"/>
                <w:szCs w:val="17"/>
              </w:rPr>
              <w:t>Assets classified as held for sale</w:t>
            </w:r>
          </w:p>
        </w:tc>
        <w:tc>
          <w:tcPr>
            <w:tcW w:w="437" w:type="pct"/>
            <w:vAlign w:val="top"/>
          </w:tcPr>
          <w:p w14:paraId="3A2F2CEC" w14:textId="7B156B5E" w:rsidR="003D1606" w:rsidRPr="006945F4" w:rsidRDefault="003D1606" w:rsidP="006945F4">
            <w:pPr>
              <w:pStyle w:val="TableBodyText"/>
              <w:rPr>
                <w:sz w:val="17"/>
                <w:szCs w:val="17"/>
              </w:rPr>
            </w:pPr>
            <w:r w:rsidRPr="006945F4">
              <w:rPr>
                <w:sz w:val="17"/>
                <w:szCs w:val="17"/>
              </w:rPr>
              <w:t>(10,469)</w:t>
            </w:r>
          </w:p>
        </w:tc>
        <w:tc>
          <w:tcPr>
            <w:tcW w:w="438" w:type="pct"/>
            <w:vAlign w:val="top"/>
          </w:tcPr>
          <w:p w14:paraId="3EDB3D17" w14:textId="1468B812" w:rsidR="003D1606" w:rsidRPr="006945F4" w:rsidRDefault="003D1606" w:rsidP="006945F4">
            <w:pPr>
              <w:pStyle w:val="TableBodyText"/>
              <w:rPr>
                <w:sz w:val="17"/>
                <w:szCs w:val="17"/>
              </w:rPr>
            </w:pPr>
            <w:r w:rsidRPr="006945F4">
              <w:rPr>
                <w:sz w:val="17"/>
                <w:szCs w:val="17"/>
              </w:rPr>
              <w:t>N/A</w:t>
            </w:r>
          </w:p>
        </w:tc>
        <w:tc>
          <w:tcPr>
            <w:tcW w:w="438" w:type="pct"/>
            <w:vAlign w:val="top"/>
          </w:tcPr>
          <w:p w14:paraId="7BC36FA5" w14:textId="2409B197" w:rsidR="003D1606" w:rsidRPr="006945F4" w:rsidRDefault="003D1606" w:rsidP="006945F4">
            <w:pPr>
              <w:pStyle w:val="TableBodyText"/>
              <w:rPr>
                <w:sz w:val="17"/>
                <w:szCs w:val="17"/>
              </w:rPr>
            </w:pPr>
            <w:r w:rsidRPr="006945F4">
              <w:rPr>
                <w:sz w:val="17"/>
                <w:szCs w:val="17"/>
              </w:rPr>
              <w:t>(10,469)</w:t>
            </w:r>
          </w:p>
        </w:tc>
        <w:tc>
          <w:tcPr>
            <w:tcW w:w="437" w:type="pct"/>
            <w:vAlign w:val="top"/>
          </w:tcPr>
          <w:p w14:paraId="139F1A69" w14:textId="329C279F" w:rsidR="003D1606" w:rsidRPr="006945F4" w:rsidRDefault="003D1606" w:rsidP="006945F4">
            <w:pPr>
              <w:pStyle w:val="TableBodyText"/>
              <w:rPr>
                <w:sz w:val="17"/>
                <w:szCs w:val="17"/>
              </w:rPr>
            </w:pPr>
            <w:r w:rsidRPr="006945F4">
              <w:rPr>
                <w:sz w:val="17"/>
                <w:szCs w:val="17"/>
              </w:rPr>
              <w:t>N/A</w:t>
            </w:r>
          </w:p>
        </w:tc>
        <w:tc>
          <w:tcPr>
            <w:tcW w:w="487" w:type="pct"/>
            <w:vAlign w:val="top"/>
          </w:tcPr>
          <w:p w14:paraId="59C4DF39" w14:textId="2BA8D47B" w:rsidR="003D1606" w:rsidRPr="006945F4" w:rsidRDefault="003D1606" w:rsidP="006945F4">
            <w:pPr>
              <w:pStyle w:val="TableBodyText"/>
              <w:rPr>
                <w:sz w:val="17"/>
                <w:szCs w:val="17"/>
              </w:rPr>
            </w:pPr>
            <w:r w:rsidRPr="006945F4">
              <w:rPr>
                <w:sz w:val="17"/>
                <w:szCs w:val="17"/>
              </w:rPr>
              <w:t>N/A</w:t>
            </w:r>
          </w:p>
        </w:tc>
        <w:tc>
          <w:tcPr>
            <w:tcW w:w="437" w:type="pct"/>
            <w:vAlign w:val="top"/>
          </w:tcPr>
          <w:p w14:paraId="70B46692" w14:textId="06EC44BC" w:rsidR="003D1606" w:rsidRPr="006945F4" w:rsidRDefault="003D1606" w:rsidP="006945F4">
            <w:pPr>
              <w:pStyle w:val="TableBodyText"/>
              <w:rPr>
                <w:sz w:val="17"/>
                <w:szCs w:val="17"/>
              </w:rPr>
            </w:pPr>
            <w:r w:rsidRPr="006945F4">
              <w:rPr>
                <w:sz w:val="17"/>
                <w:szCs w:val="17"/>
              </w:rPr>
              <w:t>N/A</w:t>
            </w:r>
          </w:p>
        </w:tc>
        <w:tc>
          <w:tcPr>
            <w:tcW w:w="438" w:type="pct"/>
            <w:vAlign w:val="top"/>
          </w:tcPr>
          <w:p w14:paraId="53CFD936" w14:textId="31158FCD" w:rsidR="003D1606" w:rsidRPr="006945F4" w:rsidRDefault="003D1606" w:rsidP="006945F4">
            <w:pPr>
              <w:pStyle w:val="TableBodyText"/>
              <w:rPr>
                <w:sz w:val="17"/>
                <w:szCs w:val="17"/>
              </w:rPr>
            </w:pPr>
            <w:r w:rsidRPr="006945F4">
              <w:rPr>
                <w:sz w:val="17"/>
                <w:szCs w:val="17"/>
              </w:rPr>
              <w:t>N/A</w:t>
            </w:r>
          </w:p>
        </w:tc>
        <w:tc>
          <w:tcPr>
            <w:tcW w:w="441" w:type="pct"/>
            <w:vAlign w:val="top"/>
          </w:tcPr>
          <w:p w14:paraId="67CCD54A" w14:textId="233A8B75" w:rsidR="003D1606" w:rsidRPr="006945F4" w:rsidRDefault="003D1606" w:rsidP="006945F4">
            <w:pPr>
              <w:pStyle w:val="TableBodyText"/>
              <w:rPr>
                <w:sz w:val="17"/>
                <w:szCs w:val="17"/>
              </w:rPr>
            </w:pPr>
            <w:r w:rsidRPr="006945F4">
              <w:rPr>
                <w:sz w:val="17"/>
                <w:szCs w:val="17"/>
              </w:rPr>
              <w:t>N/A</w:t>
            </w:r>
          </w:p>
        </w:tc>
        <w:tc>
          <w:tcPr>
            <w:tcW w:w="436" w:type="pct"/>
            <w:vAlign w:val="top"/>
          </w:tcPr>
          <w:p w14:paraId="381F6E92" w14:textId="7332DD4C" w:rsidR="003D1606" w:rsidRPr="006945F4" w:rsidRDefault="003D1606" w:rsidP="006945F4">
            <w:pPr>
              <w:pStyle w:val="TableBodyText"/>
              <w:rPr>
                <w:sz w:val="17"/>
                <w:szCs w:val="17"/>
              </w:rPr>
            </w:pPr>
            <w:r w:rsidRPr="006945F4">
              <w:rPr>
                <w:sz w:val="17"/>
                <w:szCs w:val="17"/>
              </w:rPr>
              <w:t>N/A</w:t>
            </w:r>
          </w:p>
        </w:tc>
        <w:tc>
          <w:tcPr>
            <w:tcW w:w="426" w:type="pct"/>
            <w:vAlign w:val="top"/>
          </w:tcPr>
          <w:p w14:paraId="28E1A617" w14:textId="70772B7C" w:rsidR="003D1606" w:rsidRPr="006945F4" w:rsidRDefault="003D1606" w:rsidP="006945F4">
            <w:pPr>
              <w:pStyle w:val="TableBodyText"/>
              <w:rPr>
                <w:sz w:val="17"/>
                <w:szCs w:val="17"/>
              </w:rPr>
            </w:pPr>
            <w:r w:rsidRPr="006945F4">
              <w:rPr>
                <w:sz w:val="17"/>
                <w:szCs w:val="17"/>
              </w:rPr>
              <w:t>N/A</w:t>
            </w:r>
          </w:p>
        </w:tc>
      </w:tr>
      <w:tr w:rsidR="003D1606" w:rsidRPr="006945F4" w14:paraId="72DDF5D0" w14:textId="77777777" w:rsidTr="006945F4">
        <w:trPr>
          <w:trHeight w:val="20"/>
        </w:trPr>
        <w:tc>
          <w:tcPr>
            <w:tcW w:w="584" w:type="pct"/>
            <w:vAlign w:val="top"/>
          </w:tcPr>
          <w:p w14:paraId="0C40C7F0" w14:textId="77777777" w:rsidR="003D1606" w:rsidRPr="006945F4" w:rsidRDefault="003D1606" w:rsidP="006945F4">
            <w:pPr>
              <w:pStyle w:val="TableBodyText"/>
              <w:rPr>
                <w:sz w:val="17"/>
                <w:szCs w:val="17"/>
              </w:rPr>
            </w:pPr>
            <w:r w:rsidRPr="006945F4">
              <w:rPr>
                <w:sz w:val="17"/>
                <w:szCs w:val="17"/>
              </w:rPr>
              <w:t>Revaluation increments</w:t>
            </w:r>
          </w:p>
          <w:p w14:paraId="7A4190EB" w14:textId="2A44344B" w:rsidR="003D1606" w:rsidRPr="006945F4" w:rsidRDefault="00926282" w:rsidP="006945F4">
            <w:pPr>
              <w:pStyle w:val="TableBodyText"/>
              <w:rPr>
                <w:sz w:val="17"/>
                <w:szCs w:val="17"/>
              </w:rPr>
            </w:pPr>
            <w:hyperlink w:anchor="NoteaTable411" w:history="1">
              <w:r w:rsidR="003D1606" w:rsidRPr="006945F4">
                <w:rPr>
                  <w:rStyle w:val="Hyperlink"/>
                  <w:sz w:val="17"/>
                  <w:szCs w:val="17"/>
                </w:rPr>
                <w:t>refer note b</w:t>
              </w:r>
            </w:hyperlink>
          </w:p>
        </w:tc>
        <w:tc>
          <w:tcPr>
            <w:tcW w:w="437" w:type="pct"/>
            <w:vAlign w:val="top"/>
          </w:tcPr>
          <w:p w14:paraId="40616F37" w14:textId="767B75C3" w:rsidR="003D1606" w:rsidRPr="006945F4" w:rsidRDefault="003D1606" w:rsidP="006945F4">
            <w:pPr>
              <w:pStyle w:val="TableBodyText"/>
              <w:rPr>
                <w:sz w:val="17"/>
                <w:szCs w:val="17"/>
              </w:rPr>
            </w:pPr>
            <w:r w:rsidRPr="006945F4">
              <w:rPr>
                <w:sz w:val="17"/>
                <w:szCs w:val="17"/>
              </w:rPr>
              <w:t>826,361</w:t>
            </w:r>
          </w:p>
        </w:tc>
        <w:tc>
          <w:tcPr>
            <w:tcW w:w="438" w:type="pct"/>
            <w:vAlign w:val="top"/>
          </w:tcPr>
          <w:p w14:paraId="74F474B5" w14:textId="44EAA9B6" w:rsidR="003D1606" w:rsidRPr="006945F4" w:rsidRDefault="003D1606" w:rsidP="006945F4">
            <w:pPr>
              <w:pStyle w:val="TableBodyText"/>
              <w:rPr>
                <w:sz w:val="17"/>
                <w:szCs w:val="17"/>
              </w:rPr>
            </w:pPr>
            <w:r w:rsidRPr="006945F4">
              <w:rPr>
                <w:sz w:val="17"/>
                <w:szCs w:val="17"/>
              </w:rPr>
              <w:t>57,751</w:t>
            </w:r>
          </w:p>
        </w:tc>
        <w:tc>
          <w:tcPr>
            <w:tcW w:w="438" w:type="pct"/>
            <w:vAlign w:val="top"/>
          </w:tcPr>
          <w:p w14:paraId="612E3AE3" w14:textId="1E0584AF" w:rsidR="003D1606" w:rsidRPr="006945F4" w:rsidRDefault="003D1606" w:rsidP="006945F4">
            <w:pPr>
              <w:pStyle w:val="TableBodyText"/>
              <w:rPr>
                <w:sz w:val="17"/>
                <w:szCs w:val="17"/>
              </w:rPr>
            </w:pPr>
            <w:r w:rsidRPr="006945F4">
              <w:rPr>
                <w:sz w:val="17"/>
                <w:szCs w:val="17"/>
              </w:rPr>
              <w:t>626,219</w:t>
            </w:r>
          </w:p>
        </w:tc>
        <w:tc>
          <w:tcPr>
            <w:tcW w:w="437" w:type="pct"/>
            <w:vAlign w:val="top"/>
          </w:tcPr>
          <w:p w14:paraId="45960F79" w14:textId="26A2D89F" w:rsidR="003D1606" w:rsidRPr="006945F4" w:rsidRDefault="003D1606" w:rsidP="006945F4">
            <w:pPr>
              <w:pStyle w:val="TableBodyText"/>
              <w:rPr>
                <w:sz w:val="17"/>
                <w:szCs w:val="17"/>
              </w:rPr>
            </w:pPr>
            <w:r w:rsidRPr="006945F4">
              <w:rPr>
                <w:sz w:val="17"/>
                <w:szCs w:val="17"/>
              </w:rPr>
              <w:t>5,785</w:t>
            </w:r>
          </w:p>
        </w:tc>
        <w:tc>
          <w:tcPr>
            <w:tcW w:w="487" w:type="pct"/>
            <w:vAlign w:val="top"/>
          </w:tcPr>
          <w:p w14:paraId="28DC7C36" w14:textId="091FFC1C" w:rsidR="003D1606" w:rsidRPr="006945F4" w:rsidRDefault="003D1606" w:rsidP="006945F4">
            <w:pPr>
              <w:pStyle w:val="TableBodyText"/>
              <w:rPr>
                <w:sz w:val="17"/>
                <w:szCs w:val="17"/>
              </w:rPr>
            </w:pPr>
            <w:r w:rsidRPr="006945F4">
              <w:rPr>
                <w:sz w:val="17"/>
                <w:szCs w:val="17"/>
              </w:rPr>
              <w:t>N/A</w:t>
            </w:r>
          </w:p>
        </w:tc>
        <w:tc>
          <w:tcPr>
            <w:tcW w:w="437" w:type="pct"/>
            <w:vAlign w:val="top"/>
          </w:tcPr>
          <w:p w14:paraId="2D95E2A2" w14:textId="2B17801D" w:rsidR="003D1606" w:rsidRPr="006945F4" w:rsidRDefault="003D1606" w:rsidP="006945F4">
            <w:pPr>
              <w:pStyle w:val="TableBodyText"/>
              <w:rPr>
                <w:sz w:val="17"/>
                <w:szCs w:val="17"/>
              </w:rPr>
            </w:pPr>
            <w:r w:rsidRPr="006945F4">
              <w:rPr>
                <w:sz w:val="17"/>
                <w:szCs w:val="17"/>
              </w:rPr>
              <w:t>N/A</w:t>
            </w:r>
          </w:p>
        </w:tc>
        <w:tc>
          <w:tcPr>
            <w:tcW w:w="438" w:type="pct"/>
            <w:vAlign w:val="top"/>
          </w:tcPr>
          <w:p w14:paraId="6A243179" w14:textId="3F9A9D03" w:rsidR="003D1606" w:rsidRPr="006945F4" w:rsidRDefault="003D1606" w:rsidP="006945F4">
            <w:pPr>
              <w:pStyle w:val="TableBodyText"/>
              <w:rPr>
                <w:sz w:val="17"/>
                <w:szCs w:val="17"/>
              </w:rPr>
            </w:pPr>
            <w:r w:rsidRPr="006945F4">
              <w:rPr>
                <w:sz w:val="17"/>
                <w:szCs w:val="17"/>
              </w:rPr>
              <w:t>N/A</w:t>
            </w:r>
          </w:p>
        </w:tc>
        <w:tc>
          <w:tcPr>
            <w:tcW w:w="441" w:type="pct"/>
            <w:vAlign w:val="top"/>
          </w:tcPr>
          <w:p w14:paraId="098AD9E2" w14:textId="2407AEC6" w:rsidR="003D1606" w:rsidRPr="006945F4" w:rsidRDefault="003D1606" w:rsidP="006945F4">
            <w:pPr>
              <w:pStyle w:val="TableBodyText"/>
              <w:rPr>
                <w:sz w:val="17"/>
                <w:szCs w:val="17"/>
              </w:rPr>
            </w:pPr>
            <w:r w:rsidRPr="006945F4">
              <w:rPr>
                <w:sz w:val="17"/>
                <w:szCs w:val="17"/>
              </w:rPr>
              <w:t>90,577</w:t>
            </w:r>
          </w:p>
        </w:tc>
        <w:tc>
          <w:tcPr>
            <w:tcW w:w="436" w:type="pct"/>
            <w:vAlign w:val="top"/>
          </w:tcPr>
          <w:p w14:paraId="2ED56E4C" w14:textId="231F1FC7" w:rsidR="003D1606" w:rsidRPr="006945F4" w:rsidRDefault="003D1606" w:rsidP="006945F4">
            <w:pPr>
              <w:pStyle w:val="TableBodyText"/>
              <w:rPr>
                <w:sz w:val="17"/>
                <w:szCs w:val="17"/>
              </w:rPr>
            </w:pPr>
            <w:r w:rsidRPr="006945F4">
              <w:rPr>
                <w:sz w:val="17"/>
                <w:szCs w:val="17"/>
              </w:rPr>
              <w:t>46,029</w:t>
            </w:r>
          </w:p>
        </w:tc>
        <w:tc>
          <w:tcPr>
            <w:tcW w:w="426" w:type="pct"/>
            <w:vAlign w:val="top"/>
          </w:tcPr>
          <w:p w14:paraId="4CF5201E" w14:textId="2581FFBD" w:rsidR="003D1606" w:rsidRPr="006945F4" w:rsidRDefault="003D1606" w:rsidP="006945F4">
            <w:pPr>
              <w:pStyle w:val="TableBodyText"/>
              <w:rPr>
                <w:sz w:val="17"/>
                <w:szCs w:val="17"/>
              </w:rPr>
            </w:pPr>
            <w:r w:rsidRPr="006945F4">
              <w:rPr>
                <w:sz w:val="17"/>
                <w:szCs w:val="17"/>
              </w:rPr>
              <w:t>N/A</w:t>
            </w:r>
          </w:p>
        </w:tc>
      </w:tr>
      <w:tr w:rsidR="003D1606" w:rsidRPr="006945F4" w14:paraId="5B8FFD72" w14:textId="77777777" w:rsidTr="006945F4">
        <w:trPr>
          <w:trHeight w:val="20"/>
        </w:trPr>
        <w:tc>
          <w:tcPr>
            <w:tcW w:w="584" w:type="pct"/>
            <w:vAlign w:val="top"/>
          </w:tcPr>
          <w:p w14:paraId="6E561315" w14:textId="77777777" w:rsidR="003D1606" w:rsidRPr="006945F4" w:rsidRDefault="003D1606" w:rsidP="006945F4">
            <w:pPr>
              <w:pStyle w:val="TableBodyText"/>
              <w:rPr>
                <w:sz w:val="17"/>
                <w:szCs w:val="17"/>
              </w:rPr>
            </w:pPr>
            <w:r w:rsidRPr="006945F4">
              <w:rPr>
                <w:sz w:val="17"/>
                <w:szCs w:val="17"/>
              </w:rPr>
              <w:t>Revaluation decrements</w:t>
            </w:r>
          </w:p>
          <w:p w14:paraId="2E50A876" w14:textId="1596DD0B" w:rsidR="003D1606" w:rsidRPr="006945F4" w:rsidRDefault="00926282" w:rsidP="006945F4">
            <w:pPr>
              <w:pStyle w:val="TableBodyText"/>
              <w:rPr>
                <w:sz w:val="17"/>
                <w:szCs w:val="17"/>
              </w:rPr>
            </w:pPr>
            <w:hyperlink w:anchor="NoteaTable411" w:history="1">
              <w:r w:rsidR="003D1606" w:rsidRPr="006945F4">
                <w:rPr>
                  <w:rStyle w:val="Hyperlink"/>
                  <w:sz w:val="17"/>
                  <w:szCs w:val="17"/>
                </w:rPr>
                <w:t>refer note b</w:t>
              </w:r>
            </w:hyperlink>
          </w:p>
        </w:tc>
        <w:tc>
          <w:tcPr>
            <w:tcW w:w="437" w:type="pct"/>
            <w:vAlign w:val="top"/>
          </w:tcPr>
          <w:p w14:paraId="675B8910" w14:textId="52E54363" w:rsidR="003D1606" w:rsidRPr="006945F4" w:rsidRDefault="003D1606" w:rsidP="006945F4">
            <w:pPr>
              <w:pStyle w:val="TableBodyText"/>
              <w:rPr>
                <w:sz w:val="17"/>
                <w:szCs w:val="17"/>
              </w:rPr>
            </w:pPr>
            <w:r w:rsidRPr="006945F4">
              <w:rPr>
                <w:sz w:val="17"/>
                <w:szCs w:val="17"/>
              </w:rPr>
              <w:t>(58,264)</w:t>
            </w:r>
          </w:p>
        </w:tc>
        <w:tc>
          <w:tcPr>
            <w:tcW w:w="438" w:type="pct"/>
            <w:vAlign w:val="top"/>
          </w:tcPr>
          <w:p w14:paraId="3DA60E9E" w14:textId="68665C91" w:rsidR="003D1606" w:rsidRPr="006945F4" w:rsidRDefault="003D1606" w:rsidP="006945F4">
            <w:pPr>
              <w:pStyle w:val="TableBodyText"/>
              <w:rPr>
                <w:sz w:val="17"/>
                <w:szCs w:val="17"/>
              </w:rPr>
            </w:pPr>
            <w:r w:rsidRPr="006945F4">
              <w:rPr>
                <w:sz w:val="17"/>
                <w:szCs w:val="17"/>
              </w:rPr>
              <w:t>(1,560)</w:t>
            </w:r>
          </w:p>
        </w:tc>
        <w:tc>
          <w:tcPr>
            <w:tcW w:w="438" w:type="pct"/>
            <w:vAlign w:val="top"/>
          </w:tcPr>
          <w:p w14:paraId="268B9B24" w14:textId="6132D014" w:rsidR="003D1606" w:rsidRPr="006945F4" w:rsidRDefault="003D1606" w:rsidP="006945F4">
            <w:pPr>
              <w:pStyle w:val="TableBodyText"/>
              <w:rPr>
                <w:sz w:val="17"/>
                <w:szCs w:val="17"/>
              </w:rPr>
            </w:pPr>
            <w:r w:rsidRPr="006945F4">
              <w:rPr>
                <w:sz w:val="17"/>
                <w:szCs w:val="17"/>
              </w:rPr>
              <w:t>(55,492)</w:t>
            </w:r>
          </w:p>
        </w:tc>
        <w:tc>
          <w:tcPr>
            <w:tcW w:w="437" w:type="pct"/>
            <w:vAlign w:val="top"/>
          </w:tcPr>
          <w:p w14:paraId="54CB8274" w14:textId="3DEF86FF" w:rsidR="003D1606" w:rsidRPr="006945F4" w:rsidRDefault="003D1606" w:rsidP="006945F4">
            <w:pPr>
              <w:pStyle w:val="TableBodyText"/>
              <w:rPr>
                <w:sz w:val="17"/>
                <w:szCs w:val="17"/>
              </w:rPr>
            </w:pPr>
            <w:r w:rsidRPr="006945F4">
              <w:rPr>
                <w:sz w:val="17"/>
                <w:szCs w:val="17"/>
              </w:rPr>
              <w:t>(1,212)</w:t>
            </w:r>
          </w:p>
        </w:tc>
        <w:tc>
          <w:tcPr>
            <w:tcW w:w="487" w:type="pct"/>
            <w:vAlign w:val="top"/>
          </w:tcPr>
          <w:p w14:paraId="1E5875D5" w14:textId="1470130B" w:rsidR="003D1606" w:rsidRPr="006945F4" w:rsidRDefault="003D1606" w:rsidP="006945F4">
            <w:pPr>
              <w:pStyle w:val="TableBodyText"/>
              <w:rPr>
                <w:sz w:val="17"/>
                <w:szCs w:val="17"/>
              </w:rPr>
            </w:pPr>
            <w:r w:rsidRPr="006945F4">
              <w:rPr>
                <w:sz w:val="17"/>
                <w:szCs w:val="17"/>
              </w:rPr>
              <w:t>N/A</w:t>
            </w:r>
          </w:p>
        </w:tc>
        <w:tc>
          <w:tcPr>
            <w:tcW w:w="437" w:type="pct"/>
            <w:vAlign w:val="top"/>
          </w:tcPr>
          <w:p w14:paraId="42AD301D" w14:textId="2A975AA0" w:rsidR="003D1606" w:rsidRPr="006945F4" w:rsidRDefault="003D1606" w:rsidP="006945F4">
            <w:pPr>
              <w:pStyle w:val="TableBodyText"/>
              <w:rPr>
                <w:sz w:val="17"/>
                <w:szCs w:val="17"/>
              </w:rPr>
            </w:pPr>
            <w:r w:rsidRPr="006945F4">
              <w:rPr>
                <w:sz w:val="17"/>
                <w:szCs w:val="17"/>
              </w:rPr>
              <w:t>N/A</w:t>
            </w:r>
          </w:p>
        </w:tc>
        <w:tc>
          <w:tcPr>
            <w:tcW w:w="438" w:type="pct"/>
            <w:vAlign w:val="top"/>
          </w:tcPr>
          <w:p w14:paraId="091BAA2C" w14:textId="0B7C667F" w:rsidR="003D1606" w:rsidRPr="006945F4" w:rsidRDefault="003D1606" w:rsidP="006945F4">
            <w:pPr>
              <w:pStyle w:val="TableBodyText"/>
              <w:rPr>
                <w:sz w:val="17"/>
                <w:szCs w:val="17"/>
              </w:rPr>
            </w:pPr>
            <w:r w:rsidRPr="006945F4">
              <w:rPr>
                <w:sz w:val="17"/>
                <w:szCs w:val="17"/>
              </w:rPr>
              <w:t>N/A</w:t>
            </w:r>
          </w:p>
        </w:tc>
        <w:tc>
          <w:tcPr>
            <w:tcW w:w="441" w:type="pct"/>
            <w:vAlign w:val="top"/>
          </w:tcPr>
          <w:p w14:paraId="055C011A" w14:textId="3E74DCB8" w:rsidR="003D1606" w:rsidRPr="006945F4" w:rsidRDefault="003D1606" w:rsidP="006945F4">
            <w:pPr>
              <w:pStyle w:val="TableBodyText"/>
              <w:rPr>
                <w:sz w:val="17"/>
                <w:szCs w:val="17"/>
              </w:rPr>
            </w:pPr>
            <w:r w:rsidRPr="006945F4">
              <w:rPr>
                <w:sz w:val="17"/>
                <w:szCs w:val="17"/>
              </w:rPr>
              <w:t>N/A</w:t>
            </w:r>
          </w:p>
        </w:tc>
        <w:tc>
          <w:tcPr>
            <w:tcW w:w="436" w:type="pct"/>
            <w:vAlign w:val="top"/>
          </w:tcPr>
          <w:p w14:paraId="35A2EEE1" w14:textId="24445CBB" w:rsidR="003D1606" w:rsidRPr="006945F4" w:rsidRDefault="003D1606" w:rsidP="006945F4">
            <w:pPr>
              <w:pStyle w:val="TableBodyText"/>
              <w:rPr>
                <w:sz w:val="17"/>
                <w:szCs w:val="17"/>
              </w:rPr>
            </w:pPr>
            <w:r w:rsidRPr="006945F4">
              <w:rPr>
                <w:sz w:val="17"/>
                <w:szCs w:val="17"/>
              </w:rPr>
              <w:t>N/A</w:t>
            </w:r>
          </w:p>
        </w:tc>
        <w:tc>
          <w:tcPr>
            <w:tcW w:w="426" w:type="pct"/>
            <w:vAlign w:val="top"/>
          </w:tcPr>
          <w:p w14:paraId="46B2FC90" w14:textId="073CAD7C" w:rsidR="003D1606" w:rsidRPr="006945F4" w:rsidRDefault="003D1606" w:rsidP="006945F4">
            <w:pPr>
              <w:pStyle w:val="TableBodyText"/>
              <w:rPr>
                <w:sz w:val="17"/>
                <w:szCs w:val="17"/>
              </w:rPr>
            </w:pPr>
            <w:r w:rsidRPr="006945F4">
              <w:rPr>
                <w:sz w:val="17"/>
                <w:szCs w:val="17"/>
              </w:rPr>
              <w:t>N/A</w:t>
            </w:r>
          </w:p>
        </w:tc>
      </w:tr>
      <w:tr w:rsidR="003D1606" w:rsidRPr="006945F4" w14:paraId="43A25EB6" w14:textId="77777777" w:rsidTr="006945F4">
        <w:trPr>
          <w:trHeight w:val="20"/>
        </w:trPr>
        <w:tc>
          <w:tcPr>
            <w:tcW w:w="584" w:type="pct"/>
            <w:vAlign w:val="top"/>
          </w:tcPr>
          <w:p w14:paraId="5BF5D5A5" w14:textId="2BB7401E" w:rsidR="003D1606" w:rsidRPr="006945F4" w:rsidRDefault="003D1606" w:rsidP="006945F4">
            <w:pPr>
              <w:pStyle w:val="TableBodyText"/>
              <w:rPr>
                <w:sz w:val="17"/>
                <w:szCs w:val="17"/>
              </w:rPr>
            </w:pPr>
            <w:r w:rsidRPr="006945F4">
              <w:rPr>
                <w:sz w:val="17"/>
                <w:szCs w:val="17"/>
              </w:rPr>
              <w:t>Impairment losses</w:t>
            </w:r>
          </w:p>
        </w:tc>
        <w:tc>
          <w:tcPr>
            <w:tcW w:w="437" w:type="pct"/>
            <w:vAlign w:val="top"/>
          </w:tcPr>
          <w:p w14:paraId="0111F1A3" w14:textId="08B6C5E4" w:rsidR="003D1606" w:rsidRPr="006945F4" w:rsidRDefault="003D1606" w:rsidP="006945F4">
            <w:pPr>
              <w:pStyle w:val="TableBodyText"/>
              <w:rPr>
                <w:sz w:val="17"/>
                <w:szCs w:val="17"/>
              </w:rPr>
            </w:pPr>
            <w:r w:rsidRPr="006945F4">
              <w:rPr>
                <w:sz w:val="17"/>
                <w:szCs w:val="17"/>
              </w:rPr>
              <w:t>N/A</w:t>
            </w:r>
          </w:p>
        </w:tc>
        <w:tc>
          <w:tcPr>
            <w:tcW w:w="438" w:type="pct"/>
            <w:vAlign w:val="top"/>
          </w:tcPr>
          <w:p w14:paraId="286FB3C3" w14:textId="32527184" w:rsidR="003D1606" w:rsidRPr="006945F4" w:rsidRDefault="003D1606" w:rsidP="006945F4">
            <w:pPr>
              <w:pStyle w:val="TableBodyText"/>
              <w:rPr>
                <w:sz w:val="17"/>
                <w:szCs w:val="17"/>
              </w:rPr>
            </w:pPr>
            <w:r w:rsidRPr="006945F4">
              <w:rPr>
                <w:sz w:val="17"/>
                <w:szCs w:val="17"/>
              </w:rPr>
              <w:t>N/A</w:t>
            </w:r>
          </w:p>
        </w:tc>
        <w:tc>
          <w:tcPr>
            <w:tcW w:w="438" w:type="pct"/>
            <w:vAlign w:val="top"/>
          </w:tcPr>
          <w:p w14:paraId="6050067F" w14:textId="7D94CD98" w:rsidR="003D1606" w:rsidRPr="006945F4" w:rsidRDefault="003D1606" w:rsidP="006945F4">
            <w:pPr>
              <w:pStyle w:val="TableBodyText"/>
              <w:rPr>
                <w:sz w:val="17"/>
                <w:szCs w:val="17"/>
              </w:rPr>
            </w:pPr>
            <w:r w:rsidRPr="006945F4">
              <w:rPr>
                <w:sz w:val="17"/>
                <w:szCs w:val="17"/>
              </w:rPr>
              <w:t>N/A</w:t>
            </w:r>
          </w:p>
        </w:tc>
        <w:tc>
          <w:tcPr>
            <w:tcW w:w="437" w:type="pct"/>
            <w:vAlign w:val="top"/>
          </w:tcPr>
          <w:p w14:paraId="7916267D" w14:textId="2FB756D7" w:rsidR="003D1606" w:rsidRPr="006945F4" w:rsidRDefault="003D1606" w:rsidP="006945F4">
            <w:pPr>
              <w:pStyle w:val="TableBodyText"/>
              <w:rPr>
                <w:sz w:val="17"/>
                <w:szCs w:val="17"/>
              </w:rPr>
            </w:pPr>
            <w:r w:rsidRPr="006945F4">
              <w:rPr>
                <w:sz w:val="17"/>
                <w:szCs w:val="17"/>
              </w:rPr>
              <w:t>N/A</w:t>
            </w:r>
          </w:p>
        </w:tc>
        <w:tc>
          <w:tcPr>
            <w:tcW w:w="487" w:type="pct"/>
            <w:vAlign w:val="top"/>
          </w:tcPr>
          <w:p w14:paraId="61CF8497" w14:textId="25C07183" w:rsidR="003D1606" w:rsidRPr="006945F4" w:rsidRDefault="003D1606" w:rsidP="006945F4">
            <w:pPr>
              <w:pStyle w:val="TableBodyText"/>
              <w:rPr>
                <w:sz w:val="17"/>
                <w:szCs w:val="17"/>
              </w:rPr>
            </w:pPr>
            <w:r w:rsidRPr="006945F4">
              <w:rPr>
                <w:sz w:val="17"/>
                <w:szCs w:val="17"/>
              </w:rPr>
              <w:t>N/A</w:t>
            </w:r>
          </w:p>
        </w:tc>
        <w:tc>
          <w:tcPr>
            <w:tcW w:w="437" w:type="pct"/>
            <w:vAlign w:val="top"/>
          </w:tcPr>
          <w:p w14:paraId="711E865F" w14:textId="4B3F3D56" w:rsidR="003D1606" w:rsidRPr="006945F4" w:rsidRDefault="003D1606" w:rsidP="006945F4">
            <w:pPr>
              <w:pStyle w:val="TableBodyText"/>
              <w:rPr>
                <w:sz w:val="17"/>
                <w:szCs w:val="17"/>
              </w:rPr>
            </w:pPr>
            <w:r w:rsidRPr="006945F4">
              <w:rPr>
                <w:sz w:val="17"/>
                <w:szCs w:val="17"/>
              </w:rPr>
              <w:t>N/A</w:t>
            </w:r>
          </w:p>
        </w:tc>
        <w:tc>
          <w:tcPr>
            <w:tcW w:w="438" w:type="pct"/>
            <w:vAlign w:val="top"/>
          </w:tcPr>
          <w:p w14:paraId="3B15CB78" w14:textId="0CF6A781" w:rsidR="003D1606" w:rsidRPr="006945F4" w:rsidRDefault="003D1606" w:rsidP="006945F4">
            <w:pPr>
              <w:pStyle w:val="TableBodyText"/>
              <w:rPr>
                <w:sz w:val="17"/>
                <w:szCs w:val="17"/>
              </w:rPr>
            </w:pPr>
            <w:r w:rsidRPr="006945F4">
              <w:rPr>
                <w:sz w:val="17"/>
                <w:szCs w:val="17"/>
              </w:rPr>
              <w:t>N/A</w:t>
            </w:r>
          </w:p>
        </w:tc>
        <w:tc>
          <w:tcPr>
            <w:tcW w:w="441" w:type="pct"/>
            <w:vAlign w:val="top"/>
          </w:tcPr>
          <w:p w14:paraId="4E2B963B" w14:textId="15CFCE91" w:rsidR="003D1606" w:rsidRPr="006945F4" w:rsidRDefault="003D1606" w:rsidP="006945F4">
            <w:pPr>
              <w:pStyle w:val="TableBodyText"/>
              <w:rPr>
                <w:sz w:val="17"/>
                <w:szCs w:val="17"/>
              </w:rPr>
            </w:pPr>
            <w:r w:rsidRPr="006945F4">
              <w:rPr>
                <w:sz w:val="17"/>
                <w:szCs w:val="17"/>
              </w:rPr>
              <w:t>N/A</w:t>
            </w:r>
          </w:p>
        </w:tc>
        <w:tc>
          <w:tcPr>
            <w:tcW w:w="436" w:type="pct"/>
            <w:vAlign w:val="top"/>
          </w:tcPr>
          <w:p w14:paraId="792F34E4" w14:textId="5146D0E8" w:rsidR="003D1606" w:rsidRPr="006945F4" w:rsidRDefault="003D1606" w:rsidP="006945F4">
            <w:pPr>
              <w:pStyle w:val="TableBodyText"/>
              <w:rPr>
                <w:sz w:val="17"/>
                <w:szCs w:val="17"/>
              </w:rPr>
            </w:pPr>
            <w:r w:rsidRPr="006945F4">
              <w:rPr>
                <w:sz w:val="17"/>
                <w:szCs w:val="17"/>
              </w:rPr>
              <w:t>N/A</w:t>
            </w:r>
          </w:p>
        </w:tc>
        <w:tc>
          <w:tcPr>
            <w:tcW w:w="426" w:type="pct"/>
            <w:vAlign w:val="top"/>
          </w:tcPr>
          <w:p w14:paraId="230CF867" w14:textId="3DD82DE3" w:rsidR="003D1606" w:rsidRPr="006945F4" w:rsidRDefault="003D1606" w:rsidP="006945F4">
            <w:pPr>
              <w:pStyle w:val="TableBodyText"/>
              <w:rPr>
                <w:sz w:val="17"/>
                <w:szCs w:val="17"/>
              </w:rPr>
            </w:pPr>
            <w:r w:rsidRPr="006945F4">
              <w:rPr>
                <w:sz w:val="17"/>
                <w:szCs w:val="17"/>
              </w:rPr>
              <w:t>N/A</w:t>
            </w:r>
          </w:p>
        </w:tc>
      </w:tr>
      <w:tr w:rsidR="003D1606" w:rsidRPr="006945F4" w14:paraId="46AE3071" w14:textId="77777777" w:rsidTr="006945F4">
        <w:trPr>
          <w:trHeight w:val="20"/>
        </w:trPr>
        <w:tc>
          <w:tcPr>
            <w:tcW w:w="584" w:type="pct"/>
            <w:vAlign w:val="top"/>
          </w:tcPr>
          <w:p w14:paraId="6FF3F2E6" w14:textId="5795921A" w:rsidR="003D1606" w:rsidRPr="006945F4" w:rsidRDefault="003D1606" w:rsidP="006945F4">
            <w:pPr>
              <w:pStyle w:val="TableBodyText"/>
              <w:rPr>
                <w:sz w:val="17"/>
                <w:szCs w:val="17"/>
              </w:rPr>
            </w:pPr>
            <w:r w:rsidRPr="006945F4">
              <w:rPr>
                <w:sz w:val="17"/>
                <w:szCs w:val="17"/>
              </w:rPr>
              <w:t>Impairment losses reversed</w:t>
            </w:r>
          </w:p>
        </w:tc>
        <w:tc>
          <w:tcPr>
            <w:tcW w:w="437" w:type="pct"/>
            <w:vAlign w:val="top"/>
          </w:tcPr>
          <w:p w14:paraId="7CBA4967" w14:textId="66D27153" w:rsidR="003D1606" w:rsidRPr="006945F4" w:rsidRDefault="003D1606" w:rsidP="006945F4">
            <w:pPr>
              <w:pStyle w:val="TableBodyText"/>
              <w:rPr>
                <w:sz w:val="17"/>
                <w:szCs w:val="17"/>
              </w:rPr>
            </w:pPr>
            <w:r w:rsidRPr="006945F4">
              <w:rPr>
                <w:sz w:val="17"/>
                <w:szCs w:val="17"/>
              </w:rPr>
              <w:t>N/A</w:t>
            </w:r>
          </w:p>
        </w:tc>
        <w:tc>
          <w:tcPr>
            <w:tcW w:w="438" w:type="pct"/>
            <w:vAlign w:val="top"/>
          </w:tcPr>
          <w:p w14:paraId="119EEB55" w14:textId="1FD9B22B" w:rsidR="003D1606" w:rsidRPr="006945F4" w:rsidRDefault="003D1606" w:rsidP="006945F4">
            <w:pPr>
              <w:pStyle w:val="TableBodyText"/>
              <w:rPr>
                <w:sz w:val="17"/>
                <w:szCs w:val="17"/>
              </w:rPr>
            </w:pPr>
            <w:r w:rsidRPr="006945F4">
              <w:rPr>
                <w:sz w:val="17"/>
                <w:szCs w:val="17"/>
              </w:rPr>
              <w:t>N/A</w:t>
            </w:r>
          </w:p>
        </w:tc>
        <w:tc>
          <w:tcPr>
            <w:tcW w:w="438" w:type="pct"/>
            <w:vAlign w:val="top"/>
          </w:tcPr>
          <w:p w14:paraId="18B6D98C" w14:textId="50A04657" w:rsidR="003D1606" w:rsidRPr="006945F4" w:rsidRDefault="003D1606" w:rsidP="006945F4">
            <w:pPr>
              <w:pStyle w:val="TableBodyText"/>
              <w:rPr>
                <w:sz w:val="17"/>
                <w:szCs w:val="17"/>
              </w:rPr>
            </w:pPr>
            <w:r w:rsidRPr="006945F4">
              <w:rPr>
                <w:sz w:val="17"/>
                <w:szCs w:val="17"/>
              </w:rPr>
              <w:t>N/A</w:t>
            </w:r>
          </w:p>
        </w:tc>
        <w:tc>
          <w:tcPr>
            <w:tcW w:w="437" w:type="pct"/>
            <w:vAlign w:val="top"/>
          </w:tcPr>
          <w:p w14:paraId="39C49625" w14:textId="278B4AC7" w:rsidR="003D1606" w:rsidRPr="006945F4" w:rsidRDefault="003D1606" w:rsidP="006945F4">
            <w:pPr>
              <w:pStyle w:val="TableBodyText"/>
              <w:rPr>
                <w:sz w:val="17"/>
                <w:szCs w:val="17"/>
              </w:rPr>
            </w:pPr>
            <w:r w:rsidRPr="006945F4">
              <w:rPr>
                <w:sz w:val="17"/>
                <w:szCs w:val="17"/>
              </w:rPr>
              <w:t>N/A</w:t>
            </w:r>
          </w:p>
        </w:tc>
        <w:tc>
          <w:tcPr>
            <w:tcW w:w="487" w:type="pct"/>
            <w:vAlign w:val="top"/>
          </w:tcPr>
          <w:p w14:paraId="45C0CB74" w14:textId="62CF716D" w:rsidR="003D1606" w:rsidRPr="006945F4" w:rsidRDefault="003D1606" w:rsidP="006945F4">
            <w:pPr>
              <w:pStyle w:val="TableBodyText"/>
              <w:rPr>
                <w:sz w:val="17"/>
                <w:szCs w:val="17"/>
              </w:rPr>
            </w:pPr>
            <w:r w:rsidRPr="006945F4">
              <w:rPr>
                <w:sz w:val="17"/>
                <w:szCs w:val="17"/>
              </w:rPr>
              <w:t>N/A</w:t>
            </w:r>
          </w:p>
        </w:tc>
        <w:tc>
          <w:tcPr>
            <w:tcW w:w="437" w:type="pct"/>
            <w:vAlign w:val="top"/>
          </w:tcPr>
          <w:p w14:paraId="1049FBF5" w14:textId="5420E4CE" w:rsidR="003D1606" w:rsidRPr="006945F4" w:rsidRDefault="003D1606" w:rsidP="006945F4">
            <w:pPr>
              <w:pStyle w:val="TableBodyText"/>
              <w:rPr>
                <w:sz w:val="17"/>
                <w:szCs w:val="17"/>
              </w:rPr>
            </w:pPr>
            <w:r w:rsidRPr="006945F4">
              <w:rPr>
                <w:sz w:val="17"/>
                <w:szCs w:val="17"/>
              </w:rPr>
              <w:t>N/A</w:t>
            </w:r>
          </w:p>
        </w:tc>
        <w:tc>
          <w:tcPr>
            <w:tcW w:w="438" w:type="pct"/>
            <w:vAlign w:val="top"/>
          </w:tcPr>
          <w:p w14:paraId="01539F2E" w14:textId="6D84AC38" w:rsidR="003D1606" w:rsidRPr="006945F4" w:rsidRDefault="003D1606" w:rsidP="006945F4">
            <w:pPr>
              <w:pStyle w:val="TableBodyText"/>
              <w:rPr>
                <w:sz w:val="17"/>
                <w:szCs w:val="17"/>
              </w:rPr>
            </w:pPr>
            <w:r w:rsidRPr="006945F4">
              <w:rPr>
                <w:sz w:val="17"/>
                <w:szCs w:val="17"/>
              </w:rPr>
              <w:t>N/A</w:t>
            </w:r>
          </w:p>
        </w:tc>
        <w:tc>
          <w:tcPr>
            <w:tcW w:w="441" w:type="pct"/>
            <w:vAlign w:val="top"/>
          </w:tcPr>
          <w:p w14:paraId="000E4B88" w14:textId="60344BA5" w:rsidR="003D1606" w:rsidRPr="006945F4" w:rsidRDefault="003D1606" w:rsidP="006945F4">
            <w:pPr>
              <w:pStyle w:val="TableBodyText"/>
              <w:rPr>
                <w:sz w:val="17"/>
                <w:szCs w:val="17"/>
              </w:rPr>
            </w:pPr>
            <w:r w:rsidRPr="006945F4">
              <w:rPr>
                <w:sz w:val="17"/>
                <w:szCs w:val="17"/>
              </w:rPr>
              <w:t>N/A</w:t>
            </w:r>
          </w:p>
        </w:tc>
        <w:tc>
          <w:tcPr>
            <w:tcW w:w="436" w:type="pct"/>
            <w:vAlign w:val="top"/>
          </w:tcPr>
          <w:p w14:paraId="3F744D24" w14:textId="24C93790" w:rsidR="003D1606" w:rsidRPr="006945F4" w:rsidRDefault="003D1606" w:rsidP="006945F4">
            <w:pPr>
              <w:pStyle w:val="TableBodyText"/>
              <w:rPr>
                <w:sz w:val="17"/>
                <w:szCs w:val="17"/>
              </w:rPr>
            </w:pPr>
            <w:r w:rsidRPr="006945F4">
              <w:rPr>
                <w:sz w:val="17"/>
                <w:szCs w:val="17"/>
              </w:rPr>
              <w:t>N/A</w:t>
            </w:r>
          </w:p>
        </w:tc>
        <w:tc>
          <w:tcPr>
            <w:tcW w:w="426" w:type="pct"/>
            <w:vAlign w:val="top"/>
          </w:tcPr>
          <w:p w14:paraId="6BC02DE9" w14:textId="29652E04" w:rsidR="003D1606" w:rsidRPr="006945F4" w:rsidRDefault="003D1606" w:rsidP="006945F4">
            <w:pPr>
              <w:pStyle w:val="TableBodyText"/>
              <w:rPr>
                <w:sz w:val="17"/>
                <w:szCs w:val="17"/>
              </w:rPr>
            </w:pPr>
            <w:r w:rsidRPr="006945F4">
              <w:rPr>
                <w:sz w:val="17"/>
                <w:szCs w:val="17"/>
              </w:rPr>
              <w:t>N/A</w:t>
            </w:r>
          </w:p>
        </w:tc>
      </w:tr>
      <w:tr w:rsidR="003D1606" w:rsidRPr="006945F4" w14:paraId="05EDF410" w14:textId="77777777" w:rsidTr="006945F4">
        <w:trPr>
          <w:trHeight w:val="20"/>
        </w:trPr>
        <w:tc>
          <w:tcPr>
            <w:tcW w:w="584" w:type="pct"/>
            <w:vAlign w:val="top"/>
          </w:tcPr>
          <w:p w14:paraId="30C48A95" w14:textId="57AAA086" w:rsidR="003D1606" w:rsidRPr="006945F4" w:rsidRDefault="003D1606" w:rsidP="006945F4">
            <w:pPr>
              <w:pStyle w:val="TableBodyText"/>
              <w:rPr>
                <w:sz w:val="17"/>
                <w:szCs w:val="17"/>
              </w:rPr>
            </w:pPr>
            <w:r w:rsidRPr="006945F4">
              <w:rPr>
                <w:sz w:val="17"/>
                <w:szCs w:val="17"/>
              </w:rPr>
              <w:t xml:space="preserve">Capital expenditure </w:t>
            </w:r>
            <w:hyperlink w:anchor="NotecTable411" w:history="1">
              <w:r w:rsidRPr="006945F4">
                <w:rPr>
                  <w:rStyle w:val="Hyperlink"/>
                  <w:sz w:val="17"/>
                  <w:szCs w:val="17"/>
                </w:rPr>
                <w:t>refer note c</w:t>
              </w:r>
            </w:hyperlink>
          </w:p>
        </w:tc>
        <w:tc>
          <w:tcPr>
            <w:tcW w:w="437" w:type="pct"/>
            <w:vAlign w:val="top"/>
          </w:tcPr>
          <w:p w14:paraId="7F053092" w14:textId="124BB9E5" w:rsidR="003D1606" w:rsidRPr="006945F4" w:rsidRDefault="003D1606" w:rsidP="006945F4">
            <w:pPr>
              <w:pStyle w:val="TableBodyText"/>
              <w:rPr>
                <w:sz w:val="17"/>
                <w:szCs w:val="17"/>
              </w:rPr>
            </w:pPr>
            <w:r w:rsidRPr="006945F4">
              <w:rPr>
                <w:sz w:val="17"/>
                <w:szCs w:val="17"/>
              </w:rPr>
              <w:t>606,361</w:t>
            </w:r>
          </w:p>
        </w:tc>
        <w:tc>
          <w:tcPr>
            <w:tcW w:w="438" w:type="pct"/>
            <w:vAlign w:val="top"/>
          </w:tcPr>
          <w:p w14:paraId="052544F5" w14:textId="240C793D" w:rsidR="003D1606" w:rsidRPr="006945F4" w:rsidRDefault="003D1606" w:rsidP="006945F4">
            <w:pPr>
              <w:pStyle w:val="TableBodyText"/>
              <w:rPr>
                <w:sz w:val="17"/>
                <w:szCs w:val="17"/>
              </w:rPr>
            </w:pPr>
            <w:r w:rsidRPr="006945F4">
              <w:rPr>
                <w:sz w:val="17"/>
                <w:szCs w:val="17"/>
              </w:rPr>
              <w:t>N/A</w:t>
            </w:r>
          </w:p>
        </w:tc>
        <w:tc>
          <w:tcPr>
            <w:tcW w:w="438" w:type="pct"/>
            <w:vAlign w:val="top"/>
          </w:tcPr>
          <w:p w14:paraId="01D31E7C" w14:textId="0D93E73D" w:rsidR="003D1606" w:rsidRPr="006945F4" w:rsidRDefault="003D1606" w:rsidP="006945F4">
            <w:pPr>
              <w:pStyle w:val="TableBodyText"/>
              <w:rPr>
                <w:sz w:val="17"/>
                <w:szCs w:val="17"/>
              </w:rPr>
            </w:pPr>
            <w:r w:rsidRPr="006945F4">
              <w:rPr>
                <w:sz w:val="17"/>
                <w:szCs w:val="17"/>
              </w:rPr>
              <w:t>N/A</w:t>
            </w:r>
          </w:p>
        </w:tc>
        <w:tc>
          <w:tcPr>
            <w:tcW w:w="437" w:type="pct"/>
            <w:vAlign w:val="top"/>
          </w:tcPr>
          <w:p w14:paraId="1B45265C" w14:textId="7E1ACCF9" w:rsidR="003D1606" w:rsidRPr="006945F4" w:rsidRDefault="003D1606" w:rsidP="006945F4">
            <w:pPr>
              <w:pStyle w:val="TableBodyText"/>
              <w:rPr>
                <w:sz w:val="17"/>
                <w:szCs w:val="17"/>
              </w:rPr>
            </w:pPr>
            <w:r w:rsidRPr="006945F4">
              <w:rPr>
                <w:sz w:val="17"/>
                <w:szCs w:val="17"/>
              </w:rPr>
              <w:t>N/A</w:t>
            </w:r>
          </w:p>
        </w:tc>
        <w:tc>
          <w:tcPr>
            <w:tcW w:w="487" w:type="pct"/>
            <w:vAlign w:val="top"/>
          </w:tcPr>
          <w:p w14:paraId="46DD4A73" w14:textId="6536670A" w:rsidR="003D1606" w:rsidRPr="006945F4" w:rsidRDefault="003D1606" w:rsidP="006945F4">
            <w:pPr>
              <w:pStyle w:val="TableBodyText"/>
              <w:rPr>
                <w:sz w:val="17"/>
                <w:szCs w:val="17"/>
              </w:rPr>
            </w:pPr>
            <w:r w:rsidRPr="006945F4">
              <w:rPr>
                <w:sz w:val="17"/>
                <w:szCs w:val="17"/>
              </w:rPr>
              <w:t>N/A</w:t>
            </w:r>
          </w:p>
        </w:tc>
        <w:tc>
          <w:tcPr>
            <w:tcW w:w="437" w:type="pct"/>
            <w:vAlign w:val="top"/>
          </w:tcPr>
          <w:p w14:paraId="327E0302" w14:textId="731BCAC3" w:rsidR="003D1606" w:rsidRPr="006945F4" w:rsidRDefault="003D1606" w:rsidP="006945F4">
            <w:pPr>
              <w:pStyle w:val="TableBodyText"/>
              <w:rPr>
                <w:sz w:val="17"/>
                <w:szCs w:val="17"/>
              </w:rPr>
            </w:pPr>
            <w:r w:rsidRPr="006945F4">
              <w:rPr>
                <w:sz w:val="17"/>
                <w:szCs w:val="17"/>
              </w:rPr>
              <w:t>N/A</w:t>
            </w:r>
          </w:p>
        </w:tc>
        <w:tc>
          <w:tcPr>
            <w:tcW w:w="438" w:type="pct"/>
            <w:vAlign w:val="top"/>
          </w:tcPr>
          <w:p w14:paraId="2746266A" w14:textId="0C3E9CC5" w:rsidR="003D1606" w:rsidRPr="006945F4" w:rsidRDefault="003D1606" w:rsidP="006945F4">
            <w:pPr>
              <w:pStyle w:val="TableBodyText"/>
              <w:rPr>
                <w:sz w:val="17"/>
                <w:szCs w:val="17"/>
              </w:rPr>
            </w:pPr>
            <w:r w:rsidRPr="006945F4">
              <w:rPr>
                <w:sz w:val="17"/>
                <w:szCs w:val="17"/>
              </w:rPr>
              <w:t>N/A</w:t>
            </w:r>
          </w:p>
        </w:tc>
        <w:tc>
          <w:tcPr>
            <w:tcW w:w="441" w:type="pct"/>
            <w:vAlign w:val="top"/>
          </w:tcPr>
          <w:p w14:paraId="493C7D4F" w14:textId="5910E3D8" w:rsidR="003D1606" w:rsidRPr="006945F4" w:rsidRDefault="003D1606" w:rsidP="006945F4">
            <w:pPr>
              <w:pStyle w:val="TableBodyText"/>
              <w:rPr>
                <w:sz w:val="17"/>
                <w:szCs w:val="17"/>
              </w:rPr>
            </w:pPr>
            <w:r w:rsidRPr="006945F4">
              <w:rPr>
                <w:sz w:val="17"/>
                <w:szCs w:val="17"/>
              </w:rPr>
              <w:t>N/A</w:t>
            </w:r>
          </w:p>
        </w:tc>
        <w:tc>
          <w:tcPr>
            <w:tcW w:w="436" w:type="pct"/>
            <w:vAlign w:val="top"/>
          </w:tcPr>
          <w:p w14:paraId="30A02082" w14:textId="7801AABC" w:rsidR="003D1606" w:rsidRPr="006945F4" w:rsidRDefault="003D1606" w:rsidP="006945F4">
            <w:pPr>
              <w:pStyle w:val="TableBodyText"/>
              <w:rPr>
                <w:sz w:val="17"/>
                <w:szCs w:val="17"/>
              </w:rPr>
            </w:pPr>
            <w:r w:rsidRPr="006945F4">
              <w:rPr>
                <w:sz w:val="17"/>
                <w:szCs w:val="17"/>
              </w:rPr>
              <w:t>N/A</w:t>
            </w:r>
          </w:p>
        </w:tc>
        <w:tc>
          <w:tcPr>
            <w:tcW w:w="426" w:type="pct"/>
            <w:vAlign w:val="top"/>
          </w:tcPr>
          <w:p w14:paraId="0A0BE8C8" w14:textId="2CB6B4DE" w:rsidR="003D1606" w:rsidRPr="006945F4" w:rsidRDefault="003D1606" w:rsidP="006945F4">
            <w:pPr>
              <w:pStyle w:val="TableBodyText"/>
              <w:rPr>
                <w:sz w:val="17"/>
                <w:szCs w:val="17"/>
              </w:rPr>
            </w:pPr>
            <w:r w:rsidRPr="006945F4">
              <w:rPr>
                <w:sz w:val="17"/>
                <w:szCs w:val="17"/>
              </w:rPr>
              <w:t>606,361</w:t>
            </w:r>
          </w:p>
        </w:tc>
      </w:tr>
      <w:tr w:rsidR="003D1606" w:rsidRPr="006945F4" w14:paraId="558666BC" w14:textId="77777777" w:rsidTr="006945F4">
        <w:trPr>
          <w:trHeight w:val="20"/>
        </w:trPr>
        <w:tc>
          <w:tcPr>
            <w:tcW w:w="584" w:type="pct"/>
            <w:vAlign w:val="top"/>
          </w:tcPr>
          <w:p w14:paraId="79667350" w14:textId="6284D7B7" w:rsidR="003D1606" w:rsidRPr="006945F4" w:rsidRDefault="003D1606" w:rsidP="006945F4">
            <w:pPr>
              <w:pStyle w:val="TableBodyText"/>
              <w:rPr>
                <w:sz w:val="17"/>
                <w:szCs w:val="17"/>
              </w:rPr>
            </w:pPr>
            <w:r w:rsidRPr="006945F4">
              <w:rPr>
                <w:sz w:val="17"/>
                <w:szCs w:val="17"/>
              </w:rPr>
              <w:t>Capital contributions</w:t>
            </w:r>
          </w:p>
        </w:tc>
        <w:tc>
          <w:tcPr>
            <w:tcW w:w="437" w:type="pct"/>
            <w:vAlign w:val="top"/>
          </w:tcPr>
          <w:p w14:paraId="6A62B67A" w14:textId="476EB291" w:rsidR="003D1606" w:rsidRPr="006945F4" w:rsidRDefault="003D1606" w:rsidP="006945F4">
            <w:pPr>
              <w:pStyle w:val="TableBodyText"/>
              <w:rPr>
                <w:sz w:val="17"/>
                <w:szCs w:val="17"/>
              </w:rPr>
            </w:pPr>
            <w:r w:rsidRPr="006945F4">
              <w:rPr>
                <w:sz w:val="17"/>
                <w:szCs w:val="17"/>
              </w:rPr>
              <w:t>N/A</w:t>
            </w:r>
          </w:p>
        </w:tc>
        <w:tc>
          <w:tcPr>
            <w:tcW w:w="438" w:type="pct"/>
            <w:vAlign w:val="top"/>
          </w:tcPr>
          <w:p w14:paraId="67FF4E3E" w14:textId="7CC53F69" w:rsidR="003D1606" w:rsidRPr="006945F4" w:rsidRDefault="003D1606" w:rsidP="006945F4">
            <w:pPr>
              <w:pStyle w:val="TableBodyText"/>
              <w:rPr>
                <w:sz w:val="17"/>
                <w:szCs w:val="17"/>
              </w:rPr>
            </w:pPr>
            <w:r w:rsidRPr="006945F4">
              <w:rPr>
                <w:sz w:val="17"/>
                <w:szCs w:val="17"/>
              </w:rPr>
              <w:t>N/A</w:t>
            </w:r>
          </w:p>
        </w:tc>
        <w:tc>
          <w:tcPr>
            <w:tcW w:w="438" w:type="pct"/>
            <w:vAlign w:val="top"/>
          </w:tcPr>
          <w:p w14:paraId="48699E41" w14:textId="361E9E13" w:rsidR="003D1606" w:rsidRPr="006945F4" w:rsidRDefault="003D1606" w:rsidP="006945F4">
            <w:pPr>
              <w:pStyle w:val="TableBodyText"/>
              <w:rPr>
                <w:sz w:val="17"/>
                <w:szCs w:val="17"/>
              </w:rPr>
            </w:pPr>
            <w:r w:rsidRPr="006945F4">
              <w:rPr>
                <w:sz w:val="17"/>
                <w:szCs w:val="17"/>
              </w:rPr>
              <w:t>N/A</w:t>
            </w:r>
          </w:p>
        </w:tc>
        <w:tc>
          <w:tcPr>
            <w:tcW w:w="437" w:type="pct"/>
            <w:vAlign w:val="top"/>
          </w:tcPr>
          <w:p w14:paraId="16E8F583" w14:textId="4FA30D5A" w:rsidR="003D1606" w:rsidRPr="006945F4" w:rsidRDefault="003D1606" w:rsidP="006945F4">
            <w:pPr>
              <w:pStyle w:val="TableBodyText"/>
              <w:rPr>
                <w:sz w:val="17"/>
                <w:szCs w:val="17"/>
              </w:rPr>
            </w:pPr>
            <w:r w:rsidRPr="006945F4">
              <w:rPr>
                <w:sz w:val="17"/>
                <w:szCs w:val="17"/>
              </w:rPr>
              <w:t>N/A</w:t>
            </w:r>
          </w:p>
        </w:tc>
        <w:tc>
          <w:tcPr>
            <w:tcW w:w="487" w:type="pct"/>
            <w:vAlign w:val="top"/>
          </w:tcPr>
          <w:p w14:paraId="021F6A86" w14:textId="3D44165A" w:rsidR="003D1606" w:rsidRPr="006945F4" w:rsidRDefault="003D1606" w:rsidP="006945F4">
            <w:pPr>
              <w:pStyle w:val="TableBodyText"/>
              <w:rPr>
                <w:sz w:val="17"/>
                <w:szCs w:val="17"/>
              </w:rPr>
            </w:pPr>
            <w:r w:rsidRPr="006945F4">
              <w:rPr>
                <w:sz w:val="17"/>
                <w:szCs w:val="17"/>
              </w:rPr>
              <w:t>N/A</w:t>
            </w:r>
          </w:p>
        </w:tc>
        <w:tc>
          <w:tcPr>
            <w:tcW w:w="437" w:type="pct"/>
            <w:vAlign w:val="top"/>
          </w:tcPr>
          <w:p w14:paraId="0A46588C" w14:textId="781A60AB" w:rsidR="003D1606" w:rsidRPr="006945F4" w:rsidRDefault="003D1606" w:rsidP="006945F4">
            <w:pPr>
              <w:pStyle w:val="TableBodyText"/>
              <w:rPr>
                <w:sz w:val="17"/>
                <w:szCs w:val="17"/>
              </w:rPr>
            </w:pPr>
            <w:r w:rsidRPr="006945F4">
              <w:rPr>
                <w:sz w:val="17"/>
                <w:szCs w:val="17"/>
              </w:rPr>
              <w:t>N/A</w:t>
            </w:r>
          </w:p>
        </w:tc>
        <w:tc>
          <w:tcPr>
            <w:tcW w:w="438" w:type="pct"/>
            <w:vAlign w:val="top"/>
          </w:tcPr>
          <w:p w14:paraId="47BF9960" w14:textId="26FB887E" w:rsidR="003D1606" w:rsidRPr="006945F4" w:rsidRDefault="003D1606" w:rsidP="006945F4">
            <w:pPr>
              <w:pStyle w:val="TableBodyText"/>
              <w:rPr>
                <w:sz w:val="17"/>
                <w:szCs w:val="17"/>
              </w:rPr>
            </w:pPr>
            <w:r w:rsidRPr="006945F4">
              <w:rPr>
                <w:sz w:val="17"/>
                <w:szCs w:val="17"/>
              </w:rPr>
              <w:t>N/A</w:t>
            </w:r>
          </w:p>
        </w:tc>
        <w:tc>
          <w:tcPr>
            <w:tcW w:w="441" w:type="pct"/>
            <w:vAlign w:val="top"/>
          </w:tcPr>
          <w:p w14:paraId="1C6BD049" w14:textId="1AB013BB" w:rsidR="003D1606" w:rsidRPr="006945F4" w:rsidRDefault="003D1606" w:rsidP="006945F4">
            <w:pPr>
              <w:pStyle w:val="TableBodyText"/>
              <w:rPr>
                <w:sz w:val="17"/>
                <w:szCs w:val="17"/>
              </w:rPr>
            </w:pPr>
            <w:r w:rsidRPr="006945F4">
              <w:rPr>
                <w:sz w:val="17"/>
                <w:szCs w:val="17"/>
              </w:rPr>
              <w:t>N/A</w:t>
            </w:r>
          </w:p>
        </w:tc>
        <w:tc>
          <w:tcPr>
            <w:tcW w:w="436" w:type="pct"/>
            <w:vAlign w:val="top"/>
          </w:tcPr>
          <w:p w14:paraId="6F223198" w14:textId="6FF1AB1F" w:rsidR="003D1606" w:rsidRPr="006945F4" w:rsidRDefault="003D1606" w:rsidP="006945F4">
            <w:pPr>
              <w:pStyle w:val="TableBodyText"/>
              <w:rPr>
                <w:sz w:val="17"/>
                <w:szCs w:val="17"/>
              </w:rPr>
            </w:pPr>
            <w:r w:rsidRPr="006945F4">
              <w:rPr>
                <w:sz w:val="17"/>
                <w:szCs w:val="17"/>
              </w:rPr>
              <w:t>N/A</w:t>
            </w:r>
          </w:p>
        </w:tc>
        <w:tc>
          <w:tcPr>
            <w:tcW w:w="426" w:type="pct"/>
            <w:vAlign w:val="top"/>
          </w:tcPr>
          <w:p w14:paraId="0DD59373" w14:textId="253EBB53" w:rsidR="003D1606" w:rsidRPr="006945F4" w:rsidRDefault="003D1606" w:rsidP="006945F4">
            <w:pPr>
              <w:pStyle w:val="TableBodyText"/>
              <w:rPr>
                <w:sz w:val="17"/>
                <w:szCs w:val="17"/>
              </w:rPr>
            </w:pPr>
            <w:r w:rsidRPr="006945F4">
              <w:rPr>
                <w:sz w:val="17"/>
                <w:szCs w:val="17"/>
              </w:rPr>
              <w:t>N/A</w:t>
            </w:r>
          </w:p>
        </w:tc>
      </w:tr>
      <w:tr w:rsidR="00186611" w:rsidRPr="006945F4" w14:paraId="11087748" w14:textId="77777777" w:rsidTr="002B25DA">
        <w:trPr>
          <w:trHeight w:val="20"/>
        </w:trPr>
        <w:tc>
          <w:tcPr>
            <w:tcW w:w="584" w:type="pct"/>
            <w:tcBorders>
              <w:bottom w:val="single" w:sz="4" w:space="0" w:color="auto"/>
            </w:tcBorders>
            <w:vAlign w:val="top"/>
          </w:tcPr>
          <w:p w14:paraId="313C3AD9" w14:textId="593C1161" w:rsidR="00186611" w:rsidRPr="006945F4" w:rsidRDefault="003D2F80" w:rsidP="006945F4">
            <w:pPr>
              <w:pStyle w:val="TableBodyText"/>
              <w:rPr>
                <w:sz w:val="17"/>
                <w:szCs w:val="17"/>
              </w:rPr>
            </w:pPr>
            <w:r w:rsidRPr="006945F4">
              <w:rPr>
                <w:sz w:val="17"/>
                <w:szCs w:val="17"/>
              </w:rPr>
              <w:lastRenderedPageBreak/>
              <w:t>Capitalisation of works in progress</w:t>
            </w:r>
          </w:p>
        </w:tc>
        <w:tc>
          <w:tcPr>
            <w:tcW w:w="437" w:type="pct"/>
            <w:tcBorders>
              <w:bottom w:val="single" w:sz="4" w:space="0" w:color="auto"/>
            </w:tcBorders>
            <w:vAlign w:val="top"/>
          </w:tcPr>
          <w:p w14:paraId="6EAA61FC" w14:textId="2DCF1B6F" w:rsidR="00186611" w:rsidRPr="006945F4" w:rsidRDefault="003D2F80" w:rsidP="006945F4">
            <w:pPr>
              <w:pStyle w:val="TableBodyText"/>
              <w:rPr>
                <w:sz w:val="17"/>
                <w:szCs w:val="17"/>
              </w:rPr>
            </w:pPr>
            <w:r w:rsidRPr="006945F4">
              <w:rPr>
                <w:sz w:val="17"/>
                <w:szCs w:val="17"/>
              </w:rPr>
              <w:t>493</w:t>
            </w:r>
          </w:p>
        </w:tc>
        <w:tc>
          <w:tcPr>
            <w:tcW w:w="438" w:type="pct"/>
            <w:tcBorders>
              <w:bottom w:val="single" w:sz="4" w:space="0" w:color="auto"/>
            </w:tcBorders>
            <w:vAlign w:val="top"/>
          </w:tcPr>
          <w:p w14:paraId="197DE182" w14:textId="5B499B1F" w:rsidR="00186611" w:rsidRPr="006945F4" w:rsidRDefault="003D2F80" w:rsidP="006945F4">
            <w:pPr>
              <w:pStyle w:val="TableBodyText"/>
              <w:rPr>
                <w:sz w:val="17"/>
                <w:szCs w:val="17"/>
              </w:rPr>
            </w:pPr>
            <w:r w:rsidRPr="006945F4">
              <w:rPr>
                <w:sz w:val="17"/>
                <w:szCs w:val="17"/>
              </w:rPr>
              <w:t>N/A</w:t>
            </w:r>
          </w:p>
        </w:tc>
        <w:tc>
          <w:tcPr>
            <w:tcW w:w="438" w:type="pct"/>
            <w:tcBorders>
              <w:bottom w:val="single" w:sz="4" w:space="0" w:color="auto"/>
            </w:tcBorders>
            <w:vAlign w:val="top"/>
          </w:tcPr>
          <w:p w14:paraId="0D40ED81" w14:textId="0586010A" w:rsidR="00186611" w:rsidRPr="006945F4" w:rsidRDefault="003D2F80" w:rsidP="006945F4">
            <w:pPr>
              <w:pStyle w:val="TableBodyText"/>
              <w:rPr>
                <w:sz w:val="17"/>
                <w:szCs w:val="17"/>
              </w:rPr>
            </w:pPr>
            <w:r w:rsidRPr="006945F4">
              <w:rPr>
                <w:sz w:val="17"/>
                <w:szCs w:val="17"/>
              </w:rPr>
              <w:t>21,585</w:t>
            </w:r>
          </w:p>
        </w:tc>
        <w:tc>
          <w:tcPr>
            <w:tcW w:w="437" w:type="pct"/>
            <w:tcBorders>
              <w:bottom w:val="single" w:sz="4" w:space="0" w:color="auto"/>
            </w:tcBorders>
            <w:vAlign w:val="top"/>
          </w:tcPr>
          <w:p w14:paraId="0EE426F6" w14:textId="58725053" w:rsidR="00186611" w:rsidRPr="006945F4" w:rsidRDefault="003D2F80" w:rsidP="006945F4">
            <w:pPr>
              <w:pStyle w:val="TableBodyText"/>
              <w:rPr>
                <w:sz w:val="17"/>
                <w:szCs w:val="17"/>
              </w:rPr>
            </w:pPr>
            <w:r w:rsidRPr="006945F4">
              <w:rPr>
                <w:sz w:val="17"/>
                <w:szCs w:val="17"/>
              </w:rPr>
              <w:t>1,915</w:t>
            </w:r>
          </w:p>
        </w:tc>
        <w:tc>
          <w:tcPr>
            <w:tcW w:w="487" w:type="pct"/>
            <w:tcBorders>
              <w:bottom w:val="single" w:sz="4" w:space="0" w:color="auto"/>
            </w:tcBorders>
            <w:vAlign w:val="top"/>
          </w:tcPr>
          <w:p w14:paraId="61B76E93" w14:textId="719FBED0" w:rsidR="00186611" w:rsidRPr="006945F4" w:rsidRDefault="003D2F80" w:rsidP="006945F4">
            <w:pPr>
              <w:pStyle w:val="TableBodyText"/>
              <w:rPr>
                <w:sz w:val="17"/>
                <w:szCs w:val="17"/>
              </w:rPr>
            </w:pPr>
            <w:r w:rsidRPr="006945F4">
              <w:rPr>
                <w:sz w:val="17"/>
                <w:szCs w:val="17"/>
              </w:rPr>
              <w:t>N/A</w:t>
            </w:r>
          </w:p>
        </w:tc>
        <w:tc>
          <w:tcPr>
            <w:tcW w:w="437" w:type="pct"/>
            <w:tcBorders>
              <w:bottom w:val="single" w:sz="4" w:space="0" w:color="auto"/>
            </w:tcBorders>
            <w:vAlign w:val="top"/>
          </w:tcPr>
          <w:p w14:paraId="5519FAFB" w14:textId="72357D22" w:rsidR="00186611" w:rsidRPr="006945F4" w:rsidRDefault="003D2F80" w:rsidP="006945F4">
            <w:pPr>
              <w:pStyle w:val="TableBodyText"/>
              <w:rPr>
                <w:sz w:val="17"/>
                <w:szCs w:val="17"/>
              </w:rPr>
            </w:pPr>
            <w:r w:rsidRPr="006945F4">
              <w:rPr>
                <w:sz w:val="17"/>
                <w:szCs w:val="17"/>
              </w:rPr>
              <w:t>2,878</w:t>
            </w:r>
          </w:p>
        </w:tc>
        <w:tc>
          <w:tcPr>
            <w:tcW w:w="438" w:type="pct"/>
            <w:tcBorders>
              <w:bottom w:val="single" w:sz="4" w:space="0" w:color="auto"/>
            </w:tcBorders>
            <w:vAlign w:val="top"/>
          </w:tcPr>
          <w:p w14:paraId="60BE5981" w14:textId="6428AE81" w:rsidR="00186611" w:rsidRPr="006945F4" w:rsidRDefault="003D2F80" w:rsidP="006945F4">
            <w:pPr>
              <w:pStyle w:val="TableBodyText"/>
              <w:rPr>
                <w:sz w:val="17"/>
                <w:szCs w:val="17"/>
              </w:rPr>
            </w:pPr>
            <w:r w:rsidRPr="006945F4">
              <w:rPr>
                <w:sz w:val="17"/>
                <w:szCs w:val="17"/>
              </w:rPr>
              <w:t>N/A</w:t>
            </w:r>
          </w:p>
        </w:tc>
        <w:tc>
          <w:tcPr>
            <w:tcW w:w="441" w:type="pct"/>
            <w:tcBorders>
              <w:bottom w:val="single" w:sz="4" w:space="0" w:color="auto"/>
            </w:tcBorders>
            <w:vAlign w:val="top"/>
          </w:tcPr>
          <w:p w14:paraId="017CA067" w14:textId="19885CD8" w:rsidR="00186611" w:rsidRPr="006945F4" w:rsidRDefault="003D2F80" w:rsidP="006945F4">
            <w:pPr>
              <w:pStyle w:val="TableBodyText"/>
              <w:rPr>
                <w:sz w:val="17"/>
                <w:szCs w:val="17"/>
              </w:rPr>
            </w:pPr>
            <w:r w:rsidRPr="006945F4">
              <w:rPr>
                <w:sz w:val="17"/>
                <w:szCs w:val="17"/>
              </w:rPr>
              <w:t>316,201</w:t>
            </w:r>
          </w:p>
        </w:tc>
        <w:tc>
          <w:tcPr>
            <w:tcW w:w="436" w:type="pct"/>
            <w:tcBorders>
              <w:bottom w:val="single" w:sz="4" w:space="0" w:color="auto"/>
            </w:tcBorders>
            <w:vAlign w:val="top"/>
          </w:tcPr>
          <w:p w14:paraId="25225088" w14:textId="4D734289" w:rsidR="00186611" w:rsidRPr="006945F4" w:rsidRDefault="003D2F80" w:rsidP="006945F4">
            <w:pPr>
              <w:pStyle w:val="TableBodyText"/>
              <w:rPr>
                <w:sz w:val="17"/>
                <w:szCs w:val="17"/>
              </w:rPr>
            </w:pPr>
            <w:r w:rsidRPr="006945F4">
              <w:rPr>
                <w:sz w:val="17"/>
                <w:szCs w:val="17"/>
              </w:rPr>
              <w:t>N/A</w:t>
            </w:r>
          </w:p>
        </w:tc>
        <w:tc>
          <w:tcPr>
            <w:tcW w:w="426" w:type="pct"/>
            <w:tcBorders>
              <w:bottom w:val="single" w:sz="4" w:space="0" w:color="auto"/>
            </w:tcBorders>
            <w:vAlign w:val="top"/>
          </w:tcPr>
          <w:p w14:paraId="30784554" w14:textId="49275ACC" w:rsidR="00186611" w:rsidRPr="006945F4" w:rsidRDefault="003D2F80" w:rsidP="006945F4">
            <w:pPr>
              <w:pStyle w:val="TableBodyText"/>
              <w:rPr>
                <w:sz w:val="17"/>
                <w:szCs w:val="17"/>
              </w:rPr>
            </w:pPr>
            <w:r w:rsidRPr="006945F4">
              <w:rPr>
                <w:sz w:val="17"/>
                <w:szCs w:val="17"/>
              </w:rPr>
              <w:t>(342,086)</w:t>
            </w:r>
          </w:p>
        </w:tc>
      </w:tr>
      <w:tr w:rsidR="00186611" w:rsidRPr="006945F4" w14:paraId="3091360A" w14:textId="77777777" w:rsidTr="002B25DA">
        <w:trPr>
          <w:trHeight w:val="20"/>
        </w:trPr>
        <w:tc>
          <w:tcPr>
            <w:tcW w:w="584" w:type="pct"/>
            <w:tcBorders>
              <w:top w:val="single" w:sz="4" w:space="0" w:color="auto"/>
              <w:bottom w:val="single" w:sz="4" w:space="0" w:color="auto"/>
            </w:tcBorders>
            <w:vAlign w:val="top"/>
          </w:tcPr>
          <w:p w14:paraId="4D048B40" w14:textId="78396700" w:rsidR="00186611" w:rsidRPr="006945F4" w:rsidRDefault="003D2F80" w:rsidP="006945F4">
            <w:pPr>
              <w:pStyle w:val="TableBodyText"/>
              <w:rPr>
                <w:rStyle w:val="Bold"/>
                <w:sz w:val="17"/>
                <w:szCs w:val="17"/>
              </w:rPr>
            </w:pPr>
            <w:r w:rsidRPr="006945F4">
              <w:rPr>
                <w:rStyle w:val="Bold"/>
                <w:sz w:val="17"/>
                <w:szCs w:val="17"/>
              </w:rPr>
              <w:t>Closing carrying amount</w:t>
            </w:r>
          </w:p>
        </w:tc>
        <w:tc>
          <w:tcPr>
            <w:tcW w:w="437" w:type="pct"/>
            <w:tcBorders>
              <w:top w:val="single" w:sz="4" w:space="0" w:color="auto"/>
              <w:bottom w:val="single" w:sz="4" w:space="0" w:color="auto"/>
            </w:tcBorders>
            <w:vAlign w:val="top"/>
          </w:tcPr>
          <w:p w14:paraId="425EF4BC" w14:textId="30AC3A6A" w:rsidR="00186611" w:rsidRPr="006945F4" w:rsidRDefault="003D2F80" w:rsidP="006945F4">
            <w:pPr>
              <w:pStyle w:val="TableBodyText"/>
              <w:rPr>
                <w:rStyle w:val="Bold"/>
                <w:sz w:val="17"/>
                <w:szCs w:val="17"/>
              </w:rPr>
            </w:pPr>
            <w:r w:rsidRPr="006945F4">
              <w:rPr>
                <w:rStyle w:val="Bold"/>
                <w:sz w:val="17"/>
                <w:szCs w:val="17"/>
              </w:rPr>
              <w:t>16,068,099</w:t>
            </w:r>
          </w:p>
        </w:tc>
        <w:tc>
          <w:tcPr>
            <w:tcW w:w="438" w:type="pct"/>
            <w:tcBorders>
              <w:top w:val="single" w:sz="4" w:space="0" w:color="auto"/>
              <w:bottom w:val="single" w:sz="4" w:space="0" w:color="auto"/>
            </w:tcBorders>
            <w:vAlign w:val="top"/>
          </w:tcPr>
          <w:p w14:paraId="4FDFAC02" w14:textId="3B13F4A0" w:rsidR="00186611" w:rsidRPr="006945F4" w:rsidRDefault="003D2F80" w:rsidP="006945F4">
            <w:pPr>
              <w:pStyle w:val="TableBodyText"/>
              <w:rPr>
                <w:rStyle w:val="Bold"/>
                <w:sz w:val="17"/>
                <w:szCs w:val="17"/>
              </w:rPr>
            </w:pPr>
            <w:r w:rsidRPr="006945F4">
              <w:rPr>
                <w:rStyle w:val="Bold"/>
                <w:sz w:val="17"/>
                <w:szCs w:val="17"/>
              </w:rPr>
              <w:t>167,603</w:t>
            </w:r>
          </w:p>
        </w:tc>
        <w:tc>
          <w:tcPr>
            <w:tcW w:w="438" w:type="pct"/>
            <w:tcBorders>
              <w:top w:val="single" w:sz="4" w:space="0" w:color="auto"/>
              <w:bottom w:val="single" w:sz="4" w:space="0" w:color="auto"/>
            </w:tcBorders>
            <w:vAlign w:val="top"/>
          </w:tcPr>
          <w:p w14:paraId="52D6AF27" w14:textId="59F50A66" w:rsidR="00186611" w:rsidRPr="006945F4" w:rsidRDefault="003D2F80" w:rsidP="006945F4">
            <w:pPr>
              <w:pStyle w:val="TableBodyText"/>
              <w:rPr>
                <w:rStyle w:val="Bold"/>
                <w:sz w:val="17"/>
                <w:szCs w:val="17"/>
              </w:rPr>
            </w:pPr>
            <w:r w:rsidRPr="006945F4">
              <w:rPr>
                <w:rStyle w:val="Bold"/>
                <w:sz w:val="17"/>
                <w:szCs w:val="17"/>
              </w:rPr>
              <w:t>1,945,154</w:t>
            </w:r>
          </w:p>
        </w:tc>
        <w:tc>
          <w:tcPr>
            <w:tcW w:w="437" w:type="pct"/>
            <w:tcBorders>
              <w:top w:val="single" w:sz="4" w:space="0" w:color="auto"/>
              <w:bottom w:val="single" w:sz="4" w:space="0" w:color="auto"/>
            </w:tcBorders>
            <w:vAlign w:val="top"/>
          </w:tcPr>
          <w:p w14:paraId="110A50A0" w14:textId="06748286" w:rsidR="00186611" w:rsidRPr="006945F4" w:rsidRDefault="003D2F80" w:rsidP="006945F4">
            <w:pPr>
              <w:pStyle w:val="TableBodyText"/>
              <w:rPr>
                <w:rStyle w:val="Bold"/>
                <w:sz w:val="17"/>
                <w:szCs w:val="17"/>
              </w:rPr>
            </w:pPr>
            <w:r w:rsidRPr="006945F4">
              <w:rPr>
                <w:rStyle w:val="Bold"/>
                <w:sz w:val="17"/>
                <w:szCs w:val="17"/>
              </w:rPr>
              <w:t>36,742</w:t>
            </w:r>
          </w:p>
        </w:tc>
        <w:tc>
          <w:tcPr>
            <w:tcW w:w="487" w:type="pct"/>
            <w:tcBorders>
              <w:top w:val="single" w:sz="4" w:space="0" w:color="auto"/>
              <w:bottom w:val="single" w:sz="4" w:space="0" w:color="auto"/>
            </w:tcBorders>
            <w:vAlign w:val="top"/>
          </w:tcPr>
          <w:p w14:paraId="53C3BB5A" w14:textId="33DC8DB3" w:rsidR="00186611" w:rsidRPr="006945F4" w:rsidRDefault="003D2F80" w:rsidP="006945F4">
            <w:pPr>
              <w:pStyle w:val="TableBodyText"/>
              <w:rPr>
                <w:rStyle w:val="Bold"/>
                <w:sz w:val="17"/>
                <w:szCs w:val="17"/>
              </w:rPr>
            </w:pPr>
            <w:r w:rsidRPr="006945F4">
              <w:rPr>
                <w:rStyle w:val="Bold"/>
                <w:sz w:val="17"/>
                <w:szCs w:val="17"/>
              </w:rPr>
              <w:t>981</w:t>
            </w:r>
          </w:p>
        </w:tc>
        <w:tc>
          <w:tcPr>
            <w:tcW w:w="437" w:type="pct"/>
            <w:tcBorders>
              <w:top w:val="single" w:sz="4" w:space="0" w:color="auto"/>
              <w:bottom w:val="single" w:sz="4" w:space="0" w:color="auto"/>
            </w:tcBorders>
            <w:vAlign w:val="top"/>
          </w:tcPr>
          <w:p w14:paraId="16F75280" w14:textId="5746E0C4" w:rsidR="00186611" w:rsidRPr="006945F4" w:rsidRDefault="003D2F80" w:rsidP="006945F4">
            <w:pPr>
              <w:pStyle w:val="TableBodyText"/>
              <w:rPr>
                <w:rStyle w:val="Bold"/>
                <w:sz w:val="17"/>
                <w:szCs w:val="17"/>
              </w:rPr>
            </w:pPr>
            <w:r w:rsidRPr="006945F4">
              <w:rPr>
                <w:rStyle w:val="Bold"/>
                <w:sz w:val="17"/>
                <w:szCs w:val="17"/>
              </w:rPr>
              <w:t>15,668</w:t>
            </w:r>
          </w:p>
        </w:tc>
        <w:tc>
          <w:tcPr>
            <w:tcW w:w="438" w:type="pct"/>
            <w:tcBorders>
              <w:top w:val="single" w:sz="4" w:space="0" w:color="auto"/>
              <w:bottom w:val="single" w:sz="4" w:space="0" w:color="auto"/>
            </w:tcBorders>
            <w:vAlign w:val="top"/>
          </w:tcPr>
          <w:p w14:paraId="2924B412" w14:textId="1ABB15D3" w:rsidR="00186611" w:rsidRPr="006945F4" w:rsidRDefault="003D2F80" w:rsidP="006945F4">
            <w:pPr>
              <w:pStyle w:val="TableBodyText"/>
              <w:rPr>
                <w:rStyle w:val="Bold"/>
                <w:sz w:val="17"/>
                <w:szCs w:val="17"/>
              </w:rPr>
            </w:pPr>
            <w:r w:rsidRPr="006945F4">
              <w:rPr>
                <w:rStyle w:val="Bold"/>
                <w:sz w:val="17"/>
                <w:szCs w:val="17"/>
              </w:rPr>
              <w:t>14,510</w:t>
            </w:r>
          </w:p>
        </w:tc>
        <w:tc>
          <w:tcPr>
            <w:tcW w:w="441" w:type="pct"/>
            <w:tcBorders>
              <w:top w:val="single" w:sz="4" w:space="0" w:color="auto"/>
              <w:bottom w:val="single" w:sz="4" w:space="0" w:color="auto"/>
            </w:tcBorders>
            <w:vAlign w:val="top"/>
          </w:tcPr>
          <w:p w14:paraId="001CD987" w14:textId="7E37B752" w:rsidR="00186611" w:rsidRPr="006945F4" w:rsidRDefault="003D2F80" w:rsidP="006945F4">
            <w:pPr>
              <w:pStyle w:val="TableBodyText"/>
              <w:rPr>
                <w:rStyle w:val="Bold"/>
                <w:sz w:val="17"/>
                <w:szCs w:val="17"/>
              </w:rPr>
            </w:pPr>
            <w:r w:rsidRPr="006945F4">
              <w:rPr>
                <w:rStyle w:val="Bold"/>
                <w:sz w:val="17"/>
                <w:szCs w:val="17"/>
              </w:rPr>
              <w:t>8,942,489</w:t>
            </w:r>
          </w:p>
        </w:tc>
        <w:tc>
          <w:tcPr>
            <w:tcW w:w="436" w:type="pct"/>
            <w:tcBorders>
              <w:top w:val="single" w:sz="4" w:space="0" w:color="auto"/>
              <w:bottom w:val="single" w:sz="4" w:space="0" w:color="auto"/>
            </w:tcBorders>
            <w:vAlign w:val="top"/>
          </w:tcPr>
          <w:p w14:paraId="6DD1D25A" w14:textId="5A45CB46" w:rsidR="00186611" w:rsidRPr="006945F4" w:rsidRDefault="003D2F80" w:rsidP="006945F4">
            <w:pPr>
              <w:pStyle w:val="TableBodyText"/>
              <w:rPr>
                <w:rStyle w:val="Bold"/>
                <w:sz w:val="17"/>
                <w:szCs w:val="17"/>
              </w:rPr>
            </w:pPr>
            <w:r w:rsidRPr="006945F4">
              <w:rPr>
                <w:rStyle w:val="Bold"/>
                <w:sz w:val="17"/>
                <w:szCs w:val="17"/>
              </w:rPr>
              <w:t>4,040,370</w:t>
            </w:r>
          </w:p>
        </w:tc>
        <w:tc>
          <w:tcPr>
            <w:tcW w:w="426" w:type="pct"/>
            <w:tcBorders>
              <w:top w:val="single" w:sz="4" w:space="0" w:color="auto"/>
              <w:bottom w:val="single" w:sz="4" w:space="0" w:color="auto"/>
            </w:tcBorders>
            <w:vAlign w:val="top"/>
          </w:tcPr>
          <w:p w14:paraId="257FBD63" w14:textId="5B319AC0" w:rsidR="00186611" w:rsidRPr="006945F4" w:rsidRDefault="003D2F80" w:rsidP="006945F4">
            <w:pPr>
              <w:pStyle w:val="TableBodyText"/>
              <w:rPr>
                <w:rStyle w:val="Bold"/>
                <w:sz w:val="17"/>
                <w:szCs w:val="17"/>
              </w:rPr>
            </w:pPr>
            <w:r w:rsidRPr="006945F4">
              <w:rPr>
                <w:rStyle w:val="Bold"/>
                <w:sz w:val="17"/>
                <w:szCs w:val="17"/>
              </w:rPr>
              <w:t>904,582</w:t>
            </w:r>
          </w:p>
        </w:tc>
      </w:tr>
    </w:tbl>
    <w:p w14:paraId="5411ACE6" w14:textId="0FF00726" w:rsidR="003D2F80" w:rsidRPr="00E00F3F" w:rsidRDefault="003D2F80" w:rsidP="003D2F80">
      <w:pPr>
        <w:pStyle w:val="BodyText"/>
        <w:rPr>
          <w:rStyle w:val="Bold"/>
          <w:lang w:eastAsia="en-US"/>
        </w:rPr>
      </w:pPr>
      <w:r>
        <w:rPr>
          <w:rStyle w:val="Bold"/>
        </w:rPr>
        <w:t xml:space="preserve">At </w:t>
      </w:r>
      <w:r w:rsidRPr="00E00F3F">
        <w:rPr>
          <w:rStyle w:val="Bold"/>
        </w:rPr>
        <w:t>30 June 202</w:t>
      </w:r>
      <w:r>
        <w:rPr>
          <w:rStyle w:val="Bold"/>
        </w:rPr>
        <w:t>1</w:t>
      </w:r>
    </w:p>
    <w:tbl>
      <w:tblPr>
        <w:tblStyle w:val="Style1"/>
        <w:tblW w:w="5000" w:type="pct"/>
        <w:tblLayout w:type="fixed"/>
        <w:tblLook w:val="0660" w:firstRow="1" w:lastRow="1" w:firstColumn="0" w:lastColumn="0" w:noHBand="1" w:noVBand="1"/>
      </w:tblPr>
      <w:tblGrid>
        <w:gridCol w:w="1703"/>
        <w:gridCol w:w="1275"/>
        <w:gridCol w:w="1277"/>
        <w:gridCol w:w="1276"/>
        <w:gridCol w:w="1274"/>
        <w:gridCol w:w="1419"/>
        <w:gridCol w:w="1274"/>
        <w:gridCol w:w="1276"/>
        <w:gridCol w:w="1285"/>
        <w:gridCol w:w="1271"/>
        <w:gridCol w:w="1241"/>
      </w:tblGrid>
      <w:tr w:rsidR="003D2F80" w:rsidRPr="007E516D" w14:paraId="1D737B2A" w14:textId="77777777" w:rsidTr="002B25DA">
        <w:trPr>
          <w:cnfStyle w:val="100000000000" w:firstRow="1" w:lastRow="0" w:firstColumn="0" w:lastColumn="0" w:oddVBand="0" w:evenVBand="0" w:oddHBand="0" w:evenHBand="0" w:firstRowFirstColumn="0" w:firstRowLastColumn="0" w:lastRowFirstColumn="0" w:lastRowLastColumn="0"/>
          <w:trHeight w:val="20"/>
        </w:trPr>
        <w:tc>
          <w:tcPr>
            <w:tcW w:w="584" w:type="pct"/>
            <w:tcBorders>
              <w:top w:val="single" w:sz="4" w:space="0" w:color="auto"/>
            </w:tcBorders>
            <w:vAlign w:val="bottom"/>
          </w:tcPr>
          <w:p w14:paraId="4522D590" w14:textId="77777777" w:rsidR="003D2F80" w:rsidRPr="007E516D" w:rsidRDefault="003D2F80" w:rsidP="007E516D">
            <w:pPr>
              <w:rPr>
                <w:sz w:val="17"/>
                <w:szCs w:val="17"/>
              </w:rPr>
            </w:pPr>
            <w:bookmarkStart w:id="1004" w:name="ColumnTitle_64"/>
            <w:r w:rsidRPr="007E516D">
              <w:rPr>
                <w:sz w:val="17"/>
                <w:szCs w:val="17"/>
              </w:rPr>
              <w:t>Item</w:t>
            </w:r>
          </w:p>
        </w:tc>
        <w:tc>
          <w:tcPr>
            <w:tcW w:w="437" w:type="pct"/>
            <w:tcBorders>
              <w:top w:val="single" w:sz="4" w:space="0" w:color="auto"/>
            </w:tcBorders>
            <w:vAlign w:val="bottom"/>
          </w:tcPr>
          <w:p w14:paraId="6467BF44" w14:textId="77777777" w:rsidR="003D2F80" w:rsidRPr="007E516D" w:rsidRDefault="003D2F80" w:rsidP="007E516D">
            <w:pPr>
              <w:rPr>
                <w:sz w:val="17"/>
                <w:szCs w:val="17"/>
              </w:rPr>
            </w:pPr>
            <w:r w:rsidRPr="007E516D">
              <w:rPr>
                <w:sz w:val="17"/>
                <w:szCs w:val="17"/>
              </w:rPr>
              <w:t>Total</w:t>
            </w:r>
          </w:p>
          <w:p w14:paraId="7B217841" w14:textId="77777777" w:rsidR="003D2F80" w:rsidRPr="007E516D" w:rsidRDefault="003D2F80" w:rsidP="007E516D">
            <w:pPr>
              <w:rPr>
                <w:sz w:val="17"/>
                <w:szCs w:val="17"/>
              </w:rPr>
            </w:pPr>
            <w:r w:rsidRPr="007E516D">
              <w:rPr>
                <w:sz w:val="17"/>
                <w:szCs w:val="17"/>
              </w:rPr>
              <w:t>($ thousands)</w:t>
            </w:r>
          </w:p>
        </w:tc>
        <w:tc>
          <w:tcPr>
            <w:tcW w:w="438" w:type="pct"/>
            <w:tcBorders>
              <w:top w:val="single" w:sz="4" w:space="0" w:color="auto"/>
            </w:tcBorders>
            <w:vAlign w:val="bottom"/>
          </w:tcPr>
          <w:p w14:paraId="3BFD5473" w14:textId="025E10D4" w:rsidR="003D2F80" w:rsidRPr="007E516D" w:rsidRDefault="003D2F80" w:rsidP="007E516D">
            <w:pPr>
              <w:rPr>
                <w:sz w:val="17"/>
                <w:szCs w:val="17"/>
              </w:rPr>
            </w:pPr>
            <w:r w:rsidRPr="007E516D">
              <w:rPr>
                <w:sz w:val="17"/>
                <w:szCs w:val="17"/>
              </w:rPr>
              <w:t>Crown</w:t>
            </w:r>
            <w:r w:rsidR="007E516D">
              <w:rPr>
                <w:sz w:val="17"/>
                <w:szCs w:val="17"/>
              </w:rPr>
              <w:t xml:space="preserve"> </w:t>
            </w:r>
            <w:r w:rsidRPr="007E516D">
              <w:rPr>
                <w:sz w:val="17"/>
                <w:szCs w:val="17"/>
              </w:rPr>
              <w:t>land</w:t>
            </w:r>
          </w:p>
          <w:p w14:paraId="009DA42F" w14:textId="77777777" w:rsidR="003D2F80" w:rsidRPr="007E516D" w:rsidRDefault="003D2F80" w:rsidP="007E516D">
            <w:pPr>
              <w:rPr>
                <w:sz w:val="17"/>
                <w:szCs w:val="17"/>
              </w:rPr>
            </w:pPr>
            <w:r w:rsidRPr="007E516D">
              <w:rPr>
                <w:sz w:val="17"/>
                <w:szCs w:val="17"/>
              </w:rPr>
              <w:t>($ thousands)</w:t>
            </w:r>
          </w:p>
        </w:tc>
        <w:tc>
          <w:tcPr>
            <w:tcW w:w="438" w:type="pct"/>
            <w:tcBorders>
              <w:top w:val="single" w:sz="4" w:space="0" w:color="auto"/>
            </w:tcBorders>
            <w:vAlign w:val="bottom"/>
          </w:tcPr>
          <w:p w14:paraId="1BA62284" w14:textId="73AA430E" w:rsidR="003D2F80" w:rsidRPr="007E516D" w:rsidRDefault="003D2F80" w:rsidP="007E516D">
            <w:pPr>
              <w:rPr>
                <w:sz w:val="17"/>
                <w:szCs w:val="17"/>
              </w:rPr>
            </w:pPr>
            <w:r w:rsidRPr="007E516D">
              <w:rPr>
                <w:sz w:val="17"/>
                <w:szCs w:val="17"/>
              </w:rPr>
              <w:t>Freehold</w:t>
            </w:r>
            <w:r w:rsidR="007E516D">
              <w:rPr>
                <w:sz w:val="17"/>
                <w:szCs w:val="17"/>
              </w:rPr>
              <w:t xml:space="preserve"> </w:t>
            </w:r>
            <w:r w:rsidRPr="007E516D">
              <w:rPr>
                <w:sz w:val="17"/>
                <w:szCs w:val="17"/>
              </w:rPr>
              <w:t>land</w:t>
            </w:r>
          </w:p>
          <w:p w14:paraId="4F86E3BD" w14:textId="77777777" w:rsidR="003D2F80" w:rsidRPr="007E516D" w:rsidRDefault="003D2F80" w:rsidP="007E516D">
            <w:pPr>
              <w:rPr>
                <w:sz w:val="17"/>
                <w:szCs w:val="17"/>
              </w:rPr>
            </w:pPr>
            <w:r w:rsidRPr="007E516D">
              <w:rPr>
                <w:sz w:val="17"/>
                <w:szCs w:val="17"/>
              </w:rPr>
              <w:t>($ thousands)</w:t>
            </w:r>
          </w:p>
        </w:tc>
        <w:tc>
          <w:tcPr>
            <w:tcW w:w="437" w:type="pct"/>
            <w:tcBorders>
              <w:top w:val="single" w:sz="4" w:space="0" w:color="auto"/>
            </w:tcBorders>
            <w:vAlign w:val="bottom"/>
          </w:tcPr>
          <w:p w14:paraId="04DBB5EF" w14:textId="77777777" w:rsidR="003D2F80" w:rsidRPr="007E516D" w:rsidRDefault="003D2F80" w:rsidP="007E516D">
            <w:pPr>
              <w:rPr>
                <w:sz w:val="17"/>
                <w:szCs w:val="17"/>
              </w:rPr>
            </w:pPr>
            <w:r w:rsidRPr="007E516D">
              <w:rPr>
                <w:sz w:val="17"/>
                <w:szCs w:val="17"/>
              </w:rPr>
              <w:t>Buildings</w:t>
            </w:r>
          </w:p>
          <w:p w14:paraId="7BDF575B" w14:textId="77777777" w:rsidR="003D2F80" w:rsidRPr="007E516D" w:rsidRDefault="003D2F80" w:rsidP="007E516D">
            <w:pPr>
              <w:rPr>
                <w:sz w:val="17"/>
                <w:szCs w:val="17"/>
              </w:rPr>
            </w:pPr>
            <w:r w:rsidRPr="007E516D">
              <w:rPr>
                <w:sz w:val="17"/>
                <w:szCs w:val="17"/>
              </w:rPr>
              <w:t>($ thousands)</w:t>
            </w:r>
          </w:p>
        </w:tc>
        <w:tc>
          <w:tcPr>
            <w:tcW w:w="487" w:type="pct"/>
            <w:tcBorders>
              <w:top w:val="single" w:sz="4" w:space="0" w:color="auto"/>
            </w:tcBorders>
            <w:vAlign w:val="bottom"/>
          </w:tcPr>
          <w:p w14:paraId="74087F0E" w14:textId="1AE35303" w:rsidR="003D2F80" w:rsidRPr="007E516D" w:rsidRDefault="003D2F80" w:rsidP="007E516D">
            <w:pPr>
              <w:rPr>
                <w:sz w:val="17"/>
                <w:szCs w:val="17"/>
              </w:rPr>
            </w:pPr>
            <w:r w:rsidRPr="007E516D">
              <w:rPr>
                <w:sz w:val="17"/>
                <w:szCs w:val="17"/>
              </w:rPr>
              <w:t>Leasehold</w:t>
            </w:r>
            <w:r w:rsidR="007E516D">
              <w:rPr>
                <w:sz w:val="17"/>
                <w:szCs w:val="17"/>
              </w:rPr>
              <w:t xml:space="preserve"> i</w:t>
            </w:r>
            <w:r w:rsidRPr="007E516D">
              <w:rPr>
                <w:sz w:val="17"/>
                <w:szCs w:val="17"/>
              </w:rPr>
              <w:t>mprovements</w:t>
            </w:r>
          </w:p>
          <w:p w14:paraId="04FF1ED8" w14:textId="77777777" w:rsidR="003D2F80" w:rsidRPr="007E516D" w:rsidRDefault="003D2F80" w:rsidP="007E516D">
            <w:pPr>
              <w:rPr>
                <w:sz w:val="17"/>
                <w:szCs w:val="17"/>
              </w:rPr>
            </w:pPr>
            <w:r w:rsidRPr="007E516D">
              <w:rPr>
                <w:sz w:val="17"/>
                <w:szCs w:val="17"/>
              </w:rPr>
              <w:t>($ thousands)</w:t>
            </w:r>
          </w:p>
        </w:tc>
        <w:tc>
          <w:tcPr>
            <w:tcW w:w="437" w:type="pct"/>
            <w:tcBorders>
              <w:top w:val="single" w:sz="4" w:space="0" w:color="auto"/>
            </w:tcBorders>
            <w:vAlign w:val="bottom"/>
          </w:tcPr>
          <w:p w14:paraId="54E0B5AF" w14:textId="42799F66" w:rsidR="003D2F80" w:rsidRPr="007E516D" w:rsidRDefault="003D2F80" w:rsidP="007E516D">
            <w:pPr>
              <w:rPr>
                <w:sz w:val="17"/>
                <w:szCs w:val="17"/>
              </w:rPr>
            </w:pPr>
            <w:r w:rsidRPr="007E516D">
              <w:rPr>
                <w:sz w:val="17"/>
                <w:szCs w:val="17"/>
              </w:rPr>
              <w:t>Plant and</w:t>
            </w:r>
            <w:r w:rsidR="007E516D">
              <w:rPr>
                <w:sz w:val="17"/>
                <w:szCs w:val="17"/>
              </w:rPr>
              <w:t xml:space="preserve"> e</w:t>
            </w:r>
            <w:r w:rsidRPr="007E516D">
              <w:rPr>
                <w:sz w:val="17"/>
                <w:szCs w:val="17"/>
              </w:rPr>
              <w:t>quipment</w:t>
            </w:r>
          </w:p>
          <w:p w14:paraId="4BA6ED24" w14:textId="77777777" w:rsidR="003D2F80" w:rsidRPr="007E516D" w:rsidRDefault="003D2F80" w:rsidP="007E516D">
            <w:pPr>
              <w:rPr>
                <w:sz w:val="17"/>
                <w:szCs w:val="17"/>
              </w:rPr>
            </w:pPr>
            <w:r w:rsidRPr="007E516D">
              <w:rPr>
                <w:sz w:val="17"/>
                <w:szCs w:val="17"/>
              </w:rPr>
              <w:t>($ thousands)</w:t>
            </w:r>
          </w:p>
        </w:tc>
        <w:tc>
          <w:tcPr>
            <w:tcW w:w="438" w:type="pct"/>
            <w:tcBorders>
              <w:top w:val="single" w:sz="4" w:space="0" w:color="auto"/>
            </w:tcBorders>
            <w:vAlign w:val="bottom"/>
          </w:tcPr>
          <w:p w14:paraId="1A7E1606" w14:textId="1D9CD085" w:rsidR="003D2F80" w:rsidRPr="007E516D" w:rsidRDefault="003D2F80" w:rsidP="007E516D">
            <w:pPr>
              <w:rPr>
                <w:sz w:val="17"/>
                <w:szCs w:val="17"/>
              </w:rPr>
            </w:pPr>
            <w:r w:rsidRPr="007E516D">
              <w:rPr>
                <w:sz w:val="17"/>
                <w:szCs w:val="17"/>
              </w:rPr>
              <w:t>Fleet</w:t>
            </w:r>
            <w:r w:rsidR="007E516D">
              <w:rPr>
                <w:sz w:val="17"/>
                <w:szCs w:val="17"/>
              </w:rPr>
              <w:t xml:space="preserve"> v</w:t>
            </w:r>
            <w:r w:rsidRPr="007E516D">
              <w:rPr>
                <w:sz w:val="17"/>
                <w:szCs w:val="17"/>
              </w:rPr>
              <w:t>ehicles</w:t>
            </w:r>
          </w:p>
          <w:p w14:paraId="721F9495" w14:textId="77777777" w:rsidR="003D2F80" w:rsidRPr="007E516D" w:rsidRDefault="003D2F80" w:rsidP="007E516D">
            <w:pPr>
              <w:rPr>
                <w:sz w:val="17"/>
                <w:szCs w:val="17"/>
              </w:rPr>
            </w:pPr>
            <w:r w:rsidRPr="007E516D">
              <w:rPr>
                <w:sz w:val="17"/>
                <w:szCs w:val="17"/>
              </w:rPr>
              <w:t>($ thousands)</w:t>
            </w:r>
          </w:p>
        </w:tc>
        <w:tc>
          <w:tcPr>
            <w:tcW w:w="441" w:type="pct"/>
            <w:tcBorders>
              <w:top w:val="single" w:sz="4" w:space="0" w:color="auto"/>
            </w:tcBorders>
            <w:vAlign w:val="bottom"/>
          </w:tcPr>
          <w:p w14:paraId="4093FF01" w14:textId="77777777" w:rsidR="003D2F80" w:rsidRPr="007E516D" w:rsidRDefault="003D2F80" w:rsidP="007E516D">
            <w:pPr>
              <w:rPr>
                <w:sz w:val="17"/>
                <w:szCs w:val="17"/>
              </w:rPr>
            </w:pPr>
            <w:r w:rsidRPr="007E516D">
              <w:rPr>
                <w:sz w:val="17"/>
                <w:szCs w:val="17"/>
              </w:rPr>
              <w:t>Infrastructure</w:t>
            </w:r>
          </w:p>
          <w:p w14:paraId="08AAB257" w14:textId="77777777" w:rsidR="003D2F80" w:rsidRPr="007E516D" w:rsidRDefault="003D2F80" w:rsidP="007E516D">
            <w:pPr>
              <w:rPr>
                <w:sz w:val="17"/>
                <w:szCs w:val="17"/>
              </w:rPr>
            </w:pPr>
            <w:r w:rsidRPr="007E516D">
              <w:rPr>
                <w:sz w:val="17"/>
                <w:szCs w:val="17"/>
              </w:rPr>
              <w:t>($ thousands)</w:t>
            </w:r>
          </w:p>
        </w:tc>
        <w:tc>
          <w:tcPr>
            <w:tcW w:w="436" w:type="pct"/>
            <w:tcBorders>
              <w:top w:val="single" w:sz="4" w:space="0" w:color="auto"/>
            </w:tcBorders>
            <w:vAlign w:val="bottom"/>
          </w:tcPr>
          <w:p w14:paraId="5F165493" w14:textId="68FF49D7" w:rsidR="003D2F80" w:rsidRPr="007E516D" w:rsidRDefault="00DC0A06" w:rsidP="007E516D">
            <w:pPr>
              <w:rPr>
                <w:sz w:val="17"/>
                <w:szCs w:val="17"/>
              </w:rPr>
            </w:pPr>
            <w:r>
              <w:rPr>
                <w:sz w:val="17"/>
                <w:szCs w:val="17"/>
              </w:rPr>
              <w:t>Victorian Desalination Plant</w:t>
            </w:r>
            <w:r w:rsidR="003D2F80" w:rsidRPr="007E516D">
              <w:rPr>
                <w:sz w:val="17"/>
                <w:szCs w:val="17"/>
              </w:rPr>
              <w:t xml:space="preserve"> service</w:t>
            </w:r>
            <w:r w:rsidR="007E516D">
              <w:rPr>
                <w:sz w:val="17"/>
                <w:szCs w:val="17"/>
              </w:rPr>
              <w:t xml:space="preserve"> c</w:t>
            </w:r>
            <w:r w:rsidR="003D2F80" w:rsidRPr="007E516D">
              <w:rPr>
                <w:sz w:val="17"/>
                <w:szCs w:val="17"/>
              </w:rPr>
              <w:t>oncession</w:t>
            </w:r>
            <w:r w:rsidR="007E516D">
              <w:rPr>
                <w:sz w:val="17"/>
                <w:szCs w:val="17"/>
              </w:rPr>
              <w:t xml:space="preserve"> a</w:t>
            </w:r>
            <w:r w:rsidR="003D2F80" w:rsidRPr="007E516D">
              <w:rPr>
                <w:sz w:val="17"/>
                <w:szCs w:val="17"/>
              </w:rPr>
              <w:t>sset</w:t>
            </w:r>
          </w:p>
          <w:p w14:paraId="76B768AF" w14:textId="77777777" w:rsidR="003D2F80" w:rsidRPr="007E516D" w:rsidRDefault="003D2F80" w:rsidP="007E516D">
            <w:pPr>
              <w:rPr>
                <w:sz w:val="17"/>
                <w:szCs w:val="17"/>
              </w:rPr>
            </w:pPr>
            <w:r w:rsidRPr="007E516D">
              <w:rPr>
                <w:sz w:val="17"/>
                <w:szCs w:val="17"/>
              </w:rPr>
              <w:t>($ thousands)</w:t>
            </w:r>
          </w:p>
        </w:tc>
        <w:tc>
          <w:tcPr>
            <w:tcW w:w="426" w:type="pct"/>
            <w:tcBorders>
              <w:top w:val="single" w:sz="4" w:space="0" w:color="auto"/>
            </w:tcBorders>
            <w:vAlign w:val="bottom"/>
          </w:tcPr>
          <w:p w14:paraId="017AD787" w14:textId="6AACA889" w:rsidR="003D2F80" w:rsidRPr="007E516D" w:rsidRDefault="003D2F80" w:rsidP="007E516D">
            <w:pPr>
              <w:rPr>
                <w:sz w:val="17"/>
                <w:szCs w:val="17"/>
              </w:rPr>
            </w:pPr>
            <w:r w:rsidRPr="007E516D">
              <w:rPr>
                <w:sz w:val="17"/>
                <w:szCs w:val="17"/>
              </w:rPr>
              <w:t>Capital works</w:t>
            </w:r>
            <w:r w:rsidR="007E516D">
              <w:rPr>
                <w:sz w:val="17"/>
                <w:szCs w:val="17"/>
              </w:rPr>
              <w:t xml:space="preserve"> i</w:t>
            </w:r>
            <w:r w:rsidRPr="007E516D">
              <w:rPr>
                <w:sz w:val="17"/>
                <w:szCs w:val="17"/>
              </w:rPr>
              <w:t>n progress</w:t>
            </w:r>
          </w:p>
          <w:p w14:paraId="60AB0F36" w14:textId="77777777" w:rsidR="003D2F80" w:rsidRPr="007E516D" w:rsidRDefault="003D2F80" w:rsidP="007E516D">
            <w:pPr>
              <w:rPr>
                <w:sz w:val="17"/>
                <w:szCs w:val="17"/>
              </w:rPr>
            </w:pPr>
            <w:r w:rsidRPr="007E516D">
              <w:rPr>
                <w:sz w:val="17"/>
                <w:szCs w:val="17"/>
              </w:rPr>
              <w:t>($ thousands)</w:t>
            </w:r>
          </w:p>
        </w:tc>
      </w:tr>
      <w:bookmarkEnd w:id="1004"/>
      <w:tr w:rsidR="003D2F80" w:rsidRPr="007E516D" w14:paraId="21EC38CD" w14:textId="77777777" w:rsidTr="007E516D">
        <w:trPr>
          <w:trHeight w:val="20"/>
        </w:trPr>
        <w:tc>
          <w:tcPr>
            <w:tcW w:w="584" w:type="pct"/>
            <w:vAlign w:val="top"/>
          </w:tcPr>
          <w:p w14:paraId="7248B274" w14:textId="77777777" w:rsidR="003D2F80" w:rsidRPr="007E516D" w:rsidRDefault="003D2F80" w:rsidP="007E516D">
            <w:pPr>
              <w:pStyle w:val="TableBodyText"/>
              <w:rPr>
                <w:sz w:val="17"/>
                <w:szCs w:val="17"/>
              </w:rPr>
            </w:pPr>
            <w:r w:rsidRPr="007E516D">
              <w:rPr>
                <w:sz w:val="17"/>
                <w:szCs w:val="17"/>
              </w:rPr>
              <w:t>Gross carrying amount</w:t>
            </w:r>
          </w:p>
        </w:tc>
        <w:tc>
          <w:tcPr>
            <w:tcW w:w="437" w:type="pct"/>
            <w:vAlign w:val="top"/>
          </w:tcPr>
          <w:p w14:paraId="69F2EED2" w14:textId="00CEEE1E" w:rsidR="003D2F80" w:rsidRPr="007E516D" w:rsidRDefault="003D2F80" w:rsidP="007E516D">
            <w:pPr>
              <w:pStyle w:val="TableBodyText"/>
              <w:rPr>
                <w:sz w:val="17"/>
                <w:szCs w:val="17"/>
              </w:rPr>
            </w:pPr>
            <w:r w:rsidRPr="007E516D">
              <w:rPr>
                <w:sz w:val="17"/>
                <w:szCs w:val="17"/>
              </w:rPr>
              <w:t>16,147,443</w:t>
            </w:r>
          </w:p>
        </w:tc>
        <w:tc>
          <w:tcPr>
            <w:tcW w:w="438" w:type="pct"/>
            <w:vAlign w:val="top"/>
          </w:tcPr>
          <w:p w14:paraId="27C0D0AC" w14:textId="10F3BD30" w:rsidR="003D2F80" w:rsidRPr="007E516D" w:rsidRDefault="003D2F80" w:rsidP="007E516D">
            <w:pPr>
              <w:pStyle w:val="TableBodyText"/>
              <w:rPr>
                <w:sz w:val="17"/>
                <w:szCs w:val="17"/>
              </w:rPr>
            </w:pPr>
            <w:r w:rsidRPr="007E516D">
              <w:rPr>
                <w:sz w:val="17"/>
                <w:szCs w:val="17"/>
              </w:rPr>
              <w:t>167,603</w:t>
            </w:r>
          </w:p>
        </w:tc>
        <w:tc>
          <w:tcPr>
            <w:tcW w:w="438" w:type="pct"/>
            <w:vAlign w:val="top"/>
          </w:tcPr>
          <w:p w14:paraId="2B121CEB" w14:textId="5F4727AF" w:rsidR="003D2F80" w:rsidRPr="007E516D" w:rsidRDefault="003D2F80" w:rsidP="007E516D">
            <w:pPr>
              <w:pStyle w:val="TableBodyText"/>
              <w:rPr>
                <w:sz w:val="17"/>
                <w:szCs w:val="17"/>
              </w:rPr>
            </w:pPr>
            <w:r w:rsidRPr="007E516D">
              <w:rPr>
                <w:sz w:val="17"/>
                <w:szCs w:val="17"/>
              </w:rPr>
              <w:t>1,945,154</w:t>
            </w:r>
          </w:p>
        </w:tc>
        <w:tc>
          <w:tcPr>
            <w:tcW w:w="437" w:type="pct"/>
            <w:vAlign w:val="top"/>
          </w:tcPr>
          <w:p w14:paraId="70EC3351" w14:textId="5C84C0E8" w:rsidR="003D2F80" w:rsidRPr="007E516D" w:rsidRDefault="003D2F80" w:rsidP="007E516D">
            <w:pPr>
              <w:pStyle w:val="TableBodyText"/>
              <w:rPr>
                <w:sz w:val="17"/>
                <w:szCs w:val="17"/>
              </w:rPr>
            </w:pPr>
            <w:r w:rsidRPr="007E516D">
              <w:rPr>
                <w:sz w:val="17"/>
                <w:szCs w:val="17"/>
              </w:rPr>
              <w:t>36,742</w:t>
            </w:r>
          </w:p>
        </w:tc>
        <w:tc>
          <w:tcPr>
            <w:tcW w:w="487" w:type="pct"/>
            <w:vAlign w:val="top"/>
          </w:tcPr>
          <w:p w14:paraId="3079A35D" w14:textId="3B960183" w:rsidR="003D2F80" w:rsidRPr="007E516D" w:rsidRDefault="003D2F80" w:rsidP="007E516D">
            <w:pPr>
              <w:pStyle w:val="TableBodyText"/>
              <w:rPr>
                <w:sz w:val="17"/>
                <w:szCs w:val="17"/>
              </w:rPr>
            </w:pPr>
            <w:r w:rsidRPr="007E516D">
              <w:rPr>
                <w:sz w:val="17"/>
                <w:szCs w:val="17"/>
              </w:rPr>
              <w:t>2,437</w:t>
            </w:r>
          </w:p>
        </w:tc>
        <w:tc>
          <w:tcPr>
            <w:tcW w:w="437" w:type="pct"/>
            <w:vAlign w:val="top"/>
          </w:tcPr>
          <w:p w14:paraId="457CE0DB" w14:textId="43FEB21F" w:rsidR="003D2F80" w:rsidRPr="007E516D" w:rsidRDefault="003D2F80" w:rsidP="007E516D">
            <w:pPr>
              <w:pStyle w:val="TableBodyText"/>
              <w:rPr>
                <w:sz w:val="17"/>
                <w:szCs w:val="17"/>
              </w:rPr>
            </w:pPr>
            <w:r w:rsidRPr="007E516D">
              <w:rPr>
                <w:sz w:val="17"/>
                <w:szCs w:val="17"/>
              </w:rPr>
              <w:t>83,988</w:t>
            </w:r>
          </w:p>
        </w:tc>
        <w:tc>
          <w:tcPr>
            <w:tcW w:w="438" w:type="pct"/>
            <w:vAlign w:val="top"/>
          </w:tcPr>
          <w:p w14:paraId="62CB02A1" w14:textId="571518A2" w:rsidR="003D2F80" w:rsidRPr="007E516D" w:rsidRDefault="003D2F80" w:rsidP="007E516D">
            <w:pPr>
              <w:pStyle w:val="TableBodyText"/>
              <w:rPr>
                <w:sz w:val="17"/>
                <w:szCs w:val="17"/>
              </w:rPr>
            </w:pPr>
            <w:r w:rsidRPr="007E516D">
              <w:rPr>
                <w:sz w:val="17"/>
                <w:szCs w:val="17"/>
              </w:rPr>
              <w:t>24,078</w:t>
            </w:r>
          </w:p>
        </w:tc>
        <w:tc>
          <w:tcPr>
            <w:tcW w:w="441" w:type="pct"/>
            <w:vAlign w:val="top"/>
          </w:tcPr>
          <w:p w14:paraId="2130C8DC" w14:textId="3527D8CD" w:rsidR="003D2F80" w:rsidRPr="007E516D" w:rsidRDefault="003D2F80" w:rsidP="007E516D">
            <w:pPr>
              <w:pStyle w:val="TableBodyText"/>
              <w:rPr>
                <w:sz w:val="17"/>
                <w:szCs w:val="17"/>
              </w:rPr>
            </w:pPr>
            <w:r w:rsidRPr="007E516D">
              <w:rPr>
                <w:sz w:val="17"/>
                <w:szCs w:val="17"/>
              </w:rPr>
              <w:t>8,942,489</w:t>
            </w:r>
          </w:p>
        </w:tc>
        <w:tc>
          <w:tcPr>
            <w:tcW w:w="436" w:type="pct"/>
            <w:vAlign w:val="top"/>
          </w:tcPr>
          <w:p w14:paraId="679668C0" w14:textId="666FBE5F" w:rsidR="003D2F80" w:rsidRPr="007E516D" w:rsidRDefault="003D2F80" w:rsidP="007E516D">
            <w:pPr>
              <w:pStyle w:val="TableBodyText"/>
              <w:rPr>
                <w:sz w:val="17"/>
                <w:szCs w:val="17"/>
              </w:rPr>
            </w:pPr>
            <w:r w:rsidRPr="007E516D">
              <w:rPr>
                <w:sz w:val="17"/>
                <w:szCs w:val="17"/>
              </w:rPr>
              <w:t>4,040,370</w:t>
            </w:r>
          </w:p>
        </w:tc>
        <w:tc>
          <w:tcPr>
            <w:tcW w:w="426" w:type="pct"/>
            <w:vAlign w:val="top"/>
          </w:tcPr>
          <w:p w14:paraId="103D7CDF" w14:textId="6C3B2B4D" w:rsidR="003D2F80" w:rsidRPr="007E516D" w:rsidRDefault="003D2F80" w:rsidP="007E516D">
            <w:pPr>
              <w:pStyle w:val="TableBodyText"/>
              <w:rPr>
                <w:sz w:val="17"/>
                <w:szCs w:val="17"/>
              </w:rPr>
            </w:pPr>
            <w:r w:rsidRPr="007E516D">
              <w:rPr>
                <w:sz w:val="17"/>
                <w:szCs w:val="17"/>
              </w:rPr>
              <w:t>904,582</w:t>
            </w:r>
          </w:p>
        </w:tc>
      </w:tr>
      <w:tr w:rsidR="003D2F80" w:rsidRPr="007E516D" w14:paraId="7199A284" w14:textId="77777777" w:rsidTr="002B25DA">
        <w:trPr>
          <w:trHeight w:val="20"/>
        </w:trPr>
        <w:tc>
          <w:tcPr>
            <w:tcW w:w="584" w:type="pct"/>
            <w:tcBorders>
              <w:bottom w:val="single" w:sz="4" w:space="0" w:color="auto"/>
            </w:tcBorders>
            <w:vAlign w:val="top"/>
          </w:tcPr>
          <w:p w14:paraId="7E4BD661" w14:textId="77777777" w:rsidR="003D2F80" w:rsidRPr="007E516D" w:rsidRDefault="003D2F80" w:rsidP="007E516D">
            <w:pPr>
              <w:pStyle w:val="TableBodyText"/>
              <w:rPr>
                <w:sz w:val="17"/>
                <w:szCs w:val="17"/>
              </w:rPr>
            </w:pPr>
            <w:r w:rsidRPr="007E516D">
              <w:rPr>
                <w:sz w:val="17"/>
                <w:szCs w:val="17"/>
              </w:rPr>
              <w:t>Accumulated depreciation</w:t>
            </w:r>
          </w:p>
        </w:tc>
        <w:tc>
          <w:tcPr>
            <w:tcW w:w="437" w:type="pct"/>
            <w:tcBorders>
              <w:bottom w:val="single" w:sz="4" w:space="0" w:color="auto"/>
            </w:tcBorders>
            <w:vAlign w:val="top"/>
          </w:tcPr>
          <w:p w14:paraId="3E6C3323" w14:textId="3EB87716" w:rsidR="003D2F80" w:rsidRPr="007E516D" w:rsidRDefault="003D2F80" w:rsidP="007E516D">
            <w:pPr>
              <w:pStyle w:val="TableBodyText"/>
              <w:rPr>
                <w:sz w:val="17"/>
                <w:szCs w:val="17"/>
              </w:rPr>
            </w:pPr>
            <w:r w:rsidRPr="007E516D">
              <w:rPr>
                <w:sz w:val="17"/>
                <w:szCs w:val="17"/>
              </w:rPr>
              <w:t>(79,344)</w:t>
            </w:r>
          </w:p>
        </w:tc>
        <w:tc>
          <w:tcPr>
            <w:tcW w:w="438" w:type="pct"/>
            <w:tcBorders>
              <w:bottom w:val="single" w:sz="4" w:space="0" w:color="auto"/>
            </w:tcBorders>
            <w:vAlign w:val="top"/>
          </w:tcPr>
          <w:p w14:paraId="57F28EC5" w14:textId="77777777" w:rsidR="003D2F80" w:rsidRPr="007E516D" w:rsidRDefault="003D2F80" w:rsidP="007E516D">
            <w:pPr>
              <w:pStyle w:val="TableBodyText"/>
              <w:rPr>
                <w:sz w:val="17"/>
                <w:szCs w:val="17"/>
              </w:rPr>
            </w:pPr>
            <w:r w:rsidRPr="007E516D">
              <w:rPr>
                <w:sz w:val="17"/>
                <w:szCs w:val="17"/>
              </w:rPr>
              <w:t>N/A</w:t>
            </w:r>
          </w:p>
        </w:tc>
        <w:tc>
          <w:tcPr>
            <w:tcW w:w="438" w:type="pct"/>
            <w:tcBorders>
              <w:bottom w:val="single" w:sz="4" w:space="0" w:color="auto"/>
            </w:tcBorders>
            <w:vAlign w:val="top"/>
          </w:tcPr>
          <w:p w14:paraId="0F5BF93B" w14:textId="77777777" w:rsidR="003D2F80" w:rsidRPr="007E516D" w:rsidRDefault="003D2F80" w:rsidP="007E516D">
            <w:pPr>
              <w:pStyle w:val="TableBodyText"/>
              <w:rPr>
                <w:sz w:val="17"/>
                <w:szCs w:val="17"/>
              </w:rPr>
            </w:pPr>
            <w:r w:rsidRPr="007E516D">
              <w:rPr>
                <w:sz w:val="17"/>
                <w:szCs w:val="17"/>
              </w:rPr>
              <w:t>N/A</w:t>
            </w:r>
          </w:p>
        </w:tc>
        <w:tc>
          <w:tcPr>
            <w:tcW w:w="437" w:type="pct"/>
            <w:tcBorders>
              <w:bottom w:val="single" w:sz="4" w:space="0" w:color="auto"/>
            </w:tcBorders>
            <w:vAlign w:val="top"/>
          </w:tcPr>
          <w:p w14:paraId="567501DB" w14:textId="2FAA4476" w:rsidR="003D2F80" w:rsidRPr="007E516D" w:rsidRDefault="003D2F80" w:rsidP="007E516D">
            <w:pPr>
              <w:pStyle w:val="TableBodyText"/>
              <w:rPr>
                <w:sz w:val="17"/>
                <w:szCs w:val="17"/>
              </w:rPr>
            </w:pPr>
            <w:r w:rsidRPr="007E516D">
              <w:rPr>
                <w:sz w:val="17"/>
                <w:szCs w:val="17"/>
              </w:rPr>
              <w:t>N/A</w:t>
            </w:r>
          </w:p>
        </w:tc>
        <w:tc>
          <w:tcPr>
            <w:tcW w:w="487" w:type="pct"/>
            <w:tcBorders>
              <w:bottom w:val="single" w:sz="4" w:space="0" w:color="auto"/>
            </w:tcBorders>
            <w:vAlign w:val="top"/>
          </w:tcPr>
          <w:p w14:paraId="61D51BF4" w14:textId="372093D0" w:rsidR="003D2F80" w:rsidRPr="007E516D" w:rsidRDefault="003D2F80" w:rsidP="007E516D">
            <w:pPr>
              <w:pStyle w:val="TableBodyText"/>
              <w:rPr>
                <w:sz w:val="17"/>
                <w:szCs w:val="17"/>
              </w:rPr>
            </w:pPr>
            <w:r w:rsidRPr="007E516D">
              <w:rPr>
                <w:sz w:val="17"/>
                <w:szCs w:val="17"/>
              </w:rPr>
              <w:t>(1,456)</w:t>
            </w:r>
          </w:p>
        </w:tc>
        <w:tc>
          <w:tcPr>
            <w:tcW w:w="437" w:type="pct"/>
            <w:tcBorders>
              <w:bottom w:val="single" w:sz="4" w:space="0" w:color="auto"/>
            </w:tcBorders>
            <w:vAlign w:val="top"/>
          </w:tcPr>
          <w:p w14:paraId="479E40F9" w14:textId="4B2D167F" w:rsidR="003D2F80" w:rsidRPr="007E516D" w:rsidRDefault="003D2F80" w:rsidP="007E516D">
            <w:pPr>
              <w:pStyle w:val="TableBodyText"/>
              <w:rPr>
                <w:sz w:val="17"/>
                <w:szCs w:val="17"/>
              </w:rPr>
            </w:pPr>
            <w:r w:rsidRPr="007E516D">
              <w:rPr>
                <w:sz w:val="17"/>
                <w:szCs w:val="17"/>
              </w:rPr>
              <w:t>(68,320)</w:t>
            </w:r>
          </w:p>
        </w:tc>
        <w:tc>
          <w:tcPr>
            <w:tcW w:w="438" w:type="pct"/>
            <w:tcBorders>
              <w:bottom w:val="single" w:sz="4" w:space="0" w:color="auto"/>
            </w:tcBorders>
            <w:vAlign w:val="top"/>
          </w:tcPr>
          <w:p w14:paraId="1D2F686D" w14:textId="6A12BC02" w:rsidR="003D2F80" w:rsidRPr="007E516D" w:rsidRDefault="003D2F80" w:rsidP="007E516D">
            <w:pPr>
              <w:pStyle w:val="TableBodyText"/>
              <w:rPr>
                <w:sz w:val="17"/>
                <w:szCs w:val="17"/>
              </w:rPr>
            </w:pPr>
            <w:r w:rsidRPr="007E516D">
              <w:rPr>
                <w:sz w:val="17"/>
                <w:szCs w:val="17"/>
              </w:rPr>
              <w:t>(9,568)</w:t>
            </w:r>
          </w:p>
        </w:tc>
        <w:tc>
          <w:tcPr>
            <w:tcW w:w="441" w:type="pct"/>
            <w:tcBorders>
              <w:bottom w:val="single" w:sz="4" w:space="0" w:color="auto"/>
            </w:tcBorders>
            <w:vAlign w:val="top"/>
          </w:tcPr>
          <w:p w14:paraId="3EC5DA84" w14:textId="32B2A3F0" w:rsidR="003D2F80" w:rsidRPr="007E516D" w:rsidRDefault="003D2F80" w:rsidP="007E516D">
            <w:pPr>
              <w:pStyle w:val="TableBodyText"/>
              <w:rPr>
                <w:sz w:val="17"/>
                <w:szCs w:val="17"/>
              </w:rPr>
            </w:pPr>
            <w:r w:rsidRPr="007E516D">
              <w:rPr>
                <w:sz w:val="17"/>
                <w:szCs w:val="17"/>
              </w:rPr>
              <w:t>N/A</w:t>
            </w:r>
          </w:p>
        </w:tc>
        <w:tc>
          <w:tcPr>
            <w:tcW w:w="436" w:type="pct"/>
            <w:tcBorders>
              <w:bottom w:val="single" w:sz="4" w:space="0" w:color="auto"/>
            </w:tcBorders>
            <w:vAlign w:val="top"/>
          </w:tcPr>
          <w:p w14:paraId="475CC747" w14:textId="5C58CEAF" w:rsidR="003D2F80" w:rsidRPr="007E516D" w:rsidRDefault="003D2F80" w:rsidP="007E516D">
            <w:pPr>
              <w:pStyle w:val="TableBodyText"/>
              <w:rPr>
                <w:sz w:val="17"/>
                <w:szCs w:val="17"/>
              </w:rPr>
            </w:pPr>
            <w:r w:rsidRPr="007E516D">
              <w:rPr>
                <w:sz w:val="17"/>
                <w:szCs w:val="17"/>
              </w:rPr>
              <w:t>N/A</w:t>
            </w:r>
          </w:p>
        </w:tc>
        <w:tc>
          <w:tcPr>
            <w:tcW w:w="426" w:type="pct"/>
            <w:tcBorders>
              <w:bottom w:val="single" w:sz="4" w:space="0" w:color="auto"/>
            </w:tcBorders>
            <w:vAlign w:val="top"/>
          </w:tcPr>
          <w:p w14:paraId="4D55DA04" w14:textId="77777777" w:rsidR="003D2F80" w:rsidRPr="007E516D" w:rsidRDefault="003D2F80" w:rsidP="007E516D">
            <w:pPr>
              <w:pStyle w:val="TableBodyText"/>
              <w:rPr>
                <w:sz w:val="17"/>
                <w:szCs w:val="17"/>
              </w:rPr>
            </w:pPr>
            <w:r w:rsidRPr="007E516D">
              <w:rPr>
                <w:sz w:val="17"/>
                <w:szCs w:val="17"/>
              </w:rPr>
              <w:t>N/A</w:t>
            </w:r>
          </w:p>
        </w:tc>
      </w:tr>
      <w:tr w:rsidR="003D2F80" w:rsidRPr="007E516D" w14:paraId="140A6EE9" w14:textId="77777777" w:rsidTr="002B25DA">
        <w:trPr>
          <w:trHeight w:val="20"/>
        </w:trPr>
        <w:tc>
          <w:tcPr>
            <w:tcW w:w="584" w:type="pct"/>
            <w:tcBorders>
              <w:top w:val="single" w:sz="4" w:space="0" w:color="auto"/>
              <w:bottom w:val="single" w:sz="4" w:space="0" w:color="auto"/>
            </w:tcBorders>
            <w:vAlign w:val="top"/>
          </w:tcPr>
          <w:p w14:paraId="2DFCA4B4" w14:textId="77777777" w:rsidR="003D2F80" w:rsidRPr="007E516D" w:rsidRDefault="003D2F80" w:rsidP="007E516D">
            <w:pPr>
              <w:pStyle w:val="TableBodyText"/>
              <w:rPr>
                <w:rStyle w:val="Bold"/>
                <w:sz w:val="17"/>
                <w:szCs w:val="17"/>
              </w:rPr>
            </w:pPr>
            <w:r w:rsidRPr="007E516D">
              <w:rPr>
                <w:rStyle w:val="Bold"/>
                <w:sz w:val="17"/>
                <w:szCs w:val="17"/>
              </w:rPr>
              <w:t>Carrying amount</w:t>
            </w:r>
          </w:p>
        </w:tc>
        <w:tc>
          <w:tcPr>
            <w:tcW w:w="437" w:type="pct"/>
            <w:tcBorders>
              <w:top w:val="single" w:sz="4" w:space="0" w:color="auto"/>
              <w:bottom w:val="single" w:sz="4" w:space="0" w:color="auto"/>
            </w:tcBorders>
            <w:vAlign w:val="top"/>
          </w:tcPr>
          <w:p w14:paraId="504765E1" w14:textId="703B6EEF" w:rsidR="003D2F80" w:rsidRPr="007E516D" w:rsidRDefault="003D2F80" w:rsidP="007E516D">
            <w:pPr>
              <w:pStyle w:val="TableBodyText"/>
              <w:rPr>
                <w:rStyle w:val="Bold"/>
                <w:sz w:val="17"/>
                <w:szCs w:val="17"/>
              </w:rPr>
            </w:pPr>
            <w:r w:rsidRPr="007E516D">
              <w:rPr>
                <w:rStyle w:val="Bold"/>
                <w:sz w:val="17"/>
                <w:szCs w:val="17"/>
              </w:rPr>
              <w:t>16,068,099</w:t>
            </w:r>
          </w:p>
        </w:tc>
        <w:tc>
          <w:tcPr>
            <w:tcW w:w="438" w:type="pct"/>
            <w:tcBorders>
              <w:top w:val="single" w:sz="4" w:space="0" w:color="auto"/>
              <w:bottom w:val="single" w:sz="4" w:space="0" w:color="auto"/>
            </w:tcBorders>
            <w:vAlign w:val="top"/>
          </w:tcPr>
          <w:p w14:paraId="5E1C566F" w14:textId="723F29A1" w:rsidR="003D2F80" w:rsidRPr="007E516D" w:rsidRDefault="003D2F80" w:rsidP="007E516D">
            <w:pPr>
              <w:pStyle w:val="TableBodyText"/>
              <w:rPr>
                <w:rStyle w:val="Bold"/>
                <w:sz w:val="17"/>
                <w:szCs w:val="17"/>
              </w:rPr>
            </w:pPr>
            <w:r w:rsidRPr="007E516D">
              <w:rPr>
                <w:rStyle w:val="Bold"/>
                <w:sz w:val="17"/>
                <w:szCs w:val="17"/>
              </w:rPr>
              <w:t>167,603</w:t>
            </w:r>
          </w:p>
        </w:tc>
        <w:tc>
          <w:tcPr>
            <w:tcW w:w="438" w:type="pct"/>
            <w:tcBorders>
              <w:top w:val="single" w:sz="4" w:space="0" w:color="auto"/>
              <w:bottom w:val="single" w:sz="4" w:space="0" w:color="auto"/>
            </w:tcBorders>
            <w:vAlign w:val="top"/>
          </w:tcPr>
          <w:p w14:paraId="002CB72C" w14:textId="751ECD4C" w:rsidR="003D2F80" w:rsidRPr="007E516D" w:rsidRDefault="003D2F80" w:rsidP="007E516D">
            <w:pPr>
              <w:pStyle w:val="TableBodyText"/>
              <w:rPr>
                <w:rStyle w:val="Bold"/>
                <w:sz w:val="17"/>
                <w:szCs w:val="17"/>
              </w:rPr>
            </w:pPr>
            <w:r w:rsidRPr="007E516D">
              <w:rPr>
                <w:rStyle w:val="Bold"/>
                <w:sz w:val="17"/>
                <w:szCs w:val="17"/>
              </w:rPr>
              <w:t>1,945,154</w:t>
            </w:r>
          </w:p>
        </w:tc>
        <w:tc>
          <w:tcPr>
            <w:tcW w:w="437" w:type="pct"/>
            <w:tcBorders>
              <w:top w:val="single" w:sz="4" w:space="0" w:color="auto"/>
              <w:bottom w:val="single" w:sz="4" w:space="0" w:color="auto"/>
            </w:tcBorders>
            <w:vAlign w:val="top"/>
          </w:tcPr>
          <w:p w14:paraId="4E7BB41A" w14:textId="18494BB6" w:rsidR="003D2F80" w:rsidRPr="007E516D" w:rsidRDefault="003D2F80" w:rsidP="007E516D">
            <w:pPr>
              <w:pStyle w:val="TableBodyText"/>
              <w:rPr>
                <w:rStyle w:val="Bold"/>
                <w:sz w:val="17"/>
                <w:szCs w:val="17"/>
              </w:rPr>
            </w:pPr>
            <w:r w:rsidRPr="007E516D">
              <w:rPr>
                <w:rStyle w:val="Bold"/>
                <w:sz w:val="17"/>
                <w:szCs w:val="17"/>
              </w:rPr>
              <w:t>36,742</w:t>
            </w:r>
          </w:p>
        </w:tc>
        <w:tc>
          <w:tcPr>
            <w:tcW w:w="487" w:type="pct"/>
            <w:tcBorders>
              <w:top w:val="single" w:sz="4" w:space="0" w:color="auto"/>
              <w:bottom w:val="single" w:sz="4" w:space="0" w:color="auto"/>
            </w:tcBorders>
            <w:vAlign w:val="top"/>
          </w:tcPr>
          <w:p w14:paraId="7AB92E39" w14:textId="6D23A1FF" w:rsidR="003D2F80" w:rsidRPr="007E516D" w:rsidRDefault="003D2F80" w:rsidP="007E516D">
            <w:pPr>
              <w:pStyle w:val="TableBodyText"/>
              <w:rPr>
                <w:rStyle w:val="Bold"/>
                <w:sz w:val="17"/>
                <w:szCs w:val="17"/>
              </w:rPr>
            </w:pPr>
            <w:r w:rsidRPr="007E516D">
              <w:rPr>
                <w:rStyle w:val="Bold"/>
                <w:sz w:val="17"/>
                <w:szCs w:val="17"/>
              </w:rPr>
              <w:t>981</w:t>
            </w:r>
          </w:p>
        </w:tc>
        <w:tc>
          <w:tcPr>
            <w:tcW w:w="437" w:type="pct"/>
            <w:tcBorders>
              <w:top w:val="single" w:sz="4" w:space="0" w:color="auto"/>
              <w:bottom w:val="single" w:sz="4" w:space="0" w:color="auto"/>
            </w:tcBorders>
            <w:vAlign w:val="top"/>
          </w:tcPr>
          <w:p w14:paraId="2D2F34B3" w14:textId="0FB06260" w:rsidR="003D2F80" w:rsidRPr="007E516D" w:rsidRDefault="003D2F80" w:rsidP="007E516D">
            <w:pPr>
              <w:pStyle w:val="TableBodyText"/>
              <w:rPr>
                <w:rStyle w:val="Bold"/>
                <w:sz w:val="17"/>
                <w:szCs w:val="17"/>
              </w:rPr>
            </w:pPr>
            <w:r w:rsidRPr="007E516D">
              <w:rPr>
                <w:rStyle w:val="Bold"/>
                <w:sz w:val="17"/>
                <w:szCs w:val="17"/>
              </w:rPr>
              <w:t>15,668</w:t>
            </w:r>
          </w:p>
        </w:tc>
        <w:tc>
          <w:tcPr>
            <w:tcW w:w="438" w:type="pct"/>
            <w:tcBorders>
              <w:top w:val="single" w:sz="4" w:space="0" w:color="auto"/>
              <w:bottom w:val="single" w:sz="4" w:space="0" w:color="auto"/>
            </w:tcBorders>
            <w:vAlign w:val="top"/>
          </w:tcPr>
          <w:p w14:paraId="07057166" w14:textId="1180E786" w:rsidR="003D2F80" w:rsidRPr="007E516D" w:rsidRDefault="003D2F80" w:rsidP="007E516D">
            <w:pPr>
              <w:pStyle w:val="TableBodyText"/>
              <w:rPr>
                <w:rStyle w:val="Bold"/>
                <w:sz w:val="17"/>
                <w:szCs w:val="17"/>
              </w:rPr>
            </w:pPr>
            <w:r w:rsidRPr="007E516D">
              <w:rPr>
                <w:rStyle w:val="Bold"/>
                <w:sz w:val="17"/>
                <w:szCs w:val="17"/>
              </w:rPr>
              <w:t>14,510</w:t>
            </w:r>
          </w:p>
        </w:tc>
        <w:tc>
          <w:tcPr>
            <w:tcW w:w="441" w:type="pct"/>
            <w:tcBorders>
              <w:top w:val="single" w:sz="4" w:space="0" w:color="auto"/>
              <w:bottom w:val="single" w:sz="4" w:space="0" w:color="auto"/>
            </w:tcBorders>
            <w:vAlign w:val="top"/>
          </w:tcPr>
          <w:p w14:paraId="76DC1CA2" w14:textId="19D7B1A3" w:rsidR="003D2F80" w:rsidRPr="007E516D" w:rsidRDefault="003D2F80" w:rsidP="007E516D">
            <w:pPr>
              <w:pStyle w:val="TableBodyText"/>
              <w:rPr>
                <w:rStyle w:val="Bold"/>
                <w:sz w:val="17"/>
                <w:szCs w:val="17"/>
              </w:rPr>
            </w:pPr>
            <w:r w:rsidRPr="007E516D">
              <w:rPr>
                <w:rStyle w:val="Bold"/>
                <w:sz w:val="17"/>
                <w:szCs w:val="17"/>
              </w:rPr>
              <w:t>8,942,489</w:t>
            </w:r>
          </w:p>
        </w:tc>
        <w:tc>
          <w:tcPr>
            <w:tcW w:w="436" w:type="pct"/>
            <w:tcBorders>
              <w:top w:val="single" w:sz="4" w:space="0" w:color="auto"/>
              <w:bottom w:val="single" w:sz="4" w:space="0" w:color="auto"/>
            </w:tcBorders>
            <w:vAlign w:val="top"/>
          </w:tcPr>
          <w:p w14:paraId="75437719" w14:textId="7F17760B" w:rsidR="003D2F80" w:rsidRPr="007E516D" w:rsidRDefault="003D2F80" w:rsidP="007E516D">
            <w:pPr>
              <w:pStyle w:val="TableBodyText"/>
              <w:rPr>
                <w:rStyle w:val="Bold"/>
                <w:sz w:val="17"/>
                <w:szCs w:val="17"/>
              </w:rPr>
            </w:pPr>
            <w:r w:rsidRPr="007E516D">
              <w:rPr>
                <w:rStyle w:val="Bold"/>
                <w:sz w:val="17"/>
                <w:szCs w:val="17"/>
              </w:rPr>
              <w:t>4,040,370</w:t>
            </w:r>
          </w:p>
        </w:tc>
        <w:tc>
          <w:tcPr>
            <w:tcW w:w="426" w:type="pct"/>
            <w:tcBorders>
              <w:top w:val="single" w:sz="4" w:space="0" w:color="auto"/>
              <w:bottom w:val="single" w:sz="4" w:space="0" w:color="auto"/>
            </w:tcBorders>
            <w:vAlign w:val="top"/>
          </w:tcPr>
          <w:p w14:paraId="383CEADA" w14:textId="6875EEEC" w:rsidR="003D2F80" w:rsidRPr="007E516D" w:rsidRDefault="003D2F80" w:rsidP="007E516D">
            <w:pPr>
              <w:pStyle w:val="TableBodyText"/>
              <w:rPr>
                <w:rStyle w:val="Bold"/>
                <w:sz w:val="17"/>
                <w:szCs w:val="17"/>
              </w:rPr>
            </w:pPr>
            <w:r w:rsidRPr="007E516D">
              <w:rPr>
                <w:rStyle w:val="Bold"/>
                <w:sz w:val="17"/>
                <w:szCs w:val="17"/>
              </w:rPr>
              <w:t>904,582</w:t>
            </w:r>
          </w:p>
        </w:tc>
      </w:tr>
    </w:tbl>
    <w:p w14:paraId="093A7B3E" w14:textId="77777777" w:rsidR="003D2F80" w:rsidRDefault="003D2F80" w:rsidP="00A9434F">
      <w:pPr>
        <w:pStyle w:val="BodyText"/>
        <w:spacing w:before="120" w:after="120"/>
      </w:pPr>
      <w:r>
        <w:t>Note:</w:t>
      </w:r>
    </w:p>
    <w:p w14:paraId="2396A55C" w14:textId="07B18E05" w:rsidR="003D2F80" w:rsidRDefault="003D2F80" w:rsidP="00A9434F">
      <w:pPr>
        <w:pStyle w:val="BodyText"/>
        <w:spacing w:before="120" w:after="120"/>
      </w:pPr>
      <w:bookmarkStart w:id="1005" w:name="NoteaTable411"/>
      <w:r>
        <w:t xml:space="preserve">(a) </w:t>
      </w:r>
      <w:bookmarkEnd w:id="1005"/>
      <w:r>
        <w:t xml:space="preserve">Includes transfers to intangible assets, refer to </w:t>
      </w:r>
      <w:r w:rsidR="002B0B65">
        <w:fldChar w:fldCharType="begin"/>
      </w:r>
      <w:r w:rsidR="002B0B65">
        <w:instrText xml:space="preserve"> REF Note42 \h </w:instrText>
      </w:r>
      <w:r w:rsidR="002B0B65">
        <w:fldChar w:fldCharType="separate"/>
      </w:r>
      <w:r w:rsidR="00472151">
        <w:t xml:space="preserve">4.2 </w:t>
      </w:r>
      <w:r w:rsidR="002B0B65">
        <w:fldChar w:fldCharType="end"/>
      </w:r>
      <w:r>
        <w:t>.</w:t>
      </w:r>
    </w:p>
    <w:p w14:paraId="3427758C" w14:textId="7A7AC597" w:rsidR="003D2F80" w:rsidRDefault="003D2F80" w:rsidP="00A9434F">
      <w:pPr>
        <w:pStyle w:val="BodyText"/>
        <w:spacing w:before="120" w:after="120"/>
      </w:pPr>
      <w:bookmarkStart w:id="1006" w:name="NotebTable411"/>
      <w:r>
        <w:t xml:space="preserve">(b) </w:t>
      </w:r>
      <w:bookmarkEnd w:id="1006"/>
      <w:r>
        <w:t>Pre-tax revaluation increments and decrements (net increment balance of $768.1 million (2019-20: $3.2 million net decrement)) are recognised in the income statement as revenue via net gain on revaluation of non-financial assets $39.2 million (2019-20: nil), other expenses $5.9 million (Community Services Obligation discount applied for purchased land based on VGV valuation) (2019-20: $3.2 million) and increase in other comprehensive income $734.8 million (2019-20: nil). Note: Valuation decrements are expensed in the profit and loss when the reserve balance is exhausted. Valuation increments that result in reversals of previous profit and loss decrements are credited to the profit and loss. The net effect is treated as a net gain or loss on revaluation on non-financial assets.</w:t>
      </w:r>
    </w:p>
    <w:p w14:paraId="6DCC8073" w14:textId="6BAFBAD7" w:rsidR="003D1606" w:rsidRDefault="003D2F80" w:rsidP="00A9434F">
      <w:pPr>
        <w:pStyle w:val="BodyText"/>
        <w:spacing w:before="120" w:after="120"/>
      </w:pPr>
      <w:bookmarkStart w:id="1007" w:name="NotecTable411"/>
      <w:r>
        <w:t xml:space="preserve">(c) </w:t>
      </w:r>
      <w:bookmarkEnd w:id="1007"/>
      <w:r>
        <w:t xml:space="preserve">Represents total capital expenditure, exclusive of intangibles $20.2 million (2019-20 $18.7 million) (refer to </w:t>
      </w:r>
      <w:r w:rsidR="002B0B65">
        <w:fldChar w:fldCharType="begin"/>
      </w:r>
      <w:r w:rsidR="002B0B65">
        <w:instrText xml:space="preserve"> REF Note42 \h </w:instrText>
      </w:r>
      <w:r w:rsidR="002B0B65">
        <w:fldChar w:fldCharType="separate"/>
      </w:r>
      <w:r w:rsidR="00472151">
        <w:t xml:space="preserve">4.2 </w:t>
      </w:r>
      <w:r w:rsidR="002B0B65">
        <w:fldChar w:fldCharType="end"/>
      </w:r>
      <w:r>
        <w:t xml:space="preserve">) and fleet vehicles $4.0 </w:t>
      </w:r>
      <w:r w:rsidR="00203819">
        <w:t>million</w:t>
      </w:r>
      <w:r>
        <w:t xml:space="preserve"> (2019-20 $3.7 million) (refer to purchased additions category).</w:t>
      </w:r>
    </w:p>
    <w:p w14:paraId="712A760F" w14:textId="05000BAC" w:rsidR="003D1606" w:rsidRDefault="003D1606" w:rsidP="003D2F80">
      <w:pPr>
        <w:pStyle w:val="BodyText"/>
        <w:sectPr w:rsidR="003D1606" w:rsidSect="00CF70F9">
          <w:endnotePr>
            <w:numFmt w:val="decimal"/>
          </w:endnotePr>
          <w:pgSz w:w="16840" w:h="11900" w:orient="landscape"/>
          <w:pgMar w:top="1134" w:right="851" w:bottom="1134" w:left="1418" w:header="709" w:footer="709" w:gutter="0"/>
          <w:cols w:space="289"/>
          <w:docGrid w:linePitch="360"/>
        </w:sectPr>
      </w:pPr>
    </w:p>
    <w:p w14:paraId="07A4CCC0" w14:textId="75795352" w:rsidR="00DC0D74" w:rsidRDefault="003D1606" w:rsidP="003D1606">
      <w:pPr>
        <w:pStyle w:val="BodyText"/>
      </w:pPr>
      <w:bookmarkStart w:id="1008" w:name="Nonfinancialphysicalassets"/>
      <w:r>
        <w:lastRenderedPageBreak/>
        <w:t xml:space="preserve">If </w:t>
      </w:r>
      <w:bookmarkEnd w:id="1008"/>
      <w:r>
        <w:t>land, buildings, infrastructure and service concession assets were measured at historical cost, the carrying amounts would be as follows:</w:t>
      </w:r>
    </w:p>
    <w:tbl>
      <w:tblPr>
        <w:tblStyle w:val="Style1"/>
        <w:tblW w:w="5000" w:type="pct"/>
        <w:tblLook w:val="04A0" w:firstRow="1" w:lastRow="0" w:firstColumn="1" w:lastColumn="0" w:noHBand="0" w:noVBand="1"/>
      </w:tblPr>
      <w:tblGrid>
        <w:gridCol w:w="6803"/>
        <w:gridCol w:w="1420"/>
        <w:gridCol w:w="1408"/>
      </w:tblGrid>
      <w:tr w:rsidR="003D1606" w:rsidRPr="00893B68" w14:paraId="100FF831"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2" w:type="pct"/>
            <w:tcBorders>
              <w:top w:val="single" w:sz="4" w:space="0" w:color="auto"/>
            </w:tcBorders>
            <w:vAlign w:val="bottom"/>
          </w:tcPr>
          <w:p w14:paraId="312A1E0A" w14:textId="77777777" w:rsidR="003D1606" w:rsidRPr="00893B68" w:rsidRDefault="003D1606" w:rsidP="00893B68">
            <w:bookmarkStart w:id="1009" w:name="ColumnTitle_65"/>
            <w:r w:rsidRPr="00893B68">
              <w:t>Item</w:t>
            </w:r>
          </w:p>
        </w:tc>
        <w:tc>
          <w:tcPr>
            <w:tcW w:w="737" w:type="pct"/>
            <w:tcBorders>
              <w:top w:val="single" w:sz="4" w:space="0" w:color="auto"/>
            </w:tcBorders>
            <w:vAlign w:val="bottom"/>
          </w:tcPr>
          <w:p w14:paraId="37CF3F66" w14:textId="77777777" w:rsidR="003D1606" w:rsidRPr="00893B68" w:rsidRDefault="003D1606" w:rsidP="00893B68">
            <w:pPr>
              <w:cnfStyle w:val="100000000000" w:firstRow="1" w:lastRow="0" w:firstColumn="0" w:lastColumn="0" w:oddVBand="0" w:evenVBand="0" w:oddHBand="0" w:evenHBand="0" w:firstRowFirstColumn="0" w:firstRowLastColumn="0" w:lastRowFirstColumn="0" w:lastRowLastColumn="0"/>
            </w:pPr>
            <w:r w:rsidRPr="00893B68">
              <w:t>2021</w:t>
            </w:r>
          </w:p>
          <w:p w14:paraId="24BFF6C3" w14:textId="77777777" w:rsidR="003D1606" w:rsidRPr="00893B68" w:rsidRDefault="003D1606" w:rsidP="00893B68">
            <w:pPr>
              <w:cnfStyle w:val="100000000000" w:firstRow="1" w:lastRow="0" w:firstColumn="0" w:lastColumn="0" w:oddVBand="0" w:evenVBand="0" w:oddHBand="0" w:evenHBand="0" w:firstRowFirstColumn="0" w:firstRowLastColumn="0" w:lastRowFirstColumn="0" w:lastRowLastColumn="0"/>
            </w:pPr>
            <w:r w:rsidRPr="00893B68">
              <w:t>($ thousands)</w:t>
            </w:r>
          </w:p>
        </w:tc>
        <w:tc>
          <w:tcPr>
            <w:tcW w:w="731" w:type="pct"/>
            <w:tcBorders>
              <w:top w:val="single" w:sz="4" w:space="0" w:color="auto"/>
            </w:tcBorders>
            <w:vAlign w:val="bottom"/>
          </w:tcPr>
          <w:p w14:paraId="736A4DFC" w14:textId="77777777" w:rsidR="003D1606" w:rsidRPr="00893B68" w:rsidRDefault="003D1606" w:rsidP="00893B68">
            <w:pPr>
              <w:cnfStyle w:val="100000000000" w:firstRow="1" w:lastRow="0" w:firstColumn="0" w:lastColumn="0" w:oddVBand="0" w:evenVBand="0" w:oddHBand="0" w:evenHBand="0" w:firstRowFirstColumn="0" w:firstRowLastColumn="0" w:lastRowFirstColumn="0" w:lastRowLastColumn="0"/>
            </w:pPr>
            <w:r w:rsidRPr="00893B68">
              <w:t>2020</w:t>
            </w:r>
          </w:p>
          <w:p w14:paraId="503EB0C3" w14:textId="77777777" w:rsidR="003D1606" w:rsidRPr="00893B68" w:rsidRDefault="003D1606" w:rsidP="00893B68">
            <w:pPr>
              <w:cnfStyle w:val="100000000000" w:firstRow="1" w:lastRow="0" w:firstColumn="0" w:lastColumn="0" w:oddVBand="0" w:evenVBand="0" w:oddHBand="0" w:evenHBand="0" w:firstRowFirstColumn="0" w:firstRowLastColumn="0" w:lastRowFirstColumn="0" w:lastRowLastColumn="0"/>
            </w:pPr>
            <w:r w:rsidRPr="00893B68">
              <w:t>($ thousands)</w:t>
            </w:r>
          </w:p>
        </w:tc>
      </w:tr>
      <w:bookmarkEnd w:id="1009"/>
      <w:tr w:rsidR="003D1606" w:rsidRPr="00D84113" w14:paraId="380F9829" w14:textId="77777777" w:rsidTr="00C778D6">
        <w:tc>
          <w:tcPr>
            <w:cnfStyle w:val="001000000000" w:firstRow="0" w:lastRow="0" w:firstColumn="1" w:lastColumn="0" w:oddVBand="0" w:evenVBand="0" w:oddHBand="0" w:evenHBand="0" w:firstRowFirstColumn="0" w:firstRowLastColumn="0" w:lastRowFirstColumn="0" w:lastRowLastColumn="0"/>
            <w:tcW w:w="3532" w:type="pct"/>
            <w:vAlign w:val="top"/>
          </w:tcPr>
          <w:p w14:paraId="667DA130" w14:textId="3C502BC1" w:rsidR="003D1606" w:rsidRDefault="0076797F" w:rsidP="00893B68">
            <w:pPr>
              <w:pStyle w:val="TableBodyText"/>
            </w:pPr>
            <w:r>
              <w:t>Land</w:t>
            </w:r>
          </w:p>
        </w:tc>
        <w:tc>
          <w:tcPr>
            <w:tcW w:w="737" w:type="pct"/>
            <w:vAlign w:val="top"/>
          </w:tcPr>
          <w:p w14:paraId="7C9D959C" w14:textId="580FAC70" w:rsidR="003D1606"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882,189</w:t>
            </w:r>
          </w:p>
        </w:tc>
        <w:tc>
          <w:tcPr>
            <w:tcW w:w="731" w:type="pct"/>
            <w:vAlign w:val="top"/>
          </w:tcPr>
          <w:p w14:paraId="44818672" w14:textId="4EB97D4D" w:rsidR="003D1606"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863,470</w:t>
            </w:r>
          </w:p>
        </w:tc>
      </w:tr>
      <w:tr w:rsidR="0076797F" w:rsidRPr="00D84113" w14:paraId="7BCC1807" w14:textId="77777777" w:rsidTr="0076797F">
        <w:tc>
          <w:tcPr>
            <w:cnfStyle w:val="001000000000" w:firstRow="0" w:lastRow="0" w:firstColumn="1" w:lastColumn="0" w:oddVBand="0" w:evenVBand="0" w:oddHBand="0" w:evenHBand="0" w:firstRowFirstColumn="0" w:firstRowLastColumn="0" w:lastRowFirstColumn="0" w:lastRowLastColumn="0"/>
            <w:tcW w:w="3532" w:type="pct"/>
            <w:vAlign w:val="top"/>
          </w:tcPr>
          <w:p w14:paraId="78D1243C" w14:textId="3BD01473" w:rsidR="0076797F" w:rsidRDefault="0076797F" w:rsidP="00893B68">
            <w:pPr>
              <w:pStyle w:val="TableBodyText"/>
            </w:pPr>
            <w:r>
              <w:t>Buildings</w:t>
            </w:r>
          </w:p>
        </w:tc>
        <w:tc>
          <w:tcPr>
            <w:tcW w:w="737" w:type="pct"/>
            <w:vAlign w:val="top"/>
          </w:tcPr>
          <w:p w14:paraId="0A681959" w14:textId="06CB20A3" w:rsidR="0076797F"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35,685</w:t>
            </w:r>
          </w:p>
        </w:tc>
        <w:tc>
          <w:tcPr>
            <w:tcW w:w="731" w:type="pct"/>
            <w:vAlign w:val="top"/>
          </w:tcPr>
          <w:p w14:paraId="56A10F12" w14:textId="764B0F1C" w:rsidR="0076797F"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33,069</w:t>
            </w:r>
          </w:p>
        </w:tc>
      </w:tr>
      <w:tr w:rsidR="0076797F" w:rsidRPr="00D84113" w14:paraId="7FA25D21" w14:textId="77777777" w:rsidTr="0076797F">
        <w:tc>
          <w:tcPr>
            <w:cnfStyle w:val="001000000000" w:firstRow="0" w:lastRow="0" w:firstColumn="1" w:lastColumn="0" w:oddVBand="0" w:evenVBand="0" w:oddHBand="0" w:evenHBand="0" w:firstRowFirstColumn="0" w:firstRowLastColumn="0" w:lastRowFirstColumn="0" w:lastRowLastColumn="0"/>
            <w:tcW w:w="3532" w:type="pct"/>
            <w:vAlign w:val="top"/>
          </w:tcPr>
          <w:p w14:paraId="2CE75A77" w14:textId="272651DF" w:rsidR="0076797F" w:rsidRDefault="0076797F" w:rsidP="00893B68">
            <w:pPr>
              <w:pStyle w:val="TableBodyText"/>
            </w:pPr>
            <w:r>
              <w:t>Infrastructure assets – owned</w:t>
            </w:r>
          </w:p>
        </w:tc>
        <w:tc>
          <w:tcPr>
            <w:tcW w:w="737" w:type="pct"/>
            <w:vAlign w:val="top"/>
          </w:tcPr>
          <w:p w14:paraId="428661AB" w14:textId="732A1FBE" w:rsidR="0076797F"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6,705,376</w:t>
            </w:r>
          </w:p>
        </w:tc>
        <w:tc>
          <w:tcPr>
            <w:tcW w:w="731" w:type="pct"/>
            <w:vAlign w:val="top"/>
          </w:tcPr>
          <w:p w14:paraId="385DC02D" w14:textId="37B2D172" w:rsidR="0076797F"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6,614,396</w:t>
            </w:r>
          </w:p>
        </w:tc>
      </w:tr>
      <w:tr w:rsidR="003D1606" w:rsidRPr="00D84113" w14:paraId="4B3FA2AC" w14:textId="77777777" w:rsidTr="0076797F">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494D2114" w14:textId="0D150073" w:rsidR="003D1606" w:rsidRDefault="00DC0A06" w:rsidP="00893B68">
            <w:pPr>
              <w:pStyle w:val="TableBodyText"/>
            </w:pPr>
            <w:r>
              <w:t>Victorian Desalination Plant</w:t>
            </w:r>
            <w:r w:rsidR="0076797F">
              <w:t xml:space="preserve"> service concession asset</w:t>
            </w:r>
          </w:p>
        </w:tc>
        <w:tc>
          <w:tcPr>
            <w:tcW w:w="737" w:type="pct"/>
            <w:tcBorders>
              <w:bottom w:val="single" w:sz="4" w:space="0" w:color="auto"/>
            </w:tcBorders>
            <w:vAlign w:val="top"/>
          </w:tcPr>
          <w:p w14:paraId="2EFAE158" w14:textId="038FDBDA" w:rsidR="003D1606"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3,994,341</w:t>
            </w:r>
          </w:p>
        </w:tc>
        <w:tc>
          <w:tcPr>
            <w:tcW w:w="731" w:type="pct"/>
            <w:tcBorders>
              <w:bottom w:val="single" w:sz="4" w:space="0" w:color="auto"/>
            </w:tcBorders>
            <w:vAlign w:val="top"/>
          </w:tcPr>
          <w:p w14:paraId="69A3C814" w14:textId="681E7688" w:rsidR="003D1606" w:rsidRDefault="0076797F" w:rsidP="00893B68">
            <w:pPr>
              <w:pStyle w:val="TableBodyText"/>
              <w:cnfStyle w:val="000000000000" w:firstRow="0" w:lastRow="0" w:firstColumn="0" w:lastColumn="0" w:oddVBand="0" w:evenVBand="0" w:oddHBand="0" w:evenHBand="0" w:firstRowFirstColumn="0" w:firstRowLastColumn="0" w:lastRowFirstColumn="0" w:lastRowLastColumn="0"/>
            </w:pPr>
            <w:r>
              <w:t>4,071,895</w:t>
            </w:r>
          </w:p>
        </w:tc>
      </w:tr>
      <w:tr w:rsidR="003D1606" w:rsidRPr="00BD3B8C" w14:paraId="4106DB65" w14:textId="77777777" w:rsidTr="00C778D6">
        <w:tc>
          <w:tcPr>
            <w:cnfStyle w:val="001000000000" w:firstRow="0" w:lastRow="0" w:firstColumn="1" w:lastColumn="0" w:oddVBand="0" w:evenVBand="0" w:oddHBand="0" w:evenHBand="0" w:firstRowFirstColumn="0" w:firstRowLastColumn="0" w:lastRowFirstColumn="0" w:lastRowLastColumn="0"/>
            <w:tcW w:w="3532" w:type="pct"/>
            <w:tcBorders>
              <w:bottom w:val="single" w:sz="4" w:space="0" w:color="auto"/>
            </w:tcBorders>
            <w:vAlign w:val="top"/>
          </w:tcPr>
          <w:p w14:paraId="3DDC8F4B" w14:textId="232B2833" w:rsidR="003D1606" w:rsidRPr="00BD3B8C" w:rsidRDefault="0076797F" w:rsidP="00893B68">
            <w:pPr>
              <w:pStyle w:val="TableBodyText"/>
              <w:rPr>
                <w:rStyle w:val="Bold"/>
              </w:rPr>
            </w:pPr>
            <w:r>
              <w:rPr>
                <w:rStyle w:val="Bold"/>
              </w:rPr>
              <w:t>Total</w:t>
            </w:r>
          </w:p>
        </w:tc>
        <w:tc>
          <w:tcPr>
            <w:tcW w:w="737" w:type="pct"/>
            <w:tcBorders>
              <w:bottom w:val="single" w:sz="4" w:space="0" w:color="auto"/>
            </w:tcBorders>
            <w:vAlign w:val="top"/>
          </w:tcPr>
          <w:p w14:paraId="5172067D" w14:textId="6EE1B410" w:rsidR="003D1606" w:rsidRPr="00BD3B8C" w:rsidRDefault="0076797F" w:rsidP="00893B68">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11,617,591</w:t>
            </w:r>
          </w:p>
        </w:tc>
        <w:tc>
          <w:tcPr>
            <w:tcW w:w="731" w:type="pct"/>
            <w:tcBorders>
              <w:bottom w:val="single" w:sz="4" w:space="0" w:color="auto"/>
            </w:tcBorders>
            <w:vAlign w:val="top"/>
          </w:tcPr>
          <w:p w14:paraId="1E6FC5E0" w14:textId="69ED99C1" w:rsidR="003D1606" w:rsidRPr="00BD3B8C" w:rsidRDefault="0076797F" w:rsidP="00893B68">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11,582,830</w:t>
            </w:r>
          </w:p>
        </w:tc>
      </w:tr>
    </w:tbl>
    <w:p w14:paraId="1CD30433" w14:textId="37F34803" w:rsidR="0076797F" w:rsidRDefault="0076797F" w:rsidP="0076797F">
      <w:pPr>
        <w:pStyle w:val="Heading5"/>
      </w:pPr>
      <w:r>
        <w:t>Initial recognition</w:t>
      </w:r>
    </w:p>
    <w:p w14:paraId="10672BDB" w14:textId="13EAB962" w:rsidR="0076797F" w:rsidRDefault="0076797F" w:rsidP="0076797F">
      <w:pPr>
        <w:pStyle w:val="BodyText"/>
      </w:pPr>
      <w:r>
        <w:t xml:space="preserve">All non-financial physical assets (except for service concession assets) are measured and recognised initially at cost. Service concession assets are recognised initially at current replacement cost in accordance with the cost approach to fair value in </w:t>
      </w:r>
      <w:r w:rsidRPr="0076797F">
        <w:rPr>
          <w:rStyle w:val="ItalicText"/>
        </w:rPr>
        <w:t>AASB 13 Fair Value Measurement</w:t>
      </w:r>
      <w:r>
        <w:t>. Where an asset is acquired for no or nominal cost, the cost is its fair value at the date of acquisition. The cost of constructed non-financial physical assets includes the cost of all materials used in construction and direct labour on the project. The cost of leasehold improvements is capitalised when incurred.</w:t>
      </w:r>
    </w:p>
    <w:p w14:paraId="3250390E" w14:textId="2D719C56" w:rsidR="0076797F" w:rsidRDefault="0076797F" w:rsidP="0076797F">
      <w:pPr>
        <w:pStyle w:val="BodyText"/>
      </w:pPr>
      <w:r>
        <w:t xml:space="preserve">Items with a cost or value in excess of $500 (2019-20: $500) and a useful life of more than one year are recognised as assets, with the exception of life cycle costs (total of all recurring and one-time costs over the full life span of a good, service, structure or system) for the </w:t>
      </w:r>
      <w:r w:rsidR="00DC0A06">
        <w:t>Victorian Desalination Plant</w:t>
      </w:r>
      <w:r>
        <w:t xml:space="preserve"> which are expensed. All items with a cost or value less than $500 (2019-20: $500) are expensed.</w:t>
      </w:r>
    </w:p>
    <w:p w14:paraId="67433BCC" w14:textId="310A64D0" w:rsidR="0076797F" w:rsidRDefault="0076797F" w:rsidP="0076797F">
      <w:pPr>
        <w:pStyle w:val="Heading5"/>
      </w:pPr>
      <w:r>
        <w:t>Subsequent measurement</w:t>
      </w:r>
    </w:p>
    <w:p w14:paraId="00AF3D27" w14:textId="2089C79D" w:rsidR="00DC0D74" w:rsidRDefault="0076797F" w:rsidP="0076797F">
      <w:pPr>
        <w:pStyle w:val="BodyText"/>
      </w:pPr>
      <w:r>
        <w:t>All non-financial physical assets, with the exception of capital works in progress, are subsequently measured at fair value less accumulated depreciation and impairment. Non-financial physical assets are measured at fair value with regard to the asset’s highest and best use after due consideration is made for any legal or physical restrictions imposed on the asset, public announcements or commitments made in relation to the intended use of the asset. Theoretical opportunities that may be available in relation to the asset are not taken into account until it is virtually certain that the restrictions will no longer apply. Therefore, unless otherwise disclosed, the current use of these non-financial physical assets will be their highest and best use.</w:t>
      </w:r>
    </w:p>
    <w:p w14:paraId="3B65C35E" w14:textId="381C1933" w:rsidR="0076797F" w:rsidRDefault="0076797F" w:rsidP="0076797F">
      <w:pPr>
        <w:pStyle w:val="Heading5"/>
      </w:pPr>
      <w:r>
        <w:t xml:space="preserve">Revaluation of infrastructure, property, plant and equipment and </w:t>
      </w:r>
      <w:r w:rsidR="00DC0A06">
        <w:t>Victorian Desalination Plant</w:t>
      </w:r>
      <w:r>
        <w:t xml:space="preserve"> service concession asset</w:t>
      </w:r>
    </w:p>
    <w:p w14:paraId="0B806752" w14:textId="434CBC2D" w:rsidR="0076797F" w:rsidRDefault="0076797F" w:rsidP="0076797F">
      <w:pPr>
        <w:pStyle w:val="BodyText"/>
      </w:pPr>
      <w:r>
        <w:t xml:space="preserve">Revaluations are conducted either independently every five years (as required under </w:t>
      </w:r>
      <w:r w:rsidRPr="0076797F">
        <w:rPr>
          <w:rStyle w:val="ItalicText"/>
        </w:rPr>
        <w:t>FRD 103I Non-Financial Physical Assets</w:t>
      </w:r>
      <w:r>
        <w:t>) or in the intervening years using management expertise and classified as a managerial revaluation. The Corporation uses land indices (provided by the VGV) to perform managerial valuations on land and buildings. Fair value assessment is performed annually for all other property plant and equipment as a managerial valuation, utilising external experts to conduct the infrastructure and service concession asset valuation annually. Managerial valuation movements are booked if material in accordance with FRD 103I. Any accumulated depreciation at the date of revaluation is eliminated against the gross carrying amount of the asset and the net amount is restated to the revalued amount of the asset. The latest independent formal revaluation has been conducted at 30 June 2021.</w:t>
      </w:r>
    </w:p>
    <w:p w14:paraId="0DA4DBE4" w14:textId="5A0A87F0" w:rsidR="0076797F" w:rsidRDefault="0076797F" w:rsidP="002B25DA">
      <w:pPr>
        <w:pStyle w:val="BodyText"/>
        <w:keepNext/>
        <w:keepLines/>
      </w:pPr>
      <w:r>
        <w:lastRenderedPageBreak/>
        <w:t>Any revaluation increase is recognised in other comprehensive income, except to the extent that it reverses a revaluation decrease for the same asset (or asset class when specifically related to infrastructure and service concession arrangements) previously recognised in net profit in the Statement of Profit or Loss and Other Comprehensive Income, in which case the increase is credited to profit to the extent of the decrease previously expensed. A decrease in the carrying amount arising on the revaluation is recognised in net profit in the Statement of Profit or Loss and Other Comprehensive Income to the extent that it exceeds the balance, if any, held in the asset revaluation reserve relating to a previous revaluation of that asset, otherwise decreases are recognised in other comprehensive income. The net effect of any revaluation adjustments to Profit and Loss is classified as a net gain or loss on revaluation of non-financial assets.</w:t>
      </w:r>
    </w:p>
    <w:p w14:paraId="1B527014" w14:textId="5E059BB2" w:rsidR="00DC0D74" w:rsidRDefault="0076797F" w:rsidP="0076797F">
      <w:pPr>
        <w:pStyle w:val="BodyText"/>
      </w:pPr>
      <w:r>
        <w:t xml:space="preserve">Refer to note </w:t>
      </w:r>
      <w:r w:rsidR="003742AD">
        <w:fldChar w:fldCharType="begin"/>
      </w:r>
      <w:r w:rsidR="003742AD">
        <w:instrText xml:space="preserve"> REF Note412 \h </w:instrText>
      </w:r>
      <w:r w:rsidR="003742AD">
        <w:fldChar w:fldCharType="separate"/>
      </w:r>
      <w:r w:rsidR="00472151">
        <w:t xml:space="preserve">4.1.2 </w:t>
      </w:r>
      <w:r w:rsidR="003742AD">
        <w:fldChar w:fldCharType="end"/>
      </w:r>
      <w:r>
        <w:t>for further information on the revaluation methods used for the asset classes and the valuation outcomes for 30 June 2021.</w:t>
      </w:r>
    </w:p>
    <w:p w14:paraId="100846B9" w14:textId="77777777" w:rsidR="0076797F" w:rsidRDefault="0076797F" w:rsidP="0076797F">
      <w:pPr>
        <w:pStyle w:val="Heading4"/>
      </w:pPr>
      <w:bookmarkStart w:id="1010" w:name="Note412"/>
      <w:r>
        <w:t xml:space="preserve">4.1.2 </w:t>
      </w:r>
      <w:bookmarkEnd w:id="1010"/>
      <w:r>
        <w:t>Fair value determination of non-financial physical assets</w:t>
      </w:r>
    </w:p>
    <w:p w14:paraId="288DD477" w14:textId="77777777" w:rsidR="0076797F" w:rsidRDefault="0076797F" w:rsidP="0076797F">
      <w:pPr>
        <w:pStyle w:val="BodyText"/>
      </w:pPr>
      <w:r>
        <w:t>The fair values of non-financial physical assets are determined (in accordance with the fair value hierarchy) as follows:</w:t>
      </w:r>
    </w:p>
    <w:p w14:paraId="641CA7FA" w14:textId="605D8771" w:rsidR="0076797F" w:rsidRDefault="0076797F" w:rsidP="0076797F">
      <w:pPr>
        <w:pStyle w:val="ListBullet"/>
      </w:pPr>
      <w:r>
        <w:t>Level 1 – quoted (unadjusted) market prices in active markets for identical assets or liabilities</w:t>
      </w:r>
    </w:p>
    <w:p w14:paraId="544A3830" w14:textId="681FEBE4" w:rsidR="0076797F" w:rsidRDefault="0076797F" w:rsidP="00C778D6">
      <w:pPr>
        <w:pStyle w:val="ListBullet"/>
      </w:pPr>
      <w:r>
        <w:t>Level 2 – valuation techniques for which the lowest level input that is significant to the fair value measurement is directly or indirectly observable</w:t>
      </w:r>
    </w:p>
    <w:p w14:paraId="2E123BC8" w14:textId="650F621D" w:rsidR="0076797F" w:rsidRDefault="0076797F" w:rsidP="00C778D6">
      <w:pPr>
        <w:pStyle w:val="ListBullet"/>
      </w:pPr>
      <w:r>
        <w:t>Level 3 – valuation techniques for which the lowest level input that is significant to the fair value measurement is unobservable.</w:t>
      </w:r>
    </w:p>
    <w:p w14:paraId="0C8C4685" w14:textId="500B3804" w:rsidR="0076797F" w:rsidRDefault="0076797F" w:rsidP="0074463D">
      <w:pPr>
        <w:pStyle w:val="Heading5"/>
        <w:keepNext/>
      </w:pPr>
      <w:bookmarkStart w:id="1011" w:name="Note4121"/>
      <w:r>
        <w:lastRenderedPageBreak/>
        <w:t xml:space="preserve">4.1.2.1 </w:t>
      </w:r>
      <w:bookmarkEnd w:id="1011"/>
      <w:r>
        <w:t>Non-financial physical assets</w:t>
      </w:r>
    </w:p>
    <w:p w14:paraId="5970D183" w14:textId="443B478E" w:rsidR="00E0205B" w:rsidRPr="00E0205B" w:rsidRDefault="00E0205B" w:rsidP="0074463D">
      <w:pPr>
        <w:pStyle w:val="BodyText"/>
        <w:keepNext/>
        <w:keepLines/>
      </w:pPr>
      <w:r>
        <w:t>2021</w:t>
      </w:r>
    </w:p>
    <w:tbl>
      <w:tblPr>
        <w:tblStyle w:val="Style1"/>
        <w:tblW w:w="5000" w:type="pct"/>
        <w:tblLook w:val="04A0" w:firstRow="1" w:lastRow="0" w:firstColumn="1" w:lastColumn="0" w:noHBand="0" w:noVBand="1"/>
      </w:tblPr>
      <w:tblGrid>
        <w:gridCol w:w="3759"/>
        <w:gridCol w:w="1468"/>
        <w:gridCol w:w="1468"/>
        <w:gridCol w:w="1468"/>
        <w:gridCol w:w="1468"/>
      </w:tblGrid>
      <w:tr w:rsidR="0076797F" w:rsidRPr="00893B68" w14:paraId="57F37784"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tcBorders>
            <w:vAlign w:val="bottom"/>
          </w:tcPr>
          <w:p w14:paraId="4B882307" w14:textId="77777777" w:rsidR="0076797F" w:rsidRPr="00893B68" w:rsidRDefault="0076797F" w:rsidP="002B25DA">
            <w:pPr>
              <w:keepNext/>
              <w:keepLines/>
            </w:pPr>
            <w:bookmarkStart w:id="1012" w:name="ColumnTitle_66"/>
            <w:r w:rsidRPr="00893B68">
              <w:t>Item</w:t>
            </w:r>
          </w:p>
        </w:tc>
        <w:tc>
          <w:tcPr>
            <w:tcW w:w="689" w:type="pct"/>
            <w:tcBorders>
              <w:top w:val="single" w:sz="4" w:space="0" w:color="auto"/>
            </w:tcBorders>
            <w:vAlign w:val="bottom"/>
          </w:tcPr>
          <w:p w14:paraId="6D48DDFB" w14:textId="095C9A96"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Fair value</w:t>
            </w:r>
            <w:r w:rsidR="00893B68">
              <w:t xml:space="preserve"> </w:t>
            </w:r>
            <w:r w:rsidR="00B663EB">
              <w:t xml:space="preserve"> </w:t>
            </w:r>
            <w:r w:rsidRPr="00893B68">
              <w:t>measurements</w:t>
            </w:r>
            <w:r w:rsidR="00B663EB">
              <w:t xml:space="preserve"> </w:t>
            </w:r>
            <w:r w:rsidRPr="00893B68">
              <w:t>2021</w:t>
            </w:r>
          </w:p>
          <w:p w14:paraId="192A82A0" w14:textId="7229886D"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 thousands)</w:t>
            </w:r>
          </w:p>
        </w:tc>
        <w:tc>
          <w:tcPr>
            <w:tcW w:w="689" w:type="pct"/>
            <w:tcBorders>
              <w:top w:val="single" w:sz="4" w:space="0" w:color="auto"/>
            </w:tcBorders>
            <w:vAlign w:val="bottom"/>
          </w:tcPr>
          <w:p w14:paraId="6D7358B7" w14:textId="768D5AA1"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Fair value</w:t>
            </w:r>
            <w:r w:rsidR="00893B68">
              <w:t xml:space="preserve"> </w:t>
            </w:r>
            <w:r w:rsidR="0074463D">
              <w:t xml:space="preserve"> </w:t>
            </w:r>
            <w:r w:rsidRPr="00893B68">
              <w:t>measurements</w:t>
            </w:r>
            <w:r w:rsidR="00B663EB">
              <w:t xml:space="preserve"> </w:t>
            </w:r>
            <w:r w:rsidRPr="00893B68">
              <w:t>Level 1</w:t>
            </w:r>
          </w:p>
          <w:p w14:paraId="54C020E5" w14:textId="77777777"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 thousands)</w:t>
            </w:r>
          </w:p>
          <w:p w14:paraId="4AA28C6A" w14:textId="66C9E6E6" w:rsidR="001C5B45" w:rsidRPr="00893B68" w:rsidRDefault="00926282" w:rsidP="002B25DA">
            <w:pPr>
              <w:keepNext/>
              <w:keepLines/>
              <w:cnfStyle w:val="100000000000" w:firstRow="1" w:lastRow="0" w:firstColumn="0" w:lastColumn="0" w:oddVBand="0" w:evenVBand="0" w:oddHBand="0" w:evenHBand="0" w:firstRowFirstColumn="0" w:firstRowLastColumn="0" w:lastRowFirstColumn="0" w:lastRowLastColumn="0"/>
            </w:pPr>
            <w:hyperlink w:anchor="NoteaTable4121" w:history="1">
              <w:r w:rsidR="001C5B45" w:rsidRPr="00893B68">
                <w:rPr>
                  <w:rStyle w:val="Hyperlink"/>
                </w:rPr>
                <w:t>refer note</w:t>
              </w:r>
            </w:hyperlink>
          </w:p>
        </w:tc>
        <w:tc>
          <w:tcPr>
            <w:tcW w:w="689" w:type="pct"/>
            <w:tcBorders>
              <w:top w:val="single" w:sz="4" w:space="0" w:color="auto"/>
            </w:tcBorders>
            <w:vAlign w:val="bottom"/>
          </w:tcPr>
          <w:p w14:paraId="66AB2DDE" w14:textId="25BCAE84"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Fair value</w:t>
            </w:r>
            <w:r w:rsidR="00893B68">
              <w:t xml:space="preserve"> </w:t>
            </w:r>
            <w:r w:rsidR="00B663EB">
              <w:t xml:space="preserve"> m</w:t>
            </w:r>
            <w:r w:rsidRPr="00893B68">
              <w:t>easurements</w:t>
            </w:r>
            <w:r w:rsidR="00B663EB">
              <w:t xml:space="preserve"> </w:t>
            </w:r>
            <w:r w:rsidRPr="00893B68">
              <w:t>Level 2</w:t>
            </w:r>
          </w:p>
          <w:p w14:paraId="09195CE8" w14:textId="77777777"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 thousands)</w:t>
            </w:r>
          </w:p>
          <w:p w14:paraId="6E7C0DF3" w14:textId="6AABE1DD" w:rsidR="001C5B45" w:rsidRPr="00893B68" w:rsidRDefault="00926282" w:rsidP="002B25DA">
            <w:pPr>
              <w:keepNext/>
              <w:keepLines/>
              <w:cnfStyle w:val="100000000000" w:firstRow="1" w:lastRow="0" w:firstColumn="0" w:lastColumn="0" w:oddVBand="0" w:evenVBand="0" w:oddHBand="0" w:evenHBand="0" w:firstRowFirstColumn="0" w:firstRowLastColumn="0" w:lastRowFirstColumn="0" w:lastRowLastColumn="0"/>
            </w:pPr>
            <w:hyperlink w:anchor="NoteaTable4121" w:history="1">
              <w:r w:rsidR="001C5B45" w:rsidRPr="00893B68">
                <w:rPr>
                  <w:rStyle w:val="Hyperlink"/>
                </w:rPr>
                <w:t>refer note</w:t>
              </w:r>
            </w:hyperlink>
          </w:p>
        </w:tc>
        <w:tc>
          <w:tcPr>
            <w:tcW w:w="689" w:type="pct"/>
            <w:tcBorders>
              <w:top w:val="single" w:sz="4" w:space="0" w:color="auto"/>
            </w:tcBorders>
            <w:vAlign w:val="bottom"/>
          </w:tcPr>
          <w:p w14:paraId="6FDEE02E" w14:textId="35F65C48"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Fair value</w:t>
            </w:r>
            <w:r w:rsidR="00893B68">
              <w:t xml:space="preserve"> </w:t>
            </w:r>
            <w:r w:rsidRPr="00893B68">
              <w:t>measurements</w:t>
            </w:r>
            <w:r w:rsidR="00B663EB">
              <w:t xml:space="preserve"> </w:t>
            </w:r>
            <w:r w:rsidRPr="00893B68">
              <w:t>Level 3</w:t>
            </w:r>
          </w:p>
          <w:p w14:paraId="7B3B9ED2" w14:textId="77777777" w:rsidR="0076797F" w:rsidRPr="00893B68" w:rsidRDefault="0076797F" w:rsidP="002B25DA">
            <w:pPr>
              <w:keepNext/>
              <w:keepLines/>
              <w:cnfStyle w:val="100000000000" w:firstRow="1" w:lastRow="0" w:firstColumn="0" w:lastColumn="0" w:oddVBand="0" w:evenVBand="0" w:oddHBand="0" w:evenHBand="0" w:firstRowFirstColumn="0" w:firstRowLastColumn="0" w:lastRowFirstColumn="0" w:lastRowLastColumn="0"/>
            </w:pPr>
            <w:r w:rsidRPr="00893B68">
              <w:t>($ thousands)</w:t>
            </w:r>
          </w:p>
          <w:p w14:paraId="56B77AEB" w14:textId="5F04D318" w:rsidR="001C5B45" w:rsidRPr="00893B68" w:rsidRDefault="00926282" w:rsidP="002B25DA">
            <w:pPr>
              <w:keepNext/>
              <w:keepLines/>
              <w:cnfStyle w:val="100000000000" w:firstRow="1" w:lastRow="0" w:firstColumn="0" w:lastColumn="0" w:oddVBand="0" w:evenVBand="0" w:oddHBand="0" w:evenHBand="0" w:firstRowFirstColumn="0" w:firstRowLastColumn="0" w:lastRowFirstColumn="0" w:lastRowLastColumn="0"/>
            </w:pPr>
            <w:hyperlink w:anchor="NoteaTable4121" w:history="1">
              <w:r w:rsidR="001C5B45" w:rsidRPr="00893B68">
                <w:rPr>
                  <w:rStyle w:val="Hyperlink"/>
                </w:rPr>
                <w:t>refer note</w:t>
              </w:r>
            </w:hyperlink>
          </w:p>
        </w:tc>
      </w:tr>
      <w:bookmarkEnd w:id="1012"/>
      <w:tr w:rsidR="0076797F" w:rsidRPr="0076797F" w14:paraId="70F704C7"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323CDD3E" w14:textId="7D3095F4" w:rsidR="0076797F" w:rsidRPr="0076797F" w:rsidRDefault="00E0205B" w:rsidP="002B25DA">
            <w:pPr>
              <w:pStyle w:val="TableBodyText"/>
              <w:keepNext/>
              <w:keepLines/>
            </w:pPr>
            <w:r>
              <w:t>Non-current assets held for sale</w:t>
            </w:r>
          </w:p>
        </w:tc>
        <w:tc>
          <w:tcPr>
            <w:tcW w:w="689" w:type="pct"/>
            <w:vAlign w:val="top"/>
          </w:tcPr>
          <w:p w14:paraId="34BD18ED" w14:textId="3786DA32"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19,555</w:t>
            </w:r>
          </w:p>
        </w:tc>
        <w:tc>
          <w:tcPr>
            <w:tcW w:w="689" w:type="pct"/>
            <w:vAlign w:val="top"/>
          </w:tcPr>
          <w:p w14:paraId="447FBFD4" w14:textId="2C9034F8"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640068A4" w14:textId="0F159B09"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19,555</w:t>
            </w:r>
          </w:p>
        </w:tc>
        <w:tc>
          <w:tcPr>
            <w:tcW w:w="689" w:type="pct"/>
            <w:vAlign w:val="top"/>
          </w:tcPr>
          <w:p w14:paraId="7EBB429A" w14:textId="70A149CB"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76797F" w:rsidRPr="0076797F" w14:paraId="60CE06E4"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4F7F49CB" w14:textId="034E9A78" w:rsidR="0076797F" w:rsidRPr="0076797F" w:rsidRDefault="00E0205B" w:rsidP="002B25DA">
            <w:pPr>
              <w:pStyle w:val="TableBodyText"/>
              <w:keepNext/>
              <w:keepLines/>
            </w:pPr>
            <w:r>
              <w:t>Non-specialised land</w:t>
            </w:r>
          </w:p>
        </w:tc>
        <w:tc>
          <w:tcPr>
            <w:tcW w:w="689" w:type="pct"/>
            <w:vAlign w:val="top"/>
          </w:tcPr>
          <w:p w14:paraId="77FB6131" w14:textId="6F388C0E"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52,408</w:t>
            </w:r>
          </w:p>
        </w:tc>
        <w:tc>
          <w:tcPr>
            <w:tcW w:w="689" w:type="pct"/>
            <w:vAlign w:val="top"/>
          </w:tcPr>
          <w:p w14:paraId="2387356F" w14:textId="36F0A146"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613EC231" w14:textId="04732594"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52,408</w:t>
            </w:r>
          </w:p>
        </w:tc>
        <w:tc>
          <w:tcPr>
            <w:tcW w:w="689" w:type="pct"/>
            <w:vAlign w:val="top"/>
          </w:tcPr>
          <w:p w14:paraId="3FACBCA6" w14:textId="74B6A254"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76797F" w:rsidRPr="0076797F" w14:paraId="1E689F99" w14:textId="77777777" w:rsidTr="00E0205B">
        <w:tc>
          <w:tcPr>
            <w:cnfStyle w:val="001000000000" w:firstRow="0" w:lastRow="0" w:firstColumn="1" w:lastColumn="0" w:oddVBand="0" w:evenVBand="0" w:oddHBand="0" w:evenHBand="0" w:firstRowFirstColumn="0" w:firstRowLastColumn="0" w:lastRowFirstColumn="0" w:lastRowLastColumn="0"/>
            <w:tcW w:w="2244" w:type="pct"/>
            <w:tcBorders>
              <w:bottom w:val="single" w:sz="4" w:space="0" w:color="auto"/>
            </w:tcBorders>
            <w:vAlign w:val="top"/>
          </w:tcPr>
          <w:p w14:paraId="5AEB49D2" w14:textId="1D131892" w:rsidR="0076797F" w:rsidRPr="0076797F" w:rsidRDefault="00E0205B" w:rsidP="002B25DA">
            <w:pPr>
              <w:pStyle w:val="TableBodyText"/>
              <w:keepNext/>
              <w:keepLines/>
            </w:pPr>
            <w:r>
              <w:t>Specialised land</w:t>
            </w:r>
          </w:p>
        </w:tc>
        <w:tc>
          <w:tcPr>
            <w:tcW w:w="689" w:type="pct"/>
            <w:tcBorders>
              <w:bottom w:val="single" w:sz="4" w:space="0" w:color="auto"/>
            </w:tcBorders>
            <w:vAlign w:val="top"/>
          </w:tcPr>
          <w:p w14:paraId="3ED02C43" w14:textId="76D78D9B"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2,060,348</w:t>
            </w:r>
          </w:p>
        </w:tc>
        <w:tc>
          <w:tcPr>
            <w:tcW w:w="689" w:type="pct"/>
            <w:tcBorders>
              <w:bottom w:val="single" w:sz="4" w:space="0" w:color="auto"/>
            </w:tcBorders>
            <w:vAlign w:val="top"/>
          </w:tcPr>
          <w:p w14:paraId="35921E87" w14:textId="2E483C09"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0F7BD3D6" w14:textId="28738F0A"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1C7A645A" w14:textId="0105518E"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2,060,348</w:t>
            </w:r>
          </w:p>
        </w:tc>
      </w:tr>
      <w:tr w:rsidR="0076797F" w:rsidRPr="00E0205B" w14:paraId="7E02CB0A" w14:textId="77777777" w:rsidTr="00E0205B">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tcBorders>
            <w:vAlign w:val="top"/>
          </w:tcPr>
          <w:p w14:paraId="214DF45E" w14:textId="1FDEFA2E" w:rsidR="0076797F" w:rsidRPr="00E0205B" w:rsidRDefault="00E0205B" w:rsidP="002B25DA">
            <w:pPr>
              <w:pStyle w:val="TableBodyText"/>
              <w:keepNext/>
              <w:keepLines/>
              <w:rPr>
                <w:rStyle w:val="Bold"/>
                <w:sz w:val="18"/>
                <w:szCs w:val="18"/>
              </w:rPr>
            </w:pPr>
            <w:r w:rsidRPr="00E0205B">
              <w:rPr>
                <w:rStyle w:val="Bold"/>
                <w:sz w:val="18"/>
                <w:szCs w:val="18"/>
              </w:rPr>
              <w:t>Total land</w:t>
            </w:r>
          </w:p>
        </w:tc>
        <w:tc>
          <w:tcPr>
            <w:tcW w:w="689" w:type="pct"/>
            <w:tcBorders>
              <w:top w:val="single" w:sz="4" w:space="0" w:color="auto"/>
            </w:tcBorders>
            <w:vAlign w:val="top"/>
          </w:tcPr>
          <w:p w14:paraId="3338D07B" w14:textId="74019FF8"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sz w:val="18"/>
                <w:szCs w:val="18"/>
              </w:rPr>
            </w:pPr>
            <w:r w:rsidRPr="00E0205B">
              <w:rPr>
                <w:rStyle w:val="Bold"/>
                <w:sz w:val="18"/>
                <w:szCs w:val="18"/>
              </w:rPr>
              <w:t>2,132,311</w:t>
            </w:r>
          </w:p>
        </w:tc>
        <w:tc>
          <w:tcPr>
            <w:tcW w:w="689" w:type="pct"/>
            <w:tcBorders>
              <w:top w:val="single" w:sz="4" w:space="0" w:color="auto"/>
            </w:tcBorders>
            <w:vAlign w:val="top"/>
          </w:tcPr>
          <w:p w14:paraId="1CC487D7" w14:textId="32442262"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sz w:val="18"/>
                <w:szCs w:val="18"/>
              </w:rPr>
            </w:pPr>
            <w:r w:rsidRPr="00E0205B">
              <w:rPr>
                <w:rStyle w:val="Bold"/>
                <w:sz w:val="18"/>
                <w:szCs w:val="18"/>
              </w:rPr>
              <w:t>N/A</w:t>
            </w:r>
          </w:p>
        </w:tc>
        <w:tc>
          <w:tcPr>
            <w:tcW w:w="689" w:type="pct"/>
            <w:tcBorders>
              <w:top w:val="single" w:sz="4" w:space="0" w:color="auto"/>
            </w:tcBorders>
            <w:vAlign w:val="top"/>
          </w:tcPr>
          <w:p w14:paraId="46A48959" w14:textId="1A4A19E1"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sz w:val="18"/>
                <w:szCs w:val="18"/>
              </w:rPr>
            </w:pPr>
            <w:r w:rsidRPr="00E0205B">
              <w:rPr>
                <w:rStyle w:val="Bold"/>
                <w:sz w:val="18"/>
                <w:szCs w:val="18"/>
              </w:rPr>
              <w:t>71,963</w:t>
            </w:r>
          </w:p>
        </w:tc>
        <w:tc>
          <w:tcPr>
            <w:tcW w:w="689" w:type="pct"/>
            <w:tcBorders>
              <w:top w:val="single" w:sz="4" w:space="0" w:color="auto"/>
            </w:tcBorders>
            <w:vAlign w:val="top"/>
          </w:tcPr>
          <w:p w14:paraId="3135F4F3" w14:textId="6787AA8F"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sz w:val="18"/>
                <w:szCs w:val="18"/>
              </w:rPr>
            </w:pPr>
            <w:r w:rsidRPr="00E0205B">
              <w:rPr>
                <w:rStyle w:val="Bold"/>
                <w:sz w:val="18"/>
                <w:szCs w:val="18"/>
              </w:rPr>
              <w:t>2,060,348</w:t>
            </w:r>
          </w:p>
        </w:tc>
      </w:tr>
      <w:tr w:rsidR="0076797F" w:rsidRPr="0076797F" w14:paraId="3FD8E984"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5F9E49CD" w14:textId="5E1894B9" w:rsidR="0076797F" w:rsidRPr="0076797F" w:rsidRDefault="00E0205B" w:rsidP="002B25DA">
            <w:pPr>
              <w:pStyle w:val="TableBodyText"/>
              <w:keepNext/>
              <w:keepLines/>
            </w:pPr>
            <w:r>
              <w:t>Non-current assets held for sale</w:t>
            </w:r>
          </w:p>
        </w:tc>
        <w:tc>
          <w:tcPr>
            <w:tcW w:w="689" w:type="pct"/>
            <w:vAlign w:val="top"/>
          </w:tcPr>
          <w:p w14:paraId="4026D204" w14:textId="5BD7C27C"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5790FFF0" w14:textId="4E960056"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5682197C" w14:textId="2878197E"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581885FC" w14:textId="33BEFA29"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76797F" w:rsidRPr="0076797F" w14:paraId="05D16087"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1F62138A" w14:textId="60F936F9" w:rsidR="0076797F" w:rsidRPr="0076797F" w:rsidRDefault="00E0205B" w:rsidP="002B25DA">
            <w:pPr>
              <w:pStyle w:val="TableBodyText"/>
              <w:keepNext/>
              <w:keepLines/>
            </w:pPr>
            <w:r>
              <w:t>Non-specialised buildings</w:t>
            </w:r>
          </w:p>
        </w:tc>
        <w:tc>
          <w:tcPr>
            <w:tcW w:w="689" w:type="pct"/>
            <w:vAlign w:val="top"/>
          </w:tcPr>
          <w:p w14:paraId="1E9E9576" w14:textId="670A8228"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2,157</w:t>
            </w:r>
          </w:p>
        </w:tc>
        <w:tc>
          <w:tcPr>
            <w:tcW w:w="689" w:type="pct"/>
            <w:vAlign w:val="top"/>
          </w:tcPr>
          <w:p w14:paraId="042069C5" w14:textId="52906357"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10945DBE" w14:textId="0671220F"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2,157</w:t>
            </w:r>
          </w:p>
        </w:tc>
        <w:tc>
          <w:tcPr>
            <w:tcW w:w="689" w:type="pct"/>
            <w:vAlign w:val="top"/>
          </w:tcPr>
          <w:p w14:paraId="26DCF5E0" w14:textId="23A5DA73"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76797F" w:rsidRPr="0076797F" w14:paraId="2175A6FE" w14:textId="77777777" w:rsidTr="00E0205B">
        <w:tc>
          <w:tcPr>
            <w:cnfStyle w:val="001000000000" w:firstRow="0" w:lastRow="0" w:firstColumn="1" w:lastColumn="0" w:oddVBand="0" w:evenVBand="0" w:oddHBand="0" w:evenHBand="0" w:firstRowFirstColumn="0" w:firstRowLastColumn="0" w:lastRowFirstColumn="0" w:lastRowLastColumn="0"/>
            <w:tcW w:w="2244" w:type="pct"/>
            <w:tcBorders>
              <w:bottom w:val="single" w:sz="4" w:space="0" w:color="auto"/>
            </w:tcBorders>
            <w:vAlign w:val="top"/>
          </w:tcPr>
          <w:p w14:paraId="63348B09" w14:textId="0C11A5E2" w:rsidR="0076797F" w:rsidRPr="0076797F" w:rsidRDefault="00E0205B" w:rsidP="002B25DA">
            <w:pPr>
              <w:pStyle w:val="TableBodyText"/>
              <w:keepNext/>
              <w:keepLines/>
            </w:pPr>
            <w:r>
              <w:t>Specialised buildings</w:t>
            </w:r>
          </w:p>
        </w:tc>
        <w:tc>
          <w:tcPr>
            <w:tcW w:w="689" w:type="pct"/>
            <w:tcBorders>
              <w:bottom w:val="single" w:sz="4" w:space="0" w:color="auto"/>
            </w:tcBorders>
            <w:vAlign w:val="top"/>
          </w:tcPr>
          <w:p w14:paraId="1B89D2CB" w14:textId="7F1CBCF1"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34,585</w:t>
            </w:r>
          </w:p>
        </w:tc>
        <w:tc>
          <w:tcPr>
            <w:tcW w:w="689" w:type="pct"/>
            <w:tcBorders>
              <w:bottom w:val="single" w:sz="4" w:space="0" w:color="auto"/>
            </w:tcBorders>
            <w:vAlign w:val="top"/>
          </w:tcPr>
          <w:p w14:paraId="2046E5BA" w14:textId="680CDC94"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71C6C284" w14:textId="712D0FAB"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71213185" w14:textId="6623A745"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34,585</w:t>
            </w:r>
          </w:p>
        </w:tc>
      </w:tr>
      <w:tr w:rsidR="0076797F" w:rsidRPr="00E0205B" w14:paraId="407E33B1" w14:textId="77777777" w:rsidTr="00E0205B">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tcBorders>
            <w:vAlign w:val="top"/>
          </w:tcPr>
          <w:p w14:paraId="662AB661" w14:textId="13B12AAC" w:rsidR="0076797F" w:rsidRPr="00E0205B" w:rsidRDefault="00E0205B" w:rsidP="002B25DA">
            <w:pPr>
              <w:pStyle w:val="TableBodyText"/>
              <w:keepNext/>
              <w:keepLines/>
              <w:rPr>
                <w:rStyle w:val="Bold"/>
              </w:rPr>
            </w:pPr>
            <w:r w:rsidRPr="00E0205B">
              <w:rPr>
                <w:rStyle w:val="Bold"/>
              </w:rPr>
              <w:t>Total buildings</w:t>
            </w:r>
          </w:p>
        </w:tc>
        <w:tc>
          <w:tcPr>
            <w:tcW w:w="689" w:type="pct"/>
            <w:tcBorders>
              <w:top w:val="single" w:sz="4" w:space="0" w:color="auto"/>
            </w:tcBorders>
            <w:vAlign w:val="top"/>
          </w:tcPr>
          <w:p w14:paraId="4C5A5C63" w14:textId="23FF62C6"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E0205B">
              <w:rPr>
                <w:rStyle w:val="Bold"/>
              </w:rPr>
              <w:t>36,742</w:t>
            </w:r>
          </w:p>
        </w:tc>
        <w:tc>
          <w:tcPr>
            <w:tcW w:w="689" w:type="pct"/>
            <w:tcBorders>
              <w:top w:val="single" w:sz="4" w:space="0" w:color="auto"/>
            </w:tcBorders>
            <w:vAlign w:val="top"/>
          </w:tcPr>
          <w:p w14:paraId="25950CFF" w14:textId="2D81F0D4"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E0205B">
              <w:rPr>
                <w:rStyle w:val="Bold"/>
              </w:rPr>
              <w:t>N/A</w:t>
            </w:r>
          </w:p>
        </w:tc>
        <w:tc>
          <w:tcPr>
            <w:tcW w:w="689" w:type="pct"/>
            <w:tcBorders>
              <w:top w:val="single" w:sz="4" w:space="0" w:color="auto"/>
            </w:tcBorders>
            <w:vAlign w:val="top"/>
          </w:tcPr>
          <w:p w14:paraId="0FA381A4" w14:textId="2C569A90"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E0205B">
              <w:rPr>
                <w:rStyle w:val="Bold"/>
              </w:rPr>
              <w:t>2,157</w:t>
            </w:r>
          </w:p>
        </w:tc>
        <w:tc>
          <w:tcPr>
            <w:tcW w:w="689" w:type="pct"/>
            <w:tcBorders>
              <w:top w:val="single" w:sz="4" w:space="0" w:color="auto"/>
            </w:tcBorders>
            <w:vAlign w:val="top"/>
          </w:tcPr>
          <w:p w14:paraId="0EB13D02" w14:textId="0C462BF0" w:rsidR="0076797F" w:rsidRPr="00E0205B"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E0205B">
              <w:rPr>
                <w:rStyle w:val="Bold"/>
              </w:rPr>
              <w:t>34,585</w:t>
            </w:r>
          </w:p>
        </w:tc>
      </w:tr>
      <w:tr w:rsidR="0076797F" w:rsidRPr="0076797F" w14:paraId="0D932BE9"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4A5DA5CF" w14:textId="678CC8FC" w:rsidR="0076797F" w:rsidRPr="0076797F" w:rsidRDefault="00E0205B" w:rsidP="002B25DA">
            <w:pPr>
              <w:pStyle w:val="TableBodyText"/>
              <w:keepNext/>
              <w:keepLines/>
            </w:pPr>
            <w:r>
              <w:t>Leasehold improvements</w:t>
            </w:r>
          </w:p>
        </w:tc>
        <w:tc>
          <w:tcPr>
            <w:tcW w:w="689" w:type="pct"/>
            <w:vAlign w:val="top"/>
          </w:tcPr>
          <w:p w14:paraId="6013D7E5" w14:textId="1693781B"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981</w:t>
            </w:r>
          </w:p>
        </w:tc>
        <w:tc>
          <w:tcPr>
            <w:tcW w:w="689" w:type="pct"/>
            <w:vAlign w:val="top"/>
          </w:tcPr>
          <w:p w14:paraId="2B978178" w14:textId="54EA4494"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05AEE10D" w14:textId="6C454766"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20FC63F3" w14:textId="6672EBA8"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981</w:t>
            </w:r>
          </w:p>
        </w:tc>
      </w:tr>
      <w:tr w:rsidR="0076797F" w:rsidRPr="0076797F" w14:paraId="412079C1"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7385DC5B" w14:textId="60356473" w:rsidR="0076797F" w:rsidRPr="0076797F" w:rsidRDefault="00E0205B" w:rsidP="002B25DA">
            <w:pPr>
              <w:pStyle w:val="TableBodyText"/>
              <w:keepNext/>
              <w:keepLines/>
            </w:pPr>
            <w:r>
              <w:t>Plant and equipment</w:t>
            </w:r>
          </w:p>
        </w:tc>
        <w:tc>
          <w:tcPr>
            <w:tcW w:w="689" w:type="pct"/>
            <w:vAlign w:val="top"/>
          </w:tcPr>
          <w:p w14:paraId="01CE0B91" w14:textId="7EEE2D31"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15,668</w:t>
            </w:r>
          </w:p>
        </w:tc>
        <w:tc>
          <w:tcPr>
            <w:tcW w:w="689" w:type="pct"/>
            <w:vAlign w:val="top"/>
          </w:tcPr>
          <w:p w14:paraId="5E805AA4" w14:textId="5EBCAA87"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716389A3" w14:textId="2962AC4A"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12A438B7" w14:textId="66907058"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15,668</w:t>
            </w:r>
          </w:p>
        </w:tc>
      </w:tr>
      <w:tr w:rsidR="0076797F" w:rsidRPr="0076797F" w14:paraId="779C9565"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6C4E0192" w14:textId="5FFD5FD7" w:rsidR="0076797F" w:rsidRPr="0076797F" w:rsidRDefault="00E0205B" w:rsidP="002B25DA">
            <w:pPr>
              <w:pStyle w:val="TableBodyText"/>
              <w:keepNext/>
              <w:keepLines/>
            </w:pPr>
            <w:r>
              <w:t>Fleet vehicles</w:t>
            </w:r>
          </w:p>
        </w:tc>
        <w:tc>
          <w:tcPr>
            <w:tcW w:w="689" w:type="pct"/>
            <w:vAlign w:val="top"/>
          </w:tcPr>
          <w:p w14:paraId="21ABC4CB" w14:textId="4F6FE8E9"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14,510</w:t>
            </w:r>
          </w:p>
        </w:tc>
        <w:tc>
          <w:tcPr>
            <w:tcW w:w="689" w:type="pct"/>
            <w:vAlign w:val="top"/>
          </w:tcPr>
          <w:p w14:paraId="628877CE" w14:textId="61D6FC42"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079F3494" w14:textId="67019005"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01B0D308" w14:textId="7ECAA7EC"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14,510</w:t>
            </w:r>
          </w:p>
        </w:tc>
      </w:tr>
      <w:tr w:rsidR="0076797F" w:rsidRPr="0076797F" w14:paraId="7CDEF162" w14:textId="77777777" w:rsidTr="00E0205B">
        <w:tc>
          <w:tcPr>
            <w:cnfStyle w:val="001000000000" w:firstRow="0" w:lastRow="0" w:firstColumn="1" w:lastColumn="0" w:oddVBand="0" w:evenVBand="0" w:oddHBand="0" w:evenHBand="0" w:firstRowFirstColumn="0" w:firstRowLastColumn="0" w:lastRowFirstColumn="0" w:lastRowLastColumn="0"/>
            <w:tcW w:w="2244" w:type="pct"/>
            <w:vAlign w:val="top"/>
          </w:tcPr>
          <w:p w14:paraId="54F12A9F" w14:textId="0A9E5238" w:rsidR="0076797F" w:rsidRPr="0076797F" w:rsidRDefault="00E0205B" w:rsidP="002B25DA">
            <w:pPr>
              <w:pStyle w:val="TableBodyText"/>
              <w:keepNext/>
              <w:keepLines/>
            </w:pPr>
            <w:r>
              <w:t>Infrastructure assets</w:t>
            </w:r>
          </w:p>
        </w:tc>
        <w:tc>
          <w:tcPr>
            <w:tcW w:w="689" w:type="pct"/>
            <w:vAlign w:val="top"/>
          </w:tcPr>
          <w:p w14:paraId="3E91C50B" w14:textId="043BC8DC"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8,942,489</w:t>
            </w:r>
          </w:p>
        </w:tc>
        <w:tc>
          <w:tcPr>
            <w:tcW w:w="689" w:type="pct"/>
            <w:vAlign w:val="top"/>
          </w:tcPr>
          <w:p w14:paraId="4AE1B155" w14:textId="2F54596B"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42FCF60B" w14:textId="53DAA8C5"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7D77ED7E" w14:textId="7E6EC265" w:rsidR="0076797F"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8,942,489</w:t>
            </w:r>
          </w:p>
        </w:tc>
      </w:tr>
      <w:tr w:rsidR="0076797F" w:rsidRPr="0076797F" w14:paraId="30EB1739" w14:textId="77777777" w:rsidTr="00E0205B">
        <w:tc>
          <w:tcPr>
            <w:cnfStyle w:val="001000000000" w:firstRow="0" w:lastRow="0" w:firstColumn="1" w:lastColumn="0" w:oddVBand="0" w:evenVBand="0" w:oddHBand="0" w:evenHBand="0" w:firstRowFirstColumn="0" w:firstRowLastColumn="0" w:lastRowFirstColumn="0" w:lastRowLastColumn="0"/>
            <w:tcW w:w="2244" w:type="pct"/>
            <w:tcBorders>
              <w:bottom w:val="single" w:sz="4" w:space="0" w:color="auto"/>
            </w:tcBorders>
            <w:vAlign w:val="top"/>
          </w:tcPr>
          <w:p w14:paraId="36C0D5D0" w14:textId="6C66F59E" w:rsidR="0076797F" w:rsidRPr="0076797F" w:rsidRDefault="00DC0A06" w:rsidP="00893B68">
            <w:pPr>
              <w:pStyle w:val="TableBodyText"/>
            </w:pPr>
            <w:r>
              <w:t>Victorian Desalination Plant</w:t>
            </w:r>
            <w:r w:rsidR="00E0205B">
              <w:t xml:space="preserve"> service concession asset</w:t>
            </w:r>
          </w:p>
        </w:tc>
        <w:tc>
          <w:tcPr>
            <w:tcW w:w="689" w:type="pct"/>
            <w:tcBorders>
              <w:bottom w:val="single" w:sz="4" w:space="0" w:color="auto"/>
            </w:tcBorders>
            <w:vAlign w:val="top"/>
          </w:tcPr>
          <w:p w14:paraId="1C6C92EA" w14:textId="7AC873ED" w:rsidR="0076797F" w:rsidRPr="0076797F" w:rsidRDefault="00E0205B" w:rsidP="00893B68">
            <w:pPr>
              <w:pStyle w:val="TableBodyText"/>
              <w:cnfStyle w:val="000000000000" w:firstRow="0" w:lastRow="0" w:firstColumn="0" w:lastColumn="0" w:oddVBand="0" w:evenVBand="0" w:oddHBand="0" w:evenHBand="0" w:firstRowFirstColumn="0" w:firstRowLastColumn="0" w:lastRowFirstColumn="0" w:lastRowLastColumn="0"/>
            </w:pPr>
            <w:r>
              <w:t>4,040,370</w:t>
            </w:r>
          </w:p>
        </w:tc>
        <w:tc>
          <w:tcPr>
            <w:tcW w:w="689" w:type="pct"/>
            <w:tcBorders>
              <w:bottom w:val="single" w:sz="4" w:space="0" w:color="auto"/>
            </w:tcBorders>
            <w:vAlign w:val="top"/>
          </w:tcPr>
          <w:p w14:paraId="04AC614C" w14:textId="272E96DC" w:rsidR="0076797F" w:rsidRPr="0076797F" w:rsidRDefault="00E0205B" w:rsidP="00893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1ED759BE" w14:textId="2B13D607" w:rsidR="0076797F" w:rsidRPr="0076797F" w:rsidRDefault="00E0205B" w:rsidP="00893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469A84F2" w14:textId="489E82AA" w:rsidR="0076797F" w:rsidRPr="0076797F" w:rsidRDefault="00E0205B" w:rsidP="00893B68">
            <w:pPr>
              <w:pStyle w:val="TableBodyText"/>
              <w:cnfStyle w:val="000000000000" w:firstRow="0" w:lastRow="0" w:firstColumn="0" w:lastColumn="0" w:oddVBand="0" w:evenVBand="0" w:oddHBand="0" w:evenHBand="0" w:firstRowFirstColumn="0" w:firstRowLastColumn="0" w:lastRowFirstColumn="0" w:lastRowLastColumn="0"/>
            </w:pPr>
            <w:r>
              <w:t>4,040,370</w:t>
            </w:r>
          </w:p>
        </w:tc>
      </w:tr>
      <w:tr w:rsidR="0076797F" w:rsidRPr="00E36B68" w14:paraId="18AB80C7" w14:textId="77777777" w:rsidTr="00E0205B">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bottom w:val="single" w:sz="4" w:space="0" w:color="auto"/>
            </w:tcBorders>
            <w:vAlign w:val="top"/>
          </w:tcPr>
          <w:p w14:paraId="38DFDE34" w14:textId="235CB571" w:rsidR="0076797F" w:rsidRPr="00E36B68" w:rsidRDefault="00E0205B" w:rsidP="00893B68">
            <w:pPr>
              <w:pStyle w:val="TableBodyText"/>
              <w:rPr>
                <w:rStyle w:val="Bold"/>
              </w:rPr>
            </w:pPr>
            <w:r w:rsidRPr="00E36B68">
              <w:rPr>
                <w:rStyle w:val="Bold"/>
              </w:rPr>
              <w:t>Total other</w:t>
            </w:r>
          </w:p>
        </w:tc>
        <w:tc>
          <w:tcPr>
            <w:tcW w:w="689" w:type="pct"/>
            <w:tcBorders>
              <w:top w:val="single" w:sz="4" w:space="0" w:color="auto"/>
              <w:bottom w:val="single" w:sz="4" w:space="0" w:color="auto"/>
            </w:tcBorders>
            <w:vAlign w:val="top"/>
          </w:tcPr>
          <w:p w14:paraId="20CC83C5" w14:textId="55A2A3F5" w:rsidR="0076797F" w:rsidRPr="00E36B68" w:rsidRDefault="00E0205B" w:rsidP="00893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13,014,018</w:t>
            </w:r>
          </w:p>
        </w:tc>
        <w:tc>
          <w:tcPr>
            <w:tcW w:w="689" w:type="pct"/>
            <w:tcBorders>
              <w:top w:val="single" w:sz="4" w:space="0" w:color="auto"/>
              <w:bottom w:val="single" w:sz="4" w:space="0" w:color="auto"/>
            </w:tcBorders>
            <w:vAlign w:val="top"/>
          </w:tcPr>
          <w:p w14:paraId="3E42DC1F" w14:textId="4A398952" w:rsidR="0076797F" w:rsidRPr="00E36B68" w:rsidRDefault="00E0205B" w:rsidP="00893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N/A</w:t>
            </w:r>
          </w:p>
        </w:tc>
        <w:tc>
          <w:tcPr>
            <w:tcW w:w="689" w:type="pct"/>
            <w:tcBorders>
              <w:top w:val="single" w:sz="4" w:space="0" w:color="auto"/>
              <w:bottom w:val="single" w:sz="4" w:space="0" w:color="auto"/>
            </w:tcBorders>
            <w:vAlign w:val="top"/>
          </w:tcPr>
          <w:p w14:paraId="7F5C34D9" w14:textId="11306E78" w:rsidR="0076797F" w:rsidRPr="00E36B68" w:rsidRDefault="00E0205B" w:rsidP="00893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N/A</w:t>
            </w:r>
          </w:p>
        </w:tc>
        <w:tc>
          <w:tcPr>
            <w:tcW w:w="689" w:type="pct"/>
            <w:tcBorders>
              <w:top w:val="single" w:sz="4" w:space="0" w:color="auto"/>
              <w:bottom w:val="single" w:sz="4" w:space="0" w:color="auto"/>
            </w:tcBorders>
            <w:vAlign w:val="top"/>
          </w:tcPr>
          <w:p w14:paraId="0F645F5F" w14:textId="779211AD" w:rsidR="0076797F" w:rsidRPr="00E36B68" w:rsidRDefault="00E0205B" w:rsidP="00893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13,014,018</w:t>
            </w:r>
          </w:p>
        </w:tc>
      </w:tr>
      <w:tr w:rsidR="0076797F" w:rsidRPr="00E36B68" w14:paraId="3F40F903" w14:textId="77777777" w:rsidTr="00E0205B">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bottom w:val="single" w:sz="4" w:space="0" w:color="auto"/>
            </w:tcBorders>
            <w:vAlign w:val="top"/>
          </w:tcPr>
          <w:p w14:paraId="194BC626" w14:textId="0DD18881" w:rsidR="0076797F" w:rsidRPr="00E36B68" w:rsidRDefault="00E0205B" w:rsidP="00E36B68">
            <w:pPr>
              <w:pStyle w:val="TableBodyText"/>
              <w:rPr>
                <w:rStyle w:val="Bold"/>
              </w:rPr>
            </w:pPr>
            <w:r w:rsidRPr="00E36B68">
              <w:rPr>
                <w:rStyle w:val="Bold"/>
              </w:rPr>
              <w:t>Total land, buildings, infrastructure, plant and equipment</w:t>
            </w:r>
          </w:p>
        </w:tc>
        <w:tc>
          <w:tcPr>
            <w:tcW w:w="689" w:type="pct"/>
            <w:tcBorders>
              <w:top w:val="single" w:sz="4" w:space="0" w:color="auto"/>
              <w:bottom w:val="single" w:sz="4" w:space="0" w:color="auto"/>
            </w:tcBorders>
            <w:vAlign w:val="top"/>
          </w:tcPr>
          <w:p w14:paraId="451CA301" w14:textId="4BD34F3D" w:rsidR="0076797F" w:rsidRPr="00E36B68"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15,183,071</w:t>
            </w:r>
          </w:p>
        </w:tc>
        <w:tc>
          <w:tcPr>
            <w:tcW w:w="689" w:type="pct"/>
            <w:tcBorders>
              <w:top w:val="single" w:sz="4" w:space="0" w:color="auto"/>
              <w:bottom w:val="single" w:sz="4" w:space="0" w:color="auto"/>
            </w:tcBorders>
            <w:vAlign w:val="top"/>
          </w:tcPr>
          <w:p w14:paraId="1E9DF0F9" w14:textId="7C97BA3B" w:rsidR="0076797F" w:rsidRPr="00E36B68"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N/A</w:t>
            </w:r>
          </w:p>
        </w:tc>
        <w:tc>
          <w:tcPr>
            <w:tcW w:w="689" w:type="pct"/>
            <w:tcBorders>
              <w:top w:val="single" w:sz="4" w:space="0" w:color="auto"/>
              <w:bottom w:val="single" w:sz="4" w:space="0" w:color="auto"/>
            </w:tcBorders>
            <w:vAlign w:val="top"/>
          </w:tcPr>
          <w:p w14:paraId="0AFD4C04" w14:textId="695763C2" w:rsidR="0076797F" w:rsidRPr="00E36B68"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74,120</w:t>
            </w:r>
          </w:p>
        </w:tc>
        <w:tc>
          <w:tcPr>
            <w:tcW w:w="689" w:type="pct"/>
            <w:tcBorders>
              <w:top w:val="single" w:sz="4" w:space="0" w:color="auto"/>
              <w:bottom w:val="single" w:sz="4" w:space="0" w:color="auto"/>
            </w:tcBorders>
            <w:vAlign w:val="top"/>
          </w:tcPr>
          <w:p w14:paraId="3259EF60" w14:textId="495A2368" w:rsidR="0076797F" w:rsidRPr="00E36B68"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36B68">
              <w:rPr>
                <w:rStyle w:val="Bold"/>
              </w:rPr>
              <w:t>15,108,951</w:t>
            </w:r>
          </w:p>
        </w:tc>
      </w:tr>
    </w:tbl>
    <w:p w14:paraId="48B77782" w14:textId="01B367D1" w:rsidR="0076797F" w:rsidRPr="00E0205B" w:rsidRDefault="00E0205B" w:rsidP="002B25DA">
      <w:pPr>
        <w:pStyle w:val="BodyText"/>
        <w:keepNext/>
        <w:keepLines/>
      </w:pPr>
      <w:r>
        <w:lastRenderedPageBreak/>
        <w:t>2020</w:t>
      </w:r>
    </w:p>
    <w:tbl>
      <w:tblPr>
        <w:tblStyle w:val="Style1"/>
        <w:tblW w:w="5000" w:type="pct"/>
        <w:tblLook w:val="04A0" w:firstRow="1" w:lastRow="0" w:firstColumn="1" w:lastColumn="0" w:noHBand="0" w:noVBand="1"/>
      </w:tblPr>
      <w:tblGrid>
        <w:gridCol w:w="3759"/>
        <w:gridCol w:w="1468"/>
        <w:gridCol w:w="1468"/>
        <w:gridCol w:w="1468"/>
        <w:gridCol w:w="1468"/>
      </w:tblGrid>
      <w:tr w:rsidR="00E0205B" w:rsidRPr="0076797F" w14:paraId="6BB59966"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tcBorders>
            <w:vAlign w:val="bottom"/>
          </w:tcPr>
          <w:p w14:paraId="6C9ECDD2" w14:textId="77777777" w:rsidR="00E0205B" w:rsidRPr="0076797F" w:rsidRDefault="00E0205B" w:rsidP="002B25DA">
            <w:pPr>
              <w:pStyle w:val="TableBodyText"/>
              <w:keepNext/>
              <w:keepLines/>
            </w:pPr>
            <w:bookmarkStart w:id="1013" w:name="ColumnTitle_67"/>
            <w:r w:rsidRPr="0076797F">
              <w:t>Item</w:t>
            </w:r>
          </w:p>
        </w:tc>
        <w:tc>
          <w:tcPr>
            <w:tcW w:w="689" w:type="pct"/>
            <w:tcBorders>
              <w:top w:val="single" w:sz="4" w:space="0" w:color="auto"/>
            </w:tcBorders>
            <w:vAlign w:val="bottom"/>
          </w:tcPr>
          <w:p w14:paraId="0B677463" w14:textId="43F6714E"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rsidRPr="0076797F">
              <w:t>Fair value</w:t>
            </w:r>
            <w:r w:rsidR="00E36B68">
              <w:t xml:space="preserve"> </w:t>
            </w:r>
            <w:r w:rsidR="0074463D">
              <w:t xml:space="preserve"> </w:t>
            </w:r>
            <w:r>
              <w:t>m</w:t>
            </w:r>
            <w:r w:rsidRPr="0076797F">
              <w:t>easurements</w:t>
            </w:r>
          </w:p>
          <w:p w14:paraId="1AE8A547" w14:textId="6F76B658"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t>2020</w:t>
            </w:r>
          </w:p>
          <w:p w14:paraId="6A1947D1" w14:textId="77777777" w:rsidR="00E0205B" w:rsidRPr="0076797F"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pPr>
            <w:r>
              <w:t>($ thousands)</w:t>
            </w:r>
          </w:p>
        </w:tc>
        <w:tc>
          <w:tcPr>
            <w:tcW w:w="689" w:type="pct"/>
            <w:tcBorders>
              <w:top w:val="single" w:sz="4" w:space="0" w:color="auto"/>
            </w:tcBorders>
            <w:vAlign w:val="bottom"/>
          </w:tcPr>
          <w:p w14:paraId="6236ABBB" w14:textId="4C7C6FB7"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t>Fair value</w:t>
            </w:r>
            <w:r w:rsidR="0074463D">
              <w:t xml:space="preserve"> </w:t>
            </w:r>
            <w:r>
              <w:t>measurements</w:t>
            </w:r>
            <w:r w:rsidR="0074463D">
              <w:t xml:space="preserve"> </w:t>
            </w:r>
            <w:r>
              <w:t>Level 1</w:t>
            </w:r>
          </w:p>
          <w:p w14:paraId="63BBCB4C" w14:textId="77777777"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t>($ thousands)</w:t>
            </w:r>
          </w:p>
          <w:p w14:paraId="666705F7" w14:textId="57232A91" w:rsidR="001C5B45" w:rsidRPr="001C5B45" w:rsidRDefault="00926282"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hyperlink w:anchor="NoteaTable4121" w:history="1">
              <w:r w:rsidR="001C5B45" w:rsidRPr="001C5B45">
                <w:rPr>
                  <w:rStyle w:val="Hyperlink"/>
                  <w:sz w:val="18"/>
                  <w:szCs w:val="18"/>
                </w:rPr>
                <w:t>refer note</w:t>
              </w:r>
            </w:hyperlink>
          </w:p>
        </w:tc>
        <w:tc>
          <w:tcPr>
            <w:tcW w:w="689" w:type="pct"/>
            <w:tcBorders>
              <w:top w:val="single" w:sz="4" w:space="0" w:color="auto"/>
            </w:tcBorders>
            <w:vAlign w:val="bottom"/>
          </w:tcPr>
          <w:p w14:paraId="4F0AF8EF" w14:textId="7D5969F4"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t>Fair value</w:t>
            </w:r>
            <w:r w:rsidR="0074463D">
              <w:t xml:space="preserve"> </w:t>
            </w:r>
            <w:r>
              <w:t>measurements</w:t>
            </w:r>
            <w:r w:rsidR="0074463D">
              <w:t xml:space="preserve"> </w:t>
            </w:r>
            <w:r>
              <w:t>Level 2</w:t>
            </w:r>
          </w:p>
          <w:p w14:paraId="3FE175E0" w14:textId="77777777"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t>($ thousands)</w:t>
            </w:r>
          </w:p>
          <w:p w14:paraId="72FCBBC4" w14:textId="7B24D743" w:rsidR="001C5B45" w:rsidRPr="0076797F" w:rsidRDefault="00926282" w:rsidP="002B25DA">
            <w:pPr>
              <w:pStyle w:val="TableBodyText"/>
              <w:keepNext/>
              <w:keepLines/>
              <w:cnfStyle w:val="100000000000" w:firstRow="1" w:lastRow="0" w:firstColumn="0" w:lastColumn="0" w:oddVBand="0" w:evenVBand="0" w:oddHBand="0" w:evenHBand="0" w:firstRowFirstColumn="0" w:firstRowLastColumn="0" w:lastRowFirstColumn="0" w:lastRowLastColumn="0"/>
            </w:pPr>
            <w:hyperlink w:anchor="NoteaTable4121" w:history="1">
              <w:r w:rsidR="001C5B45" w:rsidRPr="001C5B45">
                <w:rPr>
                  <w:rStyle w:val="Hyperlink"/>
                  <w:sz w:val="18"/>
                  <w:szCs w:val="18"/>
                </w:rPr>
                <w:t>refer note</w:t>
              </w:r>
            </w:hyperlink>
          </w:p>
        </w:tc>
        <w:tc>
          <w:tcPr>
            <w:tcW w:w="689" w:type="pct"/>
            <w:tcBorders>
              <w:top w:val="single" w:sz="4" w:space="0" w:color="auto"/>
            </w:tcBorders>
            <w:vAlign w:val="bottom"/>
          </w:tcPr>
          <w:p w14:paraId="47E8C602" w14:textId="7785FC43"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t>Fair value</w:t>
            </w:r>
            <w:r w:rsidR="0074463D">
              <w:t xml:space="preserve"> </w:t>
            </w:r>
            <w:r>
              <w:t>measurements</w:t>
            </w:r>
            <w:r w:rsidR="0074463D">
              <w:t xml:space="preserve"> </w:t>
            </w:r>
            <w:r>
              <w:t>Level 3</w:t>
            </w:r>
          </w:p>
          <w:p w14:paraId="0E220C69" w14:textId="77777777" w:rsidR="00E0205B" w:rsidRDefault="00E0205B" w:rsidP="002B25DA">
            <w:pPr>
              <w:pStyle w:val="TableBodyText"/>
              <w:keepNext/>
              <w:keepLines/>
              <w:cnfStyle w:val="100000000000" w:firstRow="1" w:lastRow="0" w:firstColumn="0" w:lastColumn="0" w:oddVBand="0" w:evenVBand="0" w:oddHBand="0" w:evenHBand="0" w:firstRowFirstColumn="0" w:firstRowLastColumn="0" w:lastRowFirstColumn="0" w:lastRowLastColumn="0"/>
              <w:rPr>
                <w:b w:val="0"/>
              </w:rPr>
            </w:pPr>
            <w:r>
              <w:t>($ thousands)</w:t>
            </w:r>
          </w:p>
          <w:p w14:paraId="48010F52" w14:textId="4F631655" w:rsidR="001C5B45" w:rsidRPr="0076797F" w:rsidRDefault="00926282" w:rsidP="002B25DA">
            <w:pPr>
              <w:pStyle w:val="TableBodyText"/>
              <w:keepNext/>
              <w:keepLines/>
              <w:cnfStyle w:val="100000000000" w:firstRow="1" w:lastRow="0" w:firstColumn="0" w:lastColumn="0" w:oddVBand="0" w:evenVBand="0" w:oddHBand="0" w:evenHBand="0" w:firstRowFirstColumn="0" w:firstRowLastColumn="0" w:lastRowFirstColumn="0" w:lastRowLastColumn="0"/>
            </w:pPr>
            <w:hyperlink w:anchor="NoteaTable4121" w:history="1">
              <w:r w:rsidR="001C5B45" w:rsidRPr="001C5B45">
                <w:rPr>
                  <w:rStyle w:val="Hyperlink"/>
                  <w:sz w:val="18"/>
                  <w:szCs w:val="18"/>
                </w:rPr>
                <w:t>refer note</w:t>
              </w:r>
            </w:hyperlink>
          </w:p>
        </w:tc>
      </w:tr>
      <w:bookmarkEnd w:id="1013"/>
      <w:tr w:rsidR="00E0205B" w:rsidRPr="0076797F" w14:paraId="75C6DEB3"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30CACB60" w14:textId="77777777" w:rsidR="00E0205B" w:rsidRPr="0076797F" w:rsidRDefault="00E0205B" w:rsidP="002B25DA">
            <w:pPr>
              <w:pStyle w:val="TableBodyText"/>
              <w:keepNext/>
              <w:keepLines/>
            </w:pPr>
            <w:r>
              <w:t>Non-current assets held for sale</w:t>
            </w:r>
          </w:p>
        </w:tc>
        <w:tc>
          <w:tcPr>
            <w:tcW w:w="689" w:type="pct"/>
            <w:vAlign w:val="top"/>
          </w:tcPr>
          <w:p w14:paraId="6EE8FC50" w14:textId="55DE300A"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9,086</w:t>
            </w:r>
          </w:p>
        </w:tc>
        <w:tc>
          <w:tcPr>
            <w:tcW w:w="689" w:type="pct"/>
            <w:vAlign w:val="top"/>
          </w:tcPr>
          <w:p w14:paraId="7B246C1D"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3F5499D5" w14:textId="0A9BCD0D"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9,086</w:t>
            </w:r>
          </w:p>
        </w:tc>
        <w:tc>
          <w:tcPr>
            <w:tcW w:w="689" w:type="pct"/>
            <w:vAlign w:val="top"/>
          </w:tcPr>
          <w:p w14:paraId="2B9E5F9D"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E0205B" w:rsidRPr="0076797F" w14:paraId="02D135B5"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695A82F8" w14:textId="77777777" w:rsidR="00E0205B" w:rsidRPr="0076797F" w:rsidRDefault="00E0205B" w:rsidP="002B25DA">
            <w:pPr>
              <w:pStyle w:val="TableBodyText"/>
              <w:keepNext/>
              <w:keepLines/>
            </w:pPr>
            <w:r>
              <w:t>Non-specialised land</w:t>
            </w:r>
          </w:p>
        </w:tc>
        <w:tc>
          <w:tcPr>
            <w:tcW w:w="689" w:type="pct"/>
            <w:vAlign w:val="top"/>
          </w:tcPr>
          <w:p w14:paraId="505F4D5E" w14:textId="337E8396"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58,715</w:t>
            </w:r>
          </w:p>
        </w:tc>
        <w:tc>
          <w:tcPr>
            <w:tcW w:w="689" w:type="pct"/>
            <w:vAlign w:val="top"/>
          </w:tcPr>
          <w:p w14:paraId="7327F0DA"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5E4FD600" w14:textId="3FCAB18B"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58,715</w:t>
            </w:r>
          </w:p>
        </w:tc>
        <w:tc>
          <w:tcPr>
            <w:tcW w:w="689" w:type="pct"/>
            <w:vAlign w:val="top"/>
          </w:tcPr>
          <w:p w14:paraId="37D1B31D"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E0205B" w:rsidRPr="0076797F" w14:paraId="254B14C4" w14:textId="77777777" w:rsidTr="00C778D6">
        <w:tc>
          <w:tcPr>
            <w:cnfStyle w:val="001000000000" w:firstRow="0" w:lastRow="0" w:firstColumn="1" w:lastColumn="0" w:oddVBand="0" w:evenVBand="0" w:oddHBand="0" w:evenHBand="0" w:firstRowFirstColumn="0" w:firstRowLastColumn="0" w:lastRowFirstColumn="0" w:lastRowLastColumn="0"/>
            <w:tcW w:w="2244" w:type="pct"/>
            <w:tcBorders>
              <w:bottom w:val="single" w:sz="4" w:space="0" w:color="auto"/>
            </w:tcBorders>
            <w:vAlign w:val="top"/>
          </w:tcPr>
          <w:p w14:paraId="2F060FE3" w14:textId="77777777" w:rsidR="00E0205B" w:rsidRPr="0076797F" w:rsidRDefault="00E0205B" w:rsidP="002B25DA">
            <w:pPr>
              <w:pStyle w:val="TableBodyText"/>
              <w:keepNext/>
              <w:keepLines/>
            </w:pPr>
            <w:r>
              <w:t>Specialised land</w:t>
            </w:r>
          </w:p>
        </w:tc>
        <w:tc>
          <w:tcPr>
            <w:tcW w:w="689" w:type="pct"/>
            <w:tcBorders>
              <w:bottom w:val="single" w:sz="4" w:space="0" w:color="auto"/>
            </w:tcBorders>
            <w:vAlign w:val="top"/>
          </w:tcPr>
          <w:p w14:paraId="169C349D" w14:textId="61E2B9B4"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1,420,778</w:t>
            </w:r>
          </w:p>
        </w:tc>
        <w:tc>
          <w:tcPr>
            <w:tcW w:w="689" w:type="pct"/>
            <w:tcBorders>
              <w:bottom w:val="single" w:sz="4" w:space="0" w:color="auto"/>
            </w:tcBorders>
            <w:vAlign w:val="top"/>
          </w:tcPr>
          <w:p w14:paraId="019B178C"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35E3054A"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614EC0E6" w14:textId="51524590"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1,420,778</w:t>
            </w:r>
          </w:p>
        </w:tc>
      </w:tr>
      <w:tr w:rsidR="00E0205B" w:rsidRPr="009E1EDF" w14:paraId="7668920E" w14:textId="77777777" w:rsidTr="00C778D6">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tcBorders>
            <w:vAlign w:val="top"/>
          </w:tcPr>
          <w:p w14:paraId="4C687B8B" w14:textId="77777777" w:rsidR="00E0205B" w:rsidRPr="009E1EDF" w:rsidRDefault="00E0205B" w:rsidP="002B25DA">
            <w:pPr>
              <w:pStyle w:val="TableBodyText"/>
              <w:keepNext/>
              <w:keepLines/>
              <w:rPr>
                <w:rStyle w:val="Bold"/>
              </w:rPr>
            </w:pPr>
            <w:r w:rsidRPr="009E1EDF">
              <w:rPr>
                <w:rStyle w:val="Bold"/>
              </w:rPr>
              <w:t>Total land</w:t>
            </w:r>
          </w:p>
        </w:tc>
        <w:tc>
          <w:tcPr>
            <w:tcW w:w="689" w:type="pct"/>
            <w:tcBorders>
              <w:top w:val="single" w:sz="4" w:space="0" w:color="auto"/>
            </w:tcBorders>
            <w:vAlign w:val="top"/>
          </w:tcPr>
          <w:p w14:paraId="5F586341" w14:textId="5A2662D8" w:rsidR="00E0205B" w:rsidRPr="009E1ED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9E1EDF">
              <w:rPr>
                <w:rStyle w:val="Bold"/>
              </w:rPr>
              <w:t>1,488,579</w:t>
            </w:r>
          </w:p>
        </w:tc>
        <w:tc>
          <w:tcPr>
            <w:tcW w:w="689" w:type="pct"/>
            <w:tcBorders>
              <w:top w:val="single" w:sz="4" w:space="0" w:color="auto"/>
            </w:tcBorders>
            <w:vAlign w:val="top"/>
          </w:tcPr>
          <w:p w14:paraId="5CE493B2" w14:textId="77777777" w:rsidR="00E0205B" w:rsidRPr="009E1ED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9E1EDF">
              <w:rPr>
                <w:rStyle w:val="Bold"/>
              </w:rPr>
              <w:t>N/A</w:t>
            </w:r>
          </w:p>
        </w:tc>
        <w:tc>
          <w:tcPr>
            <w:tcW w:w="689" w:type="pct"/>
            <w:tcBorders>
              <w:top w:val="single" w:sz="4" w:space="0" w:color="auto"/>
            </w:tcBorders>
            <w:vAlign w:val="top"/>
          </w:tcPr>
          <w:p w14:paraId="480300C2" w14:textId="408F30BB" w:rsidR="00E0205B" w:rsidRPr="009E1ED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9E1EDF">
              <w:rPr>
                <w:rStyle w:val="Bold"/>
              </w:rPr>
              <w:t>67,801</w:t>
            </w:r>
          </w:p>
        </w:tc>
        <w:tc>
          <w:tcPr>
            <w:tcW w:w="689" w:type="pct"/>
            <w:tcBorders>
              <w:top w:val="single" w:sz="4" w:space="0" w:color="auto"/>
            </w:tcBorders>
            <w:vAlign w:val="top"/>
          </w:tcPr>
          <w:p w14:paraId="3640FE4D" w14:textId="13CEA675" w:rsidR="00E0205B" w:rsidRPr="009E1ED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sidRPr="009E1EDF">
              <w:rPr>
                <w:rStyle w:val="Bold"/>
              </w:rPr>
              <w:t>1,420,778</w:t>
            </w:r>
          </w:p>
        </w:tc>
      </w:tr>
      <w:tr w:rsidR="00E0205B" w:rsidRPr="0076797F" w14:paraId="5D0383F6"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24B82B3C" w14:textId="77777777" w:rsidR="00E0205B" w:rsidRPr="0076797F" w:rsidRDefault="00E0205B" w:rsidP="002B25DA">
            <w:pPr>
              <w:pStyle w:val="TableBodyText"/>
              <w:keepNext/>
              <w:keepLines/>
            </w:pPr>
            <w:r>
              <w:t>Non-current assets held for sale</w:t>
            </w:r>
          </w:p>
        </w:tc>
        <w:tc>
          <w:tcPr>
            <w:tcW w:w="689" w:type="pct"/>
            <w:vAlign w:val="top"/>
          </w:tcPr>
          <w:p w14:paraId="485F51EC"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0BD69C43"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43355B6E"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7101616D"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E0205B" w:rsidRPr="0076797F" w14:paraId="5F535254"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6AEA6DD3" w14:textId="77777777" w:rsidR="00E0205B" w:rsidRPr="0076797F" w:rsidRDefault="00E0205B" w:rsidP="002B25DA">
            <w:pPr>
              <w:pStyle w:val="TableBodyText"/>
              <w:keepNext/>
              <w:keepLines/>
            </w:pPr>
            <w:r>
              <w:t>Non-specialised buildings</w:t>
            </w:r>
          </w:p>
        </w:tc>
        <w:tc>
          <w:tcPr>
            <w:tcW w:w="689" w:type="pct"/>
            <w:vAlign w:val="top"/>
          </w:tcPr>
          <w:p w14:paraId="3E84225A" w14:textId="3ABE329D" w:rsidR="00E0205B" w:rsidRPr="0076797F" w:rsidRDefault="001C5B45"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578</w:t>
            </w:r>
          </w:p>
        </w:tc>
        <w:tc>
          <w:tcPr>
            <w:tcW w:w="689" w:type="pct"/>
            <w:vAlign w:val="top"/>
          </w:tcPr>
          <w:p w14:paraId="6E26A358"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5B556034" w14:textId="7618CBDF" w:rsidR="00E0205B" w:rsidRPr="0076797F" w:rsidRDefault="001C5B45"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578</w:t>
            </w:r>
          </w:p>
        </w:tc>
        <w:tc>
          <w:tcPr>
            <w:tcW w:w="689" w:type="pct"/>
            <w:vAlign w:val="top"/>
          </w:tcPr>
          <w:p w14:paraId="755880D5"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E0205B" w:rsidRPr="0076797F" w14:paraId="6D462B8E" w14:textId="77777777" w:rsidTr="00C778D6">
        <w:tc>
          <w:tcPr>
            <w:cnfStyle w:val="001000000000" w:firstRow="0" w:lastRow="0" w:firstColumn="1" w:lastColumn="0" w:oddVBand="0" w:evenVBand="0" w:oddHBand="0" w:evenHBand="0" w:firstRowFirstColumn="0" w:firstRowLastColumn="0" w:lastRowFirstColumn="0" w:lastRowLastColumn="0"/>
            <w:tcW w:w="2244" w:type="pct"/>
            <w:tcBorders>
              <w:bottom w:val="single" w:sz="4" w:space="0" w:color="auto"/>
            </w:tcBorders>
            <w:vAlign w:val="top"/>
          </w:tcPr>
          <w:p w14:paraId="1A8A5089" w14:textId="77777777" w:rsidR="00E0205B" w:rsidRPr="0076797F" w:rsidRDefault="00E0205B" w:rsidP="002B25DA">
            <w:pPr>
              <w:pStyle w:val="TableBodyText"/>
              <w:keepNext/>
              <w:keepLines/>
            </w:pPr>
            <w:r>
              <w:t>Specialised buildings</w:t>
            </w:r>
          </w:p>
        </w:tc>
        <w:tc>
          <w:tcPr>
            <w:tcW w:w="689" w:type="pct"/>
            <w:tcBorders>
              <w:bottom w:val="single" w:sz="4" w:space="0" w:color="auto"/>
            </w:tcBorders>
            <w:vAlign w:val="top"/>
          </w:tcPr>
          <w:p w14:paraId="47406073" w14:textId="078680DC" w:rsidR="00E0205B" w:rsidRPr="0076797F" w:rsidRDefault="001C5B45"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27,164</w:t>
            </w:r>
          </w:p>
        </w:tc>
        <w:tc>
          <w:tcPr>
            <w:tcW w:w="689" w:type="pct"/>
            <w:tcBorders>
              <w:bottom w:val="single" w:sz="4" w:space="0" w:color="auto"/>
            </w:tcBorders>
            <w:vAlign w:val="top"/>
          </w:tcPr>
          <w:p w14:paraId="0BC0FCF6"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05B53366" w14:textId="77777777" w:rsidR="00E0205B" w:rsidRPr="0076797F" w:rsidRDefault="00E0205B"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13819537" w14:textId="2A050238" w:rsidR="00E0205B" w:rsidRPr="0076797F" w:rsidRDefault="001C5B45"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27,164</w:t>
            </w:r>
          </w:p>
        </w:tc>
      </w:tr>
      <w:tr w:rsidR="00E0205B" w:rsidRPr="00E0205B" w14:paraId="303B30C9" w14:textId="77777777" w:rsidTr="00C778D6">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tcBorders>
            <w:vAlign w:val="top"/>
          </w:tcPr>
          <w:p w14:paraId="3801D8DA" w14:textId="77777777" w:rsidR="00E0205B" w:rsidRPr="00E0205B" w:rsidRDefault="00E0205B" w:rsidP="00E36B68">
            <w:pPr>
              <w:pStyle w:val="TableBodyText"/>
              <w:rPr>
                <w:rStyle w:val="Bold"/>
              </w:rPr>
            </w:pPr>
            <w:r w:rsidRPr="00E0205B">
              <w:rPr>
                <w:rStyle w:val="Bold"/>
              </w:rPr>
              <w:t>Total buildings</w:t>
            </w:r>
          </w:p>
        </w:tc>
        <w:tc>
          <w:tcPr>
            <w:tcW w:w="689" w:type="pct"/>
            <w:tcBorders>
              <w:top w:val="single" w:sz="4" w:space="0" w:color="auto"/>
            </w:tcBorders>
            <w:vAlign w:val="top"/>
          </w:tcPr>
          <w:p w14:paraId="39E8FD2F" w14:textId="09A7A718" w:rsidR="00E0205B" w:rsidRPr="00E0205B"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27,742</w:t>
            </w:r>
          </w:p>
        </w:tc>
        <w:tc>
          <w:tcPr>
            <w:tcW w:w="689" w:type="pct"/>
            <w:tcBorders>
              <w:top w:val="single" w:sz="4" w:space="0" w:color="auto"/>
            </w:tcBorders>
            <w:vAlign w:val="top"/>
          </w:tcPr>
          <w:p w14:paraId="3A45D3AF" w14:textId="77777777" w:rsidR="00E0205B" w:rsidRPr="00E0205B"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0205B">
              <w:rPr>
                <w:rStyle w:val="Bold"/>
              </w:rPr>
              <w:t>N/A</w:t>
            </w:r>
          </w:p>
        </w:tc>
        <w:tc>
          <w:tcPr>
            <w:tcW w:w="689" w:type="pct"/>
            <w:tcBorders>
              <w:top w:val="single" w:sz="4" w:space="0" w:color="auto"/>
            </w:tcBorders>
            <w:vAlign w:val="top"/>
          </w:tcPr>
          <w:p w14:paraId="23D6B1B9" w14:textId="0C338150" w:rsidR="00E0205B" w:rsidRPr="00E0205B"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578</w:t>
            </w:r>
          </w:p>
        </w:tc>
        <w:tc>
          <w:tcPr>
            <w:tcW w:w="689" w:type="pct"/>
            <w:tcBorders>
              <w:top w:val="single" w:sz="4" w:space="0" w:color="auto"/>
            </w:tcBorders>
            <w:vAlign w:val="top"/>
          </w:tcPr>
          <w:p w14:paraId="7E6CD52E" w14:textId="1FF68D9F" w:rsidR="00E0205B" w:rsidRPr="00E0205B"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27,164</w:t>
            </w:r>
          </w:p>
        </w:tc>
      </w:tr>
      <w:tr w:rsidR="00E0205B" w:rsidRPr="0076797F" w14:paraId="088D5331"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69CB5839" w14:textId="77777777" w:rsidR="00E0205B" w:rsidRPr="0076797F" w:rsidRDefault="00E0205B" w:rsidP="00E36B68">
            <w:pPr>
              <w:pStyle w:val="TableBodyText"/>
            </w:pPr>
            <w:r>
              <w:t>Leasehold improvements</w:t>
            </w:r>
          </w:p>
        </w:tc>
        <w:tc>
          <w:tcPr>
            <w:tcW w:w="689" w:type="pct"/>
            <w:vAlign w:val="top"/>
          </w:tcPr>
          <w:p w14:paraId="39046E4E" w14:textId="15C4F675"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1,145</w:t>
            </w:r>
          </w:p>
        </w:tc>
        <w:tc>
          <w:tcPr>
            <w:tcW w:w="689" w:type="pct"/>
            <w:vAlign w:val="top"/>
          </w:tcPr>
          <w:p w14:paraId="7A0879E1"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32389AE2"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409AAA8A" w14:textId="00948F98"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1,145</w:t>
            </w:r>
          </w:p>
        </w:tc>
      </w:tr>
      <w:tr w:rsidR="00E0205B" w:rsidRPr="0076797F" w14:paraId="4B0EE48F"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30BD3739" w14:textId="77777777" w:rsidR="00E0205B" w:rsidRPr="0076797F" w:rsidRDefault="00E0205B" w:rsidP="00E36B68">
            <w:pPr>
              <w:pStyle w:val="TableBodyText"/>
            </w:pPr>
            <w:r>
              <w:t>Plant and equipment</w:t>
            </w:r>
          </w:p>
        </w:tc>
        <w:tc>
          <w:tcPr>
            <w:tcW w:w="689" w:type="pct"/>
            <w:vAlign w:val="top"/>
          </w:tcPr>
          <w:p w14:paraId="65FC56ED" w14:textId="4DA6EC7B"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17,788</w:t>
            </w:r>
          </w:p>
        </w:tc>
        <w:tc>
          <w:tcPr>
            <w:tcW w:w="689" w:type="pct"/>
            <w:vAlign w:val="top"/>
          </w:tcPr>
          <w:p w14:paraId="1C9FBE68"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37585C5F"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53DC7204" w14:textId="4A5FA3AE"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17,788</w:t>
            </w:r>
          </w:p>
        </w:tc>
      </w:tr>
      <w:tr w:rsidR="00E0205B" w:rsidRPr="0076797F" w14:paraId="72E7638D"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15632B60" w14:textId="77777777" w:rsidR="00E0205B" w:rsidRPr="0076797F" w:rsidRDefault="00E0205B" w:rsidP="00E36B68">
            <w:pPr>
              <w:pStyle w:val="TableBodyText"/>
            </w:pPr>
            <w:r>
              <w:t>Fleet vehicles</w:t>
            </w:r>
          </w:p>
        </w:tc>
        <w:tc>
          <w:tcPr>
            <w:tcW w:w="689" w:type="pct"/>
            <w:vAlign w:val="top"/>
          </w:tcPr>
          <w:p w14:paraId="1883CB28" w14:textId="00AB262B"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13,665</w:t>
            </w:r>
          </w:p>
        </w:tc>
        <w:tc>
          <w:tcPr>
            <w:tcW w:w="689" w:type="pct"/>
            <w:vAlign w:val="top"/>
          </w:tcPr>
          <w:p w14:paraId="131589BD"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3C51C0B9"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275B415D" w14:textId="525D59CF"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13,665</w:t>
            </w:r>
          </w:p>
        </w:tc>
      </w:tr>
      <w:tr w:rsidR="00E0205B" w:rsidRPr="0076797F" w14:paraId="093EFEC8" w14:textId="77777777" w:rsidTr="00C778D6">
        <w:tc>
          <w:tcPr>
            <w:cnfStyle w:val="001000000000" w:firstRow="0" w:lastRow="0" w:firstColumn="1" w:lastColumn="0" w:oddVBand="0" w:evenVBand="0" w:oddHBand="0" w:evenHBand="0" w:firstRowFirstColumn="0" w:firstRowLastColumn="0" w:lastRowFirstColumn="0" w:lastRowLastColumn="0"/>
            <w:tcW w:w="2244" w:type="pct"/>
            <w:vAlign w:val="top"/>
          </w:tcPr>
          <w:p w14:paraId="31E2FF1A" w14:textId="77777777" w:rsidR="00E0205B" w:rsidRPr="0076797F" w:rsidRDefault="00E0205B" w:rsidP="00E36B68">
            <w:pPr>
              <w:pStyle w:val="TableBodyText"/>
            </w:pPr>
            <w:r>
              <w:t>Infrastructure assets</w:t>
            </w:r>
          </w:p>
        </w:tc>
        <w:tc>
          <w:tcPr>
            <w:tcW w:w="689" w:type="pct"/>
            <w:vAlign w:val="top"/>
          </w:tcPr>
          <w:p w14:paraId="6C614B0E" w14:textId="295D78FF"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8,873,139</w:t>
            </w:r>
          </w:p>
        </w:tc>
        <w:tc>
          <w:tcPr>
            <w:tcW w:w="689" w:type="pct"/>
            <w:vAlign w:val="top"/>
          </w:tcPr>
          <w:p w14:paraId="6B894448"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0C0D6317"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vAlign w:val="top"/>
          </w:tcPr>
          <w:p w14:paraId="789F103D" w14:textId="1B167BE2"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8,873,139</w:t>
            </w:r>
          </w:p>
        </w:tc>
      </w:tr>
      <w:tr w:rsidR="00E0205B" w:rsidRPr="0076797F" w14:paraId="2EE6509D" w14:textId="77777777" w:rsidTr="00C778D6">
        <w:tc>
          <w:tcPr>
            <w:cnfStyle w:val="001000000000" w:firstRow="0" w:lastRow="0" w:firstColumn="1" w:lastColumn="0" w:oddVBand="0" w:evenVBand="0" w:oddHBand="0" w:evenHBand="0" w:firstRowFirstColumn="0" w:firstRowLastColumn="0" w:lastRowFirstColumn="0" w:lastRowLastColumn="0"/>
            <w:tcW w:w="2244" w:type="pct"/>
            <w:tcBorders>
              <w:bottom w:val="single" w:sz="4" w:space="0" w:color="auto"/>
            </w:tcBorders>
            <w:vAlign w:val="top"/>
          </w:tcPr>
          <w:p w14:paraId="50C0F3A1" w14:textId="4F588FAE" w:rsidR="00E0205B" w:rsidRPr="0076797F" w:rsidRDefault="00DC0A06" w:rsidP="00E36B68">
            <w:pPr>
              <w:pStyle w:val="TableBodyText"/>
            </w:pPr>
            <w:r>
              <w:t>Victorian Desalination Plant</w:t>
            </w:r>
            <w:r w:rsidR="00E0205B">
              <w:t xml:space="preserve"> service concession asset</w:t>
            </w:r>
          </w:p>
        </w:tc>
        <w:tc>
          <w:tcPr>
            <w:tcW w:w="689" w:type="pct"/>
            <w:tcBorders>
              <w:bottom w:val="single" w:sz="4" w:space="0" w:color="auto"/>
            </w:tcBorders>
            <w:vAlign w:val="top"/>
          </w:tcPr>
          <w:p w14:paraId="154F5171" w14:textId="64E55E9D"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4,071,895</w:t>
            </w:r>
          </w:p>
        </w:tc>
        <w:tc>
          <w:tcPr>
            <w:tcW w:w="689" w:type="pct"/>
            <w:tcBorders>
              <w:bottom w:val="single" w:sz="4" w:space="0" w:color="auto"/>
            </w:tcBorders>
            <w:vAlign w:val="top"/>
          </w:tcPr>
          <w:p w14:paraId="1EF40962"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1318CA53" w14:textId="77777777" w:rsidR="00E0205B" w:rsidRPr="0076797F" w:rsidRDefault="00E0205B" w:rsidP="00E36B68">
            <w:pPr>
              <w:pStyle w:val="TableBodyText"/>
              <w:cnfStyle w:val="000000000000" w:firstRow="0" w:lastRow="0" w:firstColumn="0" w:lastColumn="0" w:oddVBand="0" w:evenVBand="0" w:oddHBand="0" w:evenHBand="0" w:firstRowFirstColumn="0" w:firstRowLastColumn="0" w:lastRowFirstColumn="0" w:lastRowLastColumn="0"/>
            </w:pPr>
            <w:r>
              <w:t>N/A</w:t>
            </w:r>
          </w:p>
        </w:tc>
        <w:tc>
          <w:tcPr>
            <w:tcW w:w="689" w:type="pct"/>
            <w:tcBorders>
              <w:bottom w:val="single" w:sz="4" w:space="0" w:color="auto"/>
            </w:tcBorders>
            <w:vAlign w:val="top"/>
          </w:tcPr>
          <w:p w14:paraId="39167DD6" w14:textId="6BF2D27A" w:rsidR="00E0205B" w:rsidRPr="0076797F" w:rsidRDefault="001C5B45" w:rsidP="00E36B68">
            <w:pPr>
              <w:pStyle w:val="TableBodyText"/>
              <w:cnfStyle w:val="000000000000" w:firstRow="0" w:lastRow="0" w:firstColumn="0" w:lastColumn="0" w:oddVBand="0" w:evenVBand="0" w:oddHBand="0" w:evenHBand="0" w:firstRowFirstColumn="0" w:firstRowLastColumn="0" w:lastRowFirstColumn="0" w:lastRowLastColumn="0"/>
            </w:pPr>
            <w:r>
              <w:t>4,071,895</w:t>
            </w:r>
          </w:p>
        </w:tc>
      </w:tr>
      <w:tr w:rsidR="00E0205B" w:rsidRPr="00637CE4" w14:paraId="1727929D" w14:textId="77777777" w:rsidTr="00C778D6">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bottom w:val="single" w:sz="4" w:space="0" w:color="auto"/>
            </w:tcBorders>
            <w:vAlign w:val="top"/>
          </w:tcPr>
          <w:p w14:paraId="54AF50A7" w14:textId="77777777" w:rsidR="00E0205B" w:rsidRPr="00637CE4" w:rsidRDefault="00E0205B" w:rsidP="00E36B68">
            <w:pPr>
              <w:pStyle w:val="TableBodyText"/>
              <w:rPr>
                <w:rStyle w:val="Bold"/>
              </w:rPr>
            </w:pPr>
            <w:r w:rsidRPr="00637CE4">
              <w:rPr>
                <w:rStyle w:val="Bold"/>
              </w:rPr>
              <w:t>Total other</w:t>
            </w:r>
          </w:p>
        </w:tc>
        <w:tc>
          <w:tcPr>
            <w:tcW w:w="689" w:type="pct"/>
            <w:tcBorders>
              <w:top w:val="single" w:sz="4" w:space="0" w:color="auto"/>
              <w:bottom w:val="single" w:sz="4" w:space="0" w:color="auto"/>
            </w:tcBorders>
            <w:vAlign w:val="top"/>
          </w:tcPr>
          <w:p w14:paraId="64B60AA8" w14:textId="45779515" w:rsidR="00E0205B" w:rsidRPr="00637CE4"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12,977,632</w:t>
            </w:r>
          </w:p>
        </w:tc>
        <w:tc>
          <w:tcPr>
            <w:tcW w:w="689" w:type="pct"/>
            <w:tcBorders>
              <w:top w:val="single" w:sz="4" w:space="0" w:color="auto"/>
              <w:bottom w:val="single" w:sz="4" w:space="0" w:color="auto"/>
            </w:tcBorders>
            <w:vAlign w:val="top"/>
          </w:tcPr>
          <w:p w14:paraId="36C3AFC4" w14:textId="77777777" w:rsidR="00E0205B" w:rsidRPr="00637CE4"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N/A</w:t>
            </w:r>
          </w:p>
        </w:tc>
        <w:tc>
          <w:tcPr>
            <w:tcW w:w="689" w:type="pct"/>
            <w:tcBorders>
              <w:top w:val="single" w:sz="4" w:space="0" w:color="auto"/>
              <w:bottom w:val="single" w:sz="4" w:space="0" w:color="auto"/>
            </w:tcBorders>
            <w:vAlign w:val="top"/>
          </w:tcPr>
          <w:p w14:paraId="0C3AB8CA" w14:textId="77777777" w:rsidR="00E0205B" w:rsidRPr="00637CE4"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N/A</w:t>
            </w:r>
          </w:p>
        </w:tc>
        <w:tc>
          <w:tcPr>
            <w:tcW w:w="689" w:type="pct"/>
            <w:tcBorders>
              <w:top w:val="single" w:sz="4" w:space="0" w:color="auto"/>
              <w:bottom w:val="single" w:sz="4" w:space="0" w:color="auto"/>
            </w:tcBorders>
            <w:vAlign w:val="top"/>
          </w:tcPr>
          <w:p w14:paraId="43CFD4E8" w14:textId="4CAB435F" w:rsidR="00E0205B" w:rsidRPr="00637CE4"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12,977,632</w:t>
            </w:r>
          </w:p>
        </w:tc>
      </w:tr>
      <w:tr w:rsidR="00E0205B" w:rsidRPr="00637CE4" w14:paraId="0ABEAD4E" w14:textId="77777777" w:rsidTr="00C778D6">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bottom w:val="single" w:sz="4" w:space="0" w:color="auto"/>
            </w:tcBorders>
            <w:vAlign w:val="top"/>
          </w:tcPr>
          <w:p w14:paraId="64304BB4" w14:textId="77777777" w:rsidR="00E0205B" w:rsidRPr="00637CE4" w:rsidRDefault="00E0205B" w:rsidP="00E36B68">
            <w:pPr>
              <w:pStyle w:val="TableBodyText"/>
              <w:rPr>
                <w:rStyle w:val="Bold"/>
              </w:rPr>
            </w:pPr>
            <w:r w:rsidRPr="00637CE4">
              <w:rPr>
                <w:rStyle w:val="Bold"/>
              </w:rPr>
              <w:t>Total land, buildings, infrastructure, plant and equipment</w:t>
            </w:r>
          </w:p>
        </w:tc>
        <w:tc>
          <w:tcPr>
            <w:tcW w:w="689" w:type="pct"/>
            <w:tcBorders>
              <w:top w:val="single" w:sz="4" w:space="0" w:color="auto"/>
              <w:bottom w:val="single" w:sz="4" w:space="0" w:color="auto"/>
            </w:tcBorders>
            <w:vAlign w:val="top"/>
          </w:tcPr>
          <w:p w14:paraId="2BD51AD9" w14:textId="63634FA4" w:rsidR="00E0205B" w:rsidRPr="00637CE4"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14,493,953</w:t>
            </w:r>
          </w:p>
        </w:tc>
        <w:tc>
          <w:tcPr>
            <w:tcW w:w="689" w:type="pct"/>
            <w:tcBorders>
              <w:top w:val="single" w:sz="4" w:space="0" w:color="auto"/>
              <w:bottom w:val="single" w:sz="4" w:space="0" w:color="auto"/>
            </w:tcBorders>
            <w:vAlign w:val="top"/>
          </w:tcPr>
          <w:p w14:paraId="2973C43C" w14:textId="77777777" w:rsidR="00E0205B" w:rsidRPr="00637CE4" w:rsidRDefault="00E0205B"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N/A</w:t>
            </w:r>
          </w:p>
        </w:tc>
        <w:tc>
          <w:tcPr>
            <w:tcW w:w="689" w:type="pct"/>
            <w:tcBorders>
              <w:top w:val="single" w:sz="4" w:space="0" w:color="auto"/>
              <w:bottom w:val="single" w:sz="4" w:space="0" w:color="auto"/>
            </w:tcBorders>
            <w:vAlign w:val="top"/>
          </w:tcPr>
          <w:p w14:paraId="593BFDA0" w14:textId="4E7814EA" w:rsidR="00E0205B" w:rsidRPr="00637CE4"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68,379</w:t>
            </w:r>
          </w:p>
        </w:tc>
        <w:tc>
          <w:tcPr>
            <w:tcW w:w="689" w:type="pct"/>
            <w:tcBorders>
              <w:top w:val="single" w:sz="4" w:space="0" w:color="auto"/>
              <w:bottom w:val="single" w:sz="4" w:space="0" w:color="auto"/>
            </w:tcBorders>
            <w:vAlign w:val="top"/>
          </w:tcPr>
          <w:p w14:paraId="6D7DB611" w14:textId="4C61798E" w:rsidR="00E0205B" w:rsidRPr="00637CE4" w:rsidRDefault="001C5B45" w:rsidP="00E36B68">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37CE4">
              <w:rPr>
                <w:rStyle w:val="Bold"/>
              </w:rPr>
              <w:t>14,425,574</w:t>
            </w:r>
          </w:p>
        </w:tc>
      </w:tr>
    </w:tbl>
    <w:p w14:paraId="75D2EAD7" w14:textId="77777777" w:rsidR="001C5B45" w:rsidRDefault="001C5B45" w:rsidP="001C5B45">
      <w:pPr>
        <w:pStyle w:val="BodyText"/>
      </w:pPr>
      <w:r>
        <w:t>Note:</w:t>
      </w:r>
    </w:p>
    <w:p w14:paraId="1875D547" w14:textId="37882FAB" w:rsidR="0076797F" w:rsidRDefault="001C5B45" w:rsidP="001C5B45">
      <w:pPr>
        <w:pStyle w:val="BodyText"/>
      </w:pPr>
      <w:bookmarkStart w:id="1014" w:name="NoteaTable4121"/>
      <w:r>
        <w:t xml:space="preserve">(a) </w:t>
      </w:r>
      <w:bookmarkEnd w:id="1014"/>
      <w:r>
        <w:t>Classified in accordance with the fair value determination of non-financial physical assets.</w:t>
      </w:r>
    </w:p>
    <w:p w14:paraId="57CC86AD" w14:textId="77777777" w:rsidR="001C5B45" w:rsidRDefault="001C5B45" w:rsidP="001C5B45">
      <w:pPr>
        <w:pStyle w:val="Heading6"/>
      </w:pPr>
      <w:r>
        <w:t>Non-current assets held for sale</w:t>
      </w:r>
    </w:p>
    <w:p w14:paraId="58F6A29D" w14:textId="40B66B34" w:rsidR="001C5B45" w:rsidRDefault="001C5B45" w:rsidP="001C5B45">
      <w:pPr>
        <w:pStyle w:val="BodyText"/>
      </w:pPr>
      <w:r>
        <w:t>Non-current assets held for sale are treated as current and classified as held for sale if their carrying amount will be recovered through a sale transaction rather than through continuing use.</w:t>
      </w:r>
    </w:p>
    <w:p w14:paraId="08C93D81" w14:textId="77777777" w:rsidR="001C5B45" w:rsidRDefault="001C5B45" w:rsidP="001C5B45">
      <w:pPr>
        <w:pStyle w:val="BodyText"/>
      </w:pPr>
      <w:r>
        <w:t>This condition is regarded as met only when:</w:t>
      </w:r>
    </w:p>
    <w:p w14:paraId="307E1938" w14:textId="608CD4EB" w:rsidR="001C5B45" w:rsidRDefault="001C5B45" w:rsidP="00C778D6">
      <w:pPr>
        <w:pStyle w:val="ListBullet"/>
      </w:pPr>
      <w:r>
        <w:t>the asset is available for immediate use in the current condition</w:t>
      </w:r>
    </w:p>
    <w:p w14:paraId="442B29C0" w14:textId="284189C1" w:rsidR="001C5B45" w:rsidRDefault="001C5B45" w:rsidP="00C778D6">
      <w:pPr>
        <w:pStyle w:val="ListBullet"/>
      </w:pPr>
      <w:r>
        <w:t>the sale is highly probable and the asset’s sale is expected to be completed within 12 months from the date of classification.</w:t>
      </w:r>
    </w:p>
    <w:p w14:paraId="2B56C432" w14:textId="4D8AD533" w:rsidR="001C5B45" w:rsidRDefault="001C5B45" w:rsidP="001C5B45">
      <w:pPr>
        <w:pStyle w:val="BodyText"/>
      </w:pPr>
      <w:r>
        <w:t>These non-current assets are measured at the lower of carrying amount and fair value less costs to sell, and are not subject to depreciation or amortisation.</w:t>
      </w:r>
    </w:p>
    <w:p w14:paraId="485A93C7" w14:textId="5BE52F5C" w:rsidR="001C5B45" w:rsidRDefault="001C5B45" w:rsidP="002B25DA">
      <w:pPr>
        <w:pStyle w:val="Heading6"/>
        <w:keepNext/>
      </w:pPr>
      <w:r>
        <w:lastRenderedPageBreak/>
        <w:t>Non-specialised land (other than held for sale) and buildings</w:t>
      </w:r>
    </w:p>
    <w:p w14:paraId="738AECC8" w14:textId="77777777" w:rsidR="001C5B45" w:rsidRDefault="001C5B45" w:rsidP="001C5B45">
      <w:pPr>
        <w:pStyle w:val="BodyText"/>
      </w:pPr>
      <w:r>
        <w:t>Non-specialised land (other than held for sale) and buildings are valued using the market/direct comparison approach with key inputs used being sales evidence and unit of value by comparative basis. To the extent that non-specialised land and buildings do not contain significant, unobservable adjustments, the assets are classified as Level 2 under the market approach. Refer to disclosures below under specialised land and buildings for current year valuation results for total land and buildings.</w:t>
      </w:r>
    </w:p>
    <w:p w14:paraId="55F8CD25" w14:textId="77777777" w:rsidR="001C5B45" w:rsidRDefault="001C5B45" w:rsidP="001C5B45">
      <w:pPr>
        <w:pStyle w:val="Heading6"/>
      </w:pPr>
      <w:r>
        <w:t>Specialised land</w:t>
      </w:r>
    </w:p>
    <w:p w14:paraId="6EAA0876" w14:textId="59E50CE2" w:rsidR="001C5B45" w:rsidRDefault="001C5B45" w:rsidP="001C5B45">
      <w:pPr>
        <w:pStyle w:val="BodyText"/>
      </w:pPr>
      <w:r>
        <w:t xml:space="preserve">The market approach is used for specialised land adjusted for the Community Service Obligation (CSO) to reflect the specialised nature of the land being valued. A </w:t>
      </w:r>
      <w:r w:rsidR="00DC0A06">
        <w:t>Community Service Obligation</w:t>
      </w:r>
      <w:r>
        <w:t xml:space="preserve"> adjustment is a reflection of the valuer’s assessment of the impact of restrictions associated with an asset to the extent that it is also equally applicable to market participants. This approach is in light of the highest and best use consideration required for fair value measurement, and takes into account the use of the asset that is physically possible, legally permissible and financially feasible. As adjustments of </w:t>
      </w:r>
      <w:r w:rsidR="00DC0A06">
        <w:t>Community Service Obligation</w:t>
      </w:r>
      <w:r>
        <w:t xml:space="preserve"> are considered as significant unobservable inputs, specialised land is classified as Level 3 assets.</w:t>
      </w:r>
    </w:p>
    <w:p w14:paraId="0A93DA76" w14:textId="34C882FE" w:rsidR="0076797F" w:rsidRDefault="001C5B45" w:rsidP="001C5B45">
      <w:pPr>
        <w:pStyle w:val="BodyText"/>
      </w:pPr>
      <w:r>
        <w:t>2020-21 was a formal valuation year under FRD 103I. The valuation was conducted by the VGV. The valuation resulted in a net pre-tax increase in value of $626.9 million for specialised and non-specialised land (2019-20: nil). This pre-tax increase in value was accounted for in revenue via net gain on revaluation of non-financial assets of $39.2 million (2019-20: nil) and increase in post-tax other comprehensive income of $530.8 million (2019-20: nil). The revaluation also resulted in an increase of $62.8 million in associated deferred tax liability.</w:t>
      </w:r>
    </w:p>
    <w:p w14:paraId="01AB2F0F" w14:textId="435C82B7" w:rsidR="000F549E" w:rsidRDefault="000F549E" w:rsidP="000F549E">
      <w:pPr>
        <w:pStyle w:val="BodyText"/>
      </w:pPr>
      <w:r>
        <w:t xml:space="preserve">Note: Total net land valuation increments and decrements of $626.9 million at note </w:t>
      </w:r>
      <w:r w:rsidR="00345013">
        <w:fldChar w:fldCharType="begin"/>
      </w:r>
      <w:r w:rsidR="00345013">
        <w:instrText xml:space="preserve"> REF Note411 \h </w:instrText>
      </w:r>
      <w:r w:rsidR="00345013">
        <w:fldChar w:fldCharType="separate"/>
      </w:r>
      <w:r w:rsidR="00472151">
        <w:t xml:space="preserve">4.1.1 </w:t>
      </w:r>
      <w:r w:rsidR="00345013">
        <w:fldChar w:fldCharType="end"/>
      </w:r>
      <w:r>
        <w:t xml:space="preserve">also include a $5.9 million reduction for </w:t>
      </w:r>
      <w:r w:rsidR="00DC0A06">
        <w:t>Community Service Obligation</w:t>
      </w:r>
      <w:r>
        <w:t xml:space="preserve"> discounts applied to land purchased during the year based on VGV valuation (2019-20: $3.2 million), which is recorded in other expenses in the Income Statement.</w:t>
      </w:r>
    </w:p>
    <w:p w14:paraId="77B76DE2" w14:textId="63AEE988" w:rsidR="000F549E" w:rsidRDefault="000F549E" w:rsidP="000F549E">
      <w:pPr>
        <w:pStyle w:val="BodyText"/>
      </w:pPr>
      <w:r>
        <w:t xml:space="preserve">The valuation methodology to assess each property’s land fair value involved an assessment of the unrestricted land value based on the existing or assumed underlying zoning, taking account of the individual property attributes. Then an assessment of the restrictions on the land due to being held by the public sector was made to consider if a </w:t>
      </w:r>
      <w:r w:rsidR="00DC0A06">
        <w:t>Community Service Obligation</w:t>
      </w:r>
      <w:r>
        <w:t xml:space="preserve"> was warranted. The level of the </w:t>
      </w:r>
      <w:r w:rsidR="00DC0A06">
        <w:t>Community Service Obligation</w:t>
      </w:r>
      <w:r>
        <w:t xml:space="preserve"> will depend on the perceived level of restriction and the risk associated with the removal of the restrictions, if at all possible. The property attributes considered in assessing the unrestricted value include, but are not limited to zoning and overlay(s), underlying zoning, location, land area, access, shape of the site, services available or connected and the highest and best use of the land.</w:t>
      </w:r>
    </w:p>
    <w:p w14:paraId="2D7EAF74" w14:textId="6A10F0AC" w:rsidR="000F549E" w:rsidRDefault="000F549E" w:rsidP="000F549E">
      <w:pPr>
        <w:pStyle w:val="BodyText"/>
      </w:pPr>
      <w:r>
        <w:t>The market that the assets (land and buildings) are valued in is being impacted by the uncertainty that the coronavirus (</w:t>
      </w:r>
      <w:r w:rsidR="0030196D">
        <w:t>COVID</w:t>
      </w:r>
      <w:r w:rsidR="0030196D">
        <w:noBreakHyphen/>
        <w:t>19</w:t>
      </w:r>
      <w:r>
        <w:t>) outbreak has caused. The current market environment, impacted by coronavirus (</w:t>
      </w:r>
      <w:r w:rsidR="0030196D">
        <w:t>COVID</w:t>
      </w:r>
      <w:r w:rsidR="0030196D">
        <w:noBreakHyphen/>
        <w:t>19</w:t>
      </w:r>
      <w:r>
        <w:t>), creates significant valuation uncertainty. The value assessed at the valuation date may therefore change over a relatively short time period.</w:t>
      </w:r>
    </w:p>
    <w:p w14:paraId="701DBEA5" w14:textId="77777777" w:rsidR="000F549E" w:rsidRDefault="000F549E" w:rsidP="000F549E">
      <w:pPr>
        <w:pStyle w:val="Heading6"/>
      </w:pPr>
      <w:r>
        <w:t>Specialised buildings</w:t>
      </w:r>
    </w:p>
    <w:p w14:paraId="13A38D17" w14:textId="1503BECF" w:rsidR="000F549E" w:rsidRDefault="000F549E" w:rsidP="000F549E">
      <w:pPr>
        <w:pStyle w:val="BodyText"/>
      </w:pPr>
      <w:r>
        <w:t>For the majority of the Corporation's specialised buildings, the depreciated replacement cost method is used adjusting for the associated depreciation. As depreciation adjustments are considered as significant, unobservable inputs in nature, specialised buildings are classified as Level 3 fair value measurements.</w:t>
      </w:r>
    </w:p>
    <w:p w14:paraId="344FBB76" w14:textId="15A0441D" w:rsidR="000F549E" w:rsidRDefault="000F549E" w:rsidP="000F549E">
      <w:pPr>
        <w:pStyle w:val="BodyText"/>
      </w:pPr>
      <w:r>
        <w:t>2020-21 was a formal valuation year under FRD 103I. The valuation was conducted by the VGV. The valuation resulted in a net pre-tax increase in value of $4.6 million for specialised and non-specialised buildings (2019-20: nil). This pre-tax increase in value was accounted for through an increase in post-tax other comprehensive income of $3.2 million (2019-20: nil). The revaluation also resulted in an increase of $1.4 million in associated deferred tax liability.</w:t>
      </w:r>
    </w:p>
    <w:p w14:paraId="61552625" w14:textId="26331F16" w:rsidR="000F549E" w:rsidRDefault="000F549E" w:rsidP="000F549E">
      <w:pPr>
        <w:pStyle w:val="BodyText"/>
      </w:pPr>
      <w:r>
        <w:lastRenderedPageBreak/>
        <w:t>The valuation methodology to assess the fair value of buildings was depreciated replacement cost (DRC) for specialised buildings and a market approach for non-specialised buildings. The DRC approach for specialised buildings involved assessing the cost of replacement of the assets to a 'modern equivalent' standard then adjusting for an appropriate depreciation rate, on a useful life basis after making adjustments for condition and general maintenance. The market approach for non-specialised buildings (that is, some of the residential buildings) was a market based direct comparison method whereby the subject properties are compared to recent comparable improved sales making adjustment for points of difference to establish the fair value.</w:t>
      </w:r>
    </w:p>
    <w:p w14:paraId="1AA531EF" w14:textId="77777777" w:rsidR="000F549E" w:rsidRDefault="000F549E" w:rsidP="000F549E">
      <w:pPr>
        <w:pStyle w:val="Heading6"/>
      </w:pPr>
      <w:r>
        <w:t>Leasehold improvements</w:t>
      </w:r>
    </w:p>
    <w:p w14:paraId="65B49A58" w14:textId="608BE424" w:rsidR="000F549E" w:rsidRDefault="000F549E" w:rsidP="000F549E">
      <w:pPr>
        <w:pStyle w:val="BodyText"/>
      </w:pPr>
      <w:r>
        <w:t>For leasehold improvements, fair value is determined using the depreciated replacement cost method. As depreciation adjustments are considered as significant, unobservable inputs in nature, leasehold improvements are classified as Level 3 fair value measurements.</w:t>
      </w:r>
    </w:p>
    <w:p w14:paraId="68B49C58" w14:textId="58AE0BA0" w:rsidR="000F549E" w:rsidRDefault="000F549E" w:rsidP="000F549E">
      <w:pPr>
        <w:pStyle w:val="BodyText"/>
      </w:pPr>
      <w:r>
        <w:t>2020-21 was a formal valuation year under FRD 103I. For leasehold improvements fair value is assessed through a managerial valuation. The valuation resulted in nil adjustments.</w:t>
      </w:r>
    </w:p>
    <w:p w14:paraId="73DEBE46" w14:textId="77777777" w:rsidR="000F549E" w:rsidRDefault="000F549E" w:rsidP="000F549E">
      <w:pPr>
        <w:pStyle w:val="Heading6"/>
      </w:pPr>
      <w:r>
        <w:t>Plant and equipment</w:t>
      </w:r>
    </w:p>
    <w:p w14:paraId="339FA249" w14:textId="423E17B6" w:rsidR="000F549E" w:rsidRDefault="000F549E" w:rsidP="000F549E">
      <w:pPr>
        <w:pStyle w:val="BodyText"/>
      </w:pPr>
      <w:r>
        <w:t>Plant and equipment is specialised in use, such that it is rarely sold, fair value is determined using the depreciated replacement cost method. As depreciation adjustments are considered as significant, unobservable inputs in nature, plant and equipment are classified as Level 3 fair value measurements.</w:t>
      </w:r>
    </w:p>
    <w:p w14:paraId="28219C1B" w14:textId="77777777" w:rsidR="000F549E" w:rsidRDefault="000F549E" w:rsidP="000F549E">
      <w:pPr>
        <w:pStyle w:val="BodyText"/>
      </w:pPr>
      <w:r>
        <w:t>2020-21 was a formal valuation year under FRD 103I. For plant and equipment fair value is assessed through a managerial valuation. The valuation resulted in nil adjustments.</w:t>
      </w:r>
    </w:p>
    <w:p w14:paraId="1B7E893C" w14:textId="76D0177A" w:rsidR="000F549E" w:rsidRDefault="000F549E" w:rsidP="000F549E">
      <w:pPr>
        <w:pStyle w:val="Heading6"/>
      </w:pPr>
      <w:r>
        <w:t>Fleet vehicles</w:t>
      </w:r>
    </w:p>
    <w:p w14:paraId="04086799" w14:textId="4EF30F4A" w:rsidR="000F549E" w:rsidRDefault="000F549E" w:rsidP="000F549E">
      <w:pPr>
        <w:pStyle w:val="BodyText"/>
      </w:pPr>
      <w:r>
        <w:t>Fleet vehicles are valued using appropriate market or other fair value indicators as determined by management. The Corporation acquires new vehicles and at times disposes of them before the end of their economic life. The process of acquisition, use and disposal in the market is managed by experienced fleet managers who set relevant depreciation rates during use to reflect the utilisation of the vehicles. As depreciation adjustments are considered as significant, unobservable inputs in nature, fleet vehicles are classified as Level 3 fair value measurements.</w:t>
      </w:r>
    </w:p>
    <w:p w14:paraId="4AB46455" w14:textId="77777777" w:rsidR="000F549E" w:rsidRDefault="000F549E" w:rsidP="000F549E">
      <w:pPr>
        <w:pStyle w:val="BodyText"/>
      </w:pPr>
      <w:r>
        <w:t>2020-21 was a formal valuation year under FRD 103I. For vehicles fair value is assessed through a managerial valuation. The valuation resulted in nil adjustments.</w:t>
      </w:r>
    </w:p>
    <w:p w14:paraId="4932F1A5" w14:textId="1C92E6FE" w:rsidR="000F549E" w:rsidRDefault="000F549E" w:rsidP="000F549E">
      <w:pPr>
        <w:pStyle w:val="Heading6"/>
      </w:pPr>
      <w:r>
        <w:t>Infrastructure</w:t>
      </w:r>
    </w:p>
    <w:p w14:paraId="61071093" w14:textId="52F8414D" w:rsidR="000F549E" w:rsidRDefault="000F549E" w:rsidP="000F549E">
      <w:pPr>
        <w:pStyle w:val="BodyText"/>
      </w:pPr>
      <w:r>
        <w:t>The fair value of infrastructure was assessed by an independent valuation as required under FRD 103I for 2020-21 as a formal revaluation year to determine the fair value of infrastructure assets. The income approach was used for the fair value assessment by discounting reliable estimates of the Corporation's future cash flows (projected forecast and terminal value) to their present value and arriving at an enterprise value range. A discounted tax amortisation benefit (TAB) is added to the enterprise value to represent the tax benefits available to a hypothetical purchaser in resetting the tax cost base. Non-infrastructure assets and liabilities (including Service Concession Asset and Liability) are deducted from the enterprise value range to obtain the infrastructure value.</w:t>
      </w:r>
    </w:p>
    <w:p w14:paraId="6E8EF363" w14:textId="48AF12BB" w:rsidR="000F549E" w:rsidRDefault="000F549E" w:rsidP="002B25DA">
      <w:pPr>
        <w:pStyle w:val="BodyText"/>
        <w:keepLines/>
      </w:pPr>
      <w:r>
        <w:lastRenderedPageBreak/>
        <w:t>In order to assess reasonableness of the enterprise valuation, cross checks are performed by comparing the earnings before interest, tax and depreciation/amortisation (EBITDA) and regulated asset value multiples implied by the value determined under the income approach against multiples implied by share prices at which comparable organisations are trading and recent transactions in comparable assets which have occurred. Such approaches are often referred to as market approaches or relative value approaches. Melbourne Water's policy is to use a midpoint valuation in assessing the fair value.</w:t>
      </w:r>
    </w:p>
    <w:p w14:paraId="107171CC" w14:textId="47C60A8E" w:rsidR="000F549E" w:rsidRDefault="000F549E" w:rsidP="000F549E">
      <w:pPr>
        <w:pStyle w:val="BodyText"/>
      </w:pPr>
      <w:r>
        <w:t>The valuation resulted in a net pre-tax increase in value of $90.6 million for infrastructure (2019-20: nil). This increase in value was accounted for through an increase in post-tax other comprehensive income of $63.4 million (2019-20: nil). The revaluation also resulted in an increase of $27.2 million in associated deferred tax liability.</w:t>
      </w:r>
    </w:p>
    <w:p w14:paraId="4C8A94AE" w14:textId="701C1DE2" w:rsidR="000F549E" w:rsidRDefault="000F549E" w:rsidP="000F549E">
      <w:pPr>
        <w:pStyle w:val="BodyText"/>
      </w:pPr>
      <w:r>
        <w:t>The significant assumptions used in determining fair value under the income approach at 30 June 2021 are summarised below:</w:t>
      </w:r>
    </w:p>
    <w:p w14:paraId="4861EFD8" w14:textId="6088CAA5" w:rsidR="000F549E" w:rsidRDefault="000F549E" w:rsidP="00C778D6">
      <w:pPr>
        <w:pStyle w:val="ListBullet"/>
      </w:pPr>
      <w:r>
        <w:t>Nominal after tax discount rate in the range of 4.2 per cent to 4.7 per cent (2019-20: 4.6 per cent to 5.3 per cent). The valuation was based on a mid point of 4.5 per cent (2019-20: 5.0 per cent). This represents the rate that market participants would expect to use in determining the fair market value of the Corporation after taking into account the market cost of debt and equity.</w:t>
      </w:r>
    </w:p>
    <w:p w14:paraId="6AC2421E" w14:textId="6D6E7D64" w:rsidR="000F549E" w:rsidRDefault="000F549E" w:rsidP="00C778D6">
      <w:pPr>
        <w:pStyle w:val="ListBullet"/>
      </w:pPr>
      <w:r>
        <w:t>Operating expenditure and revenue growth (excluding developer contributions) applied post initial five-year pricing period 3.0 per cent (2019-20: 3.0 per cent)</w:t>
      </w:r>
    </w:p>
    <w:p w14:paraId="029FE1FA" w14:textId="45F7D0C1" w:rsidR="000F549E" w:rsidRDefault="000F549E" w:rsidP="00C778D6">
      <w:pPr>
        <w:pStyle w:val="ListBullet"/>
      </w:pPr>
      <w:r>
        <w:t>Developer contributions growth at 2.5% (2019-20: 2.5 per cent) applied post initial five-year pricing</w:t>
      </w:r>
    </w:p>
    <w:p w14:paraId="6703F6D7" w14:textId="4B76288C" w:rsidR="000F549E" w:rsidRDefault="000F549E" w:rsidP="00C778D6">
      <w:pPr>
        <w:pStyle w:val="ListBullet"/>
      </w:pPr>
      <w:r>
        <w:t>Long-term growth rate of 3.25 per cent (2019-20: 3.25 per cent) – representing inflation and volume growth</w:t>
      </w:r>
    </w:p>
    <w:p w14:paraId="7A5B1E1D" w14:textId="443BA6A2" w:rsidR="000F549E" w:rsidRDefault="000F549E" w:rsidP="00C778D6">
      <w:pPr>
        <w:pStyle w:val="ListBullet"/>
      </w:pPr>
      <w:r>
        <w:t>A 10-year explicit cash flow projection period, with cash flows beyond the projection period reflected in the terminal value (2019-20: 10 years)</w:t>
      </w:r>
    </w:p>
    <w:p w14:paraId="38EC7060" w14:textId="2DAEC174" w:rsidR="000F549E" w:rsidRDefault="000F549E" w:rsidP="00C778D6">
      <w:pPr>
        <w:pStyle w:val="ListBullet"/>
      </w:pPr>
      <w:r>
        <w:t>Normalised terminal capex used for steady state $520.0 million (2019-20: $540.0 million).</w:t>
      </w:r>
    </w:p>
    <w:p w14:paraId="5176F0C4" w14:textId="2D9A156D" w:rsidR="000F549E" w:rsidRDefault="000F549E" w:rsidP="00C778D6">
      <w:pPr>
        <w:pStyle w:val="ListBullet"/>
      </w:pPr>
      <w:r>
        <w:t>The valuation considers climate change through forecast cash flows, growth and terminal capital expenditure assumptions (as noted above). While scenario planning is used to explore and help prepare for a wide range of potential future conditions</w:t>
      </w:r>
      <w:r w:rsidRPr="00C04CE1">
        <w:t xml:space="preserve">, there is a risk that the assumptions made may not reflect the actual impact of climate-related emerging risks in the future. Table </w:t>
      </w:r>
      <w:r w:rsidR="003742AD">
        <w:fldChar w:fldCharType="begin"/>
      </w:r>
      <w:r w:rsidR="003742AD">
        <w:instrText xml:space="preserve"> REF Note4123 \h </w:instrText>
      </w:r>
      <w:r w:rsidR="003742AD">
        <w:fldChar w:fldCharType="separate"/>
      </w:r>
      <w:r w:rsidR="00472151" w:rsidRPr="00C73893">
        <w:t xml:space="preserve">4.1.2.3 </w:t>
      </w:r>
      <w:r w:rsidR="003742AD">
        <w:fldChar w:fldCharType="end"/>
      </w:r>
      <w:r w:rsidRPr="00C04CE1">
        <w:t>highlights</w:t>
      </w:r>
      <w:r>
        <w:t xml:space="preserve"> sensitivity of fair value measurement to changes in these significant unobservable inputs</w:t>
      </w:r>
    </w:p>
    <w:p w14:paraId="18EE07B5" w14:textId="0EDED4FD" w:rsidR="000F549E" w:rsidRDefault="000F549E" w:rsidP="00C778D6">
      <w:pPr>
        <w:pStyle w:val="ListBullet"/>
      </w:pPr>
      <w:r>
        <w:t xml:space="preserve">Impacts from </w:t>
      </w:r>
      <w:r w:rsidR="0030196D">
        <w:t>COVID</w:t>
      </w:r>
      <w:r w:rsidR="0030196D">
        <w:noBreakHyphen/>
        <w:t>19</w:t>
      </w:r>
      <w:r>
        <w:t xml:space="preserve"> have been incorporated into the cashflow forecasts. The direct impacts are expected to be relatively minor. The extent and duration of future macroeconomic measures (such as GDP, inflation and interest rates) remain uncertain. As a result the inherent risk associated with the macroeconomic uncertainty has increased and is reflected in the discount rate.</w:t>
      </w:r>
    </w:p>
    <w:p w14:paraId="0CD6E49B" w14:textId="20846CFD" w:rsidR="00BE704F" w:rsidRDefault="00DC0A06" w:rsidP="00BE704F">
      <w:pPr>
        <w:pStyle w:val="Heading6"/>
      </w:pPr>
      <w:r>
        <w:t>Victorian Desalination Plant</w:t>
      </w:r>
      <w:r w:rsidR="00BE704F">
        <w:t xml:space="preserve"> service concession asset</w:t>
      </w:r>
    </w:p>
    <w:p w14:paraId="66E8D4F4" w14:textId="62A3788E" w:rsidR="00BE704F" w:rsidRDefault="00BE704F" w:rsidP="00BE704F">
      <w:pPr>
        <w:pStyle w:val="BodyText"/>
      </w:pPr>
      <w:r>
        <w:t xml:space="preserve">2020-21 is a formal revaluation year under FRD 103I. The </w:t>
      </w:r>
      <w:r w:rsidR="00DC0A06">
        <w:t>Victorian Desalination Plant</w:t>
      </w:r>
      <w:r>
        <w:t xml:space="preserve"> service concession asset is valued using the current replacement cost method under AASB 13, as required by </w:t>
      </w:r>
      <w:r w:rsidRPr="00BE704F">
        <w:rPr>
          <w:rStyle w:val="ItalicText"/>
        </w:rPr>
        <w:t>AASB 1059 Service Concession Arrangements: Grantors</w:t>
      </w:r>
      <w:r>
        <w:t xml:space="preserve"> and adjusted for the associated depreciation.</w:t>
      </w:r>
    </w:p>
    <w:p w14:paraId="0F1397EC" w14:textId="1B37D48E" w:rsidR="00BE704F" w:rsidRDefault="00BE704F" w:rsidP="00BE704F">
      <w:pPr>
        <w:pStyle w:val="BodyText"/>
      </w:pPr>
      <w:r>
        <w:t xml:space="preserve">The fair value of the </w:t>
      </w:r>
      <w:r w:rsidR="00DC0A06">
        <w:t>Victorian Desalination Plant</w:t>
      </w:r>
      <w:r>
        <w:t xml:space="preserve"> service concession asset was assessed by an independent external valuation as at 30 June 2021. The valuation resulted in a net pre-tax increase in value of $46.0 million (2019-20: nil). This pre-tax increase in value was accounted for through an increase in pre-tax other comprehensive income of $46.0 million (2019-20: nil). There is no deferred tax impact to the revaluation adjustment for the </w:t>
      </w:r>
      <w:r w:rsidR="00DC0A06">
        <w:t>Victorian Desalination Plant</w:t>
      </w:r>
      <w:r>
        <w:t>.</w:t>
      </w:r>
    </w:p>
    <w:p w14:paraId="28AB8FCF" w14:textId="48A60513" w:rsidR="00BE704F" w:rsidRDefault="00BE704F" w:rsidP="00BE704F">
      <w:pPr>
        <w:pStyle w:val="BodyText"/>
      </w:pPr>
      <w:r>
        <w:t xml:space="preserve">The </w:t>
      </w:r>
      <w:r w:rsidR="00DC0A06">
        <w:t>Victorian Desalination Plant</w:t>
      </w:r>
      <w:r>
        <w:t xml:space="preserve"> service concession asset is classified as level 3 fair value measurement as it contains significant unobservable inputs and adjustments.</w:t>
      </w:r>
    </w:p>
    <w:p w14:paraId="41E44E11" w14:textId="5E72B3FB" w:rsidR="00BE704F" w:rsidRDefault="00BE704F" w:rsidP="002B25DA">
      <w:pPr>
        <w:pStyle w:val="BodyText"/>
        <w:keepLines/>
      </w:pPr>
      <w:r>
        <w:lastRenderedPageBreak/>
        <w:t>The approach used by the external valuation expert to derive fair value was the cost approach under AASB 1059. This involved estimating the current cost to purchase or replace the assets (replacement costs new or RCN) – using a combination of direct and indirect methods with comparison to benchmarking analysis across different Australian desalination plants. The direct method (used for 45 per cent of the assets being the pipeline, building and civil infrastructure, and pumps) involved researching the current cost to replace an asset with a new one of equivalent functionality. The indirect method (used for the remaining 55 per cent of the assets) involved applying Australian Bureau of Statistics (ABS) equipment-specific inflation factors to historical costs. RCN was then depreciated using engineering lives to account for physical use and deterioration to arrive at a depreciated replacement cost. Benchmarking analysis concluded that the unit costs for similar desalination projects in Australia fall within a comparable range taking into account factors such as location, post treatment and construction year. Significant assumptions used in determining fair value include engineering useful lives and industry-specific inflation indices.</w:t>
      </w:r>
    </w:p>
    <w:p w14:paraId="113BDC93" w14:textId="23CBA43B" w:rsidR="00BE704F" w:rsidRDefault="00BE704F" w:rsidP="00BE704F">
      <w:pPr>
        <w:pStyle w:val="BodyText"/>
      </w:pPr>
      <w:r>
        <w:t>Additional scenario analysis has also been undertaken by the independent expert to assess the impact to fair value if the accounting useful lives and future life cycle costs (as per the Project Deed arrangements) were incorporated. The analysis supported that they were not materially different.</w:t>
      </w:r>
    </w:p>
    <w:p w14:paraId="57F1AE78" w14:textId="5B760270" w:rsidR="00BE704F" w:rsidRDefault="00BE704F" w:rsidP="00BE704F">
      <w:pPr>
        <w:pStyle w:val="BodyText"/>
      </w:pPr>
      <w:r>
        <w:t xml:space="preserve">The valuation is based on prevailing market, economic and other conditions as at the date of this report and corresponds with a period of recovery from the unprecedented social and community disruption as a result of </w:t>
      </w:r>
      <w:r w:rsidR="0030196D">
        <w:t>COVID</w:t>
      </w:r>
      <w:r w:rsidR="0030196D">
        <w:noBreakHyphen/>
        <w:t>19</w:t>
      </w:r>
      <w:r>
        <w:t xml:space="preserve"> and the economic stimulus and other measures implemented by governments to counter its spread. Equity markets have rebounded strongly from an initial period of volatility but significant uncertainty continues to exist. To the extent possible these conditions have been reflected in the valuation. However, any subsequent changes in these conditions on the global economy and financial markets generally, and the Corporation, could impact upon value in the future, either positively or negatively.</w:t>
      </w:r>
    </w:p>
    <w:p w14:paraId="6346C5AB" w14:textId="19FE08E6" w:rsidR="00C73893" w:rsidRDefault="00C73893" w:rsidP="00C73893">
      <w:pPr>
        <w:pStyle w:val="Heading5"/>
      </w:pPr>
      <w:bookmarkStart w:id="1015" w:name="Note4122"/>
      <w:r w:rsidRPr="00C73893">
        <w:t>4.1.2.</w:t>
      </w:r>
      <w:r>
        <w:t>2</w:t>
      </w:r>
      <w:r w:rsidR="001231AD">
        <w:t xml:space="preserve"> </w:t>
      </w:r>
      <w:bookmarkEnd w:id="1015"/>
      <w:r w:rsidR="001231AD">
        <w:t>Net gain on revaluation of non-financial assets</w:t>
      </w:r>
    </w:p>
    <w:tbl>
      <w:tblPr>
        <w:tblStyle w:val="Style1"/>
        <w:tblW w:w="5000" w:type="pct"/>
        <w:tblLook w:val="04A0" w:firstRow="1" w:lastRow="0" w:firstColumn="1" w:lastColumn="0" w:noHBand="0" w:noVBand="1"/>
      </w:tblPr>
      <w:tblGrid>
        <w:gridCol w:w="6522"/>
        <w:gridCol w:w="1558"/>
        <w:gridCol w:w="1551"/>
      </w:tblGrid>
      <w:tr w:rsidR="00C73893" w:rsidRPr="00C04CE1" w14:paraId="7F92558D"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tcBorders>
            <w:vAlign w:val="bottom"/>
          </w:tcPr>
          <w:p w14:paraId="2883E536" w14:textId="77777777" w:rsidR="00C73893" w:rsidRPr="00C04CE1" w:rsidRDefault="00C73893" w:rsidP="00C04CE1">
            <w:bookmarkStart w:id="1016" w:name="ColumnTitle_68"/>
            <w:r w:rsidRPr="00C04CE1">
              <w:t>Item</w:t>
            </w:r>
          </w:p>
        </w:tc>
        <w:tc>
          <w:tcPr>
            <w:tcW w:w="809" w:type="pct"/>
            <w:tcBorders>
              <w:top w:val="single" w:sz="4" w:space="0" w:color="auto"/>
            </w:tcBorders>
            <w:vAlign w:val="bottom"/>
          </w:tcPr>
          <w:p w14:paraId="23F5F10C" w14:textId="77777777" w:rsidR="00C73893" w:rsidRPr="00C04CE1" w:rsidRDefault="00C73893" w:rsidP="00C04CE1">
            <w:pPr>
              <w:cnfStyle w:val="100000000000" w:firstRow="1" w:lastRow="0" w:firstColumn="0" w:lastColumn="0" w:oddVBand="0" w:evenVBand="0" w:oddHBand="0" w:evenHBand="0" w:firstRowFirstColumn="0" w:firstRowLastColumn="0" w:lastRowFirstColumn="0" w:lastRowLastColumn="0"/>
            </w:pPr>
            <w:r w:rsidRPr="00C04CE1">
              <w:t>2021</w:t>
            </w:r>
          </w:p>
          <w:p w14:paraId="36FC5A73" w14:textId="21067004" w:rsidR="00C73893" w:rsidRPr="00C04CE1" w:rsidRDefault="00C73893" w:rsidP="00C04CE1">
            <w:pPr>
              <w:cnfStyle w:val="100000000000" w:firstRow="1" w:lastRow="0" w:firstColumn="0" w:lastColumn="0" w:oddVBand="0" w:evenVBand="0" w:oddHBand="0" w:evenHBand="0" w:firstRowFirstColumn="0" w:firstRowLastColumn="0" w:lastRowFirstColumn="0" w:lastRowLastColumn="0"/>
            </w:pPr>
            <w:r w:rsidRPr="00C04CE1">
              <w:t>($ thousands)</w:t>
            </w:r>
          </w:p>
        </w:tc>
        <w:tc>
          <w:tcPr>
            <w:tcW w:w="805" w:type="pct"/>
            <w:tcBorders>
              <w:top w:val="single" w:sz="4" w:space="0" w:color="auto"/>
            </w:tcBorders>
            <w:vAlign w:val="bottom"/>
          </w:tcPr>
          <w:p w14:paraId="50E66BD4" w14:textId="77777777" w:rsidR="00C73893" w:rsidRPr="00C04CE1" w:rsidRDefault="00C73893" w:rsidP="00C04CE1">
            <w:pPr>
              <w:cnfStyle w:val="100000000000" w:firstRow="1" w:lastRow="0" w:firstColumn="0" w:lastColumn="0" w:oddVBand="0" w:evenVBand="0" w:oddHBand="0" w:evenHBand="0" w:firstRowFirstColumn="0" w:firstRowLastColumn="0" w:lastRowFirstColumn="0" w:lastRowLastColumn="0"/>
            </w:pPr>
            <w:r w:rsidRPr="00C04CE1">
              <w:t>2020</w:t>
            </w:r>
          </w:p>
          <w:p w14:paraId="1C8042E0" w14:textId="1283AE5F" w:rsidR="00C73893" w:rsidRPr="00C04CE1" w:rsidRDefault="00C73893" w:rsidP="00C04CE1">
            <w:pPr>
              <w:cnfStyle w:val="100000000000" w:firstRow="1" w:lastRow="0" w:firstColumn="0" w:lastColumn="0" w:oddVBand="0" w:evenVBand="0" w:oddHBand="0" w:evenHBand="0" w:firstRowFirstColumn="0" w:firstRowLastColumn="0" w:lastRowFirstColumn="0" w:lastRowLastColumn="0"/>
            </w:pPr>
            <w:r w:rsidRPr="00C04CE1">
              <w:t>($ thousands)</w:t>
            </w:r>
          </w:p>
        </w:tc>
      </w:tr>
      <w:bookmarkEnd w:id="1016"/>
      <w:tr w:rsidR="00C73893" w:rsidRPr="0076797F" w14:paraId="079EA8B6" w14:textId="77777777" w:rsidTr="00C73893">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bottom w:val="single" w:sz="4" w:space="0" w:color="auto"/>
            </w:tcBorders>
            <w:vAlign w:val="top"/>
          </w:tcPr>
          <w:p w14:paraId="2BE8FBAF" w14:textId="5E006551" w:rsidR="00C73893" w:rsidRPr="0076797F" w:rsidRDefault="00C73893" w:rsidP="00C04CE1">
            <w:pPr>
              <w:pStyle w:val="TableBodyText"/>
            </w:pPr>
            <w:r>
              <w:t>Net gain on revaluation of non-financial assets (land)</w:t>
            </w:r>
          </w:p>
        </w:tc>
        <w:tc>
          <w:tcPr>
            <w:tcW w:w="809" w:type="pct"/>
            <w:tcBorders>
              <w:top w:val="single" w:sz="4" w:space="0" w:color="auto"/>
              <w:bottom w:val="single" w:sz="4" w:space="0" w:color="auto"/>
            </w:tcBorders>
            <w:vAlign w:val="top"/>
          </w:tcPr>
          <w:p w14:paraId="1CE8A760" w14:textId="3058896F" w:rsidR="00C73893" w:rsidRPr="0076797F" w:rsidRDefault="00C73893" w:rsidP="00C04CE1">
            <w:pPr>
              <w:pStyle w:val="TableBodyText"/>
              <w:cnfStyle w:val="000000000000" w:firstRow="0" w:lastRow="0" w:firstColumn="0" w:lastColumn="0" w:oddVBand="0" w:evenVBand="0" w:oddHBand="0" w:evenHBand="0" w:firstRowFirstColumn="0" w:firstRowLastColumn="0" w:lastRowFirstColumn="0" w:lastRowLastColumn="0"/>
            </w:pPr>
            <w:r>
              <w:t>39,219</w:t>
            </w:r>
          </w:p>
        </w:tc>
        <w:tc>
          <w:tcPr>
            <w:tcW w:w="805" w:type="pct"/>
            <w:tcBorders>
              <w:top w:val="single" w:sz="4" w:space="0" w:color="auto"/>
              <w:bottom w:val="single" w:sz="4" w:space="0" w:color="auto"/>
            </w:tcBorders>
            <w:vAlign w:val="top"/>
          </w:tcPr>
          <w:p w14:paraId="2469BDAF" w14:textId="06889B23" w:rsidR="00C73893" w:rsidRPr="0076797F" w:rsidRDefault="00C73893" w:rsidP="00C04CE1">
            <w:pPr>
              <w:pStyle w:val="TableBodyText"/>
              <w:cnfStyle w:val="000000000000" w:firstRow="0" w:lastRow="0" w:firstColumn="0" w:lastColumn="0" w:oddVBand="0" w:evenVBand="0" w:oddHBand="0" w:evenHBand="0" w:firstRowFirstColumn="0" w:firstRowLastColumn="0" w:lastRowFirstColumn="0" w:lastRowLastColumn="0"/>
            </w:pPr>
            <w:r>
              <w:t>N/A</w:t>
            </w:r>
          </w:p>
        </w:tc>
      </w:tr>
    </w:tbl>
    <w:p w14:paraId="20C6EE68" w14:textId="2BAEAFEA" w:rsidR="000F549E" w:rsidRDefault="00C73893" w:rsidP="00C73893">
      <w:pPr>
        <w:pStyle w:val="BodyText"/>
      </w:pPr>
      <w:r>
        <w:t>Net gain on revaluation of non-financial assets relates to revaluation increments/decrements recognised through profit and loss for land and buildings. Revaluation decrements are initially recognised through profit and loss as expenses to the extent that they exceed the balance, if any, held in the asset revaluation reserve relating to a previous revaluation of that asset. Valuation increments that result in reversals of previous profit and loss decreases are credited to the profit and loss.</w:t>
      </w:r>
    </w:p>
    <w:p w14:paraId="679F6259" w14:textId="182E1ADA" w:rsidR="00C73893" w:rsidRDefault="00C73893" w:rsidP="002B25DA">
      <w:pPr>
        <w:pStyle w:val="Heading5"/>
        <w:keepNext/>
        <w:keepLines/>
      </w:pPr>
      <w:bookmarkStart w:id="1017" w:name="Note4123"/>
      <w:r w:rsidRPr="00C73893">
        <w:lastRenderedPageBreak/>
        <w:t xml:space="preserve">4.1.2.3 </w:t>
      </w:r>
      <w:bookmarkEnd w:id="1017"/>
      <w:r w:rsidRPr="00C73893">
        <w:t>Description of significant unobservable inputs to Level 3 valuations</w:t>
      </w:r>
    </w:p>
    <w:tbl>
      <w:tblPr>
        <w:tblStyle w:val="TableGrid"/>
        <w:tblW w:w="5000" w:type="pct"/>
        <w:tblLook w:val="04A0" w:firstRow="1" w:lastRow="0" w:firstColumn="1" w:lastColumn="0" w:noHBand="0" w:noVBand="1"/>
      </w:tblPr>
      <w:tblGrid>
        <w:gridCol w:w="1268"/>
        <w:gridCol w:w="1272"/>
        <w:gridCol w:w="1305"/>
        <w:gridCol w:w="1400"/>
        <w:gridCol w:w="1275"/>
        <w:gridCol w:w="3111"/>
      </w:tblGrid>
      <w:tr w:rsidR="001231AD" w:rsidRPr="0076797F" w14:paraId="31339E31" w14:textId="6B2F7565" w:rsidTr="00A54B77">
        <w:trPr>
          <w:cnfStyle w:val="100000000000" w:firstRow="1" w:lastRow="0" w:firstColumn="0" w:lastColumn="0" w:oddVBand="0" w:evenVBand="0" w:oddHBand="0" w:evenHBand="0" w:firstRowFirstColumn="0" w:firstRowLastColumn="0" w:lastRowFirstColumn="0" w:lastRowLastColumn="0"/>
          <w:tblHeader/>
        </w:trPr>
        <w:tc>
          <w:tcPr>
            <w:tcW w:w="658" w:type="pct"/>
            <w:vAlign w:val="bottom"/>
          </w:tcPr>
          <w:p w14:paraId="6D01BB0C" w14:textId="62E86E33" w:rsidR="001231AD" w:rsidRDefault="001231AD" w:rsidP="002B25DA">
            <w:pPr>
              <w:pStyle w:val="TableBodyText"/>
              <w:keepNext/>
              <w:keepLines/>
              <w:rPr>
                <w:b w:val="0"/>
              </w:rPr>
            </w:pPr>
            <w:bookmarkStart w:id="1018" w:name="ColumnTitle_69"/>
            <w:r>
              <w:t>Asset</w:t>
            </w:r>
            <w:r w:rsidR="00672392">
              <w:t xml:space="preserve"> </w:t>
            </w:r>
            <w:r w:rsidR="00904E7C">
              <w:t>c</w:t>
            </w:r>
            <w:r>
              <w:t>ategory</w:t>
            </w:r>
          </w:p>
          <w:p w14:paraId="77E4520D" w14:textId="55257660" w:rsidR="001231AD" w:rsidRPr="001231AD" w:rsidRDefault="001231AD" w:rsidP="002B25DA">
            <w:pPr>
              <w:pStyle w:val="TableBodyText"/>
              <w:keepNext/>
              <w:keepLines/>
              <w:rPr>
                <w:b w:val="0"/>
              </w:rPr>
            </w:pPr>
            <w:r>
              <w:t>2020</w:t>
            </w:r>
            <w:r w:rsidR="00672392">
              <w:t xml:space="preserve"> </w:t>
            </w:r>
            <w:r w:rsidR="00904E7C">
              <w:t>a</w:t>
            </w:r>
            <w:r>
              <w:t>nd 2021</w:t>
            </w:r>
          </w:p>
        </w:tc>
        <w:tc>
          <w:tcPr>
            <w:tcW w:w="660" w:type="pct"/>
            <w:vAlign w:val="bottom"/>
          </w:tcPr>
          <w:p w14:paraId="7C9E678D" w14:textId="626C64F8" w:rsidR="001231AD" w:rsidRDefault="001231AD" w:rsidP="002B25DA">
            <w:pPr>
              <w:pStyle w:val="TableBodyText"/>
              <w:keepNext/>
              <w:keepLines/>
              <w:rPr>
                <w:b w:val="0"/>
              </w:rPr>
            </w:pPr>
            <w:r>
              <w:t>Valuation</w:t>
            </w:r>
            <w:r w:rsidR="00672392">
              <w:t xml:space="preserve"> </w:t>
            </w:r>
            <w:r w:rsidR="00904E7C">
              <w:t>t</w:t>
            </w:r>
            <w:r>
              <w:t>echnique</w:t>
            </w:r>
          </w:p>
          <w:p w14:paraId="10A0FFF0" w14:textId="28C77E8D" w:rsidR="001231AD" w:rsidRPr="0076797F" w:rsidRDefault="001231AD" w:rsidP="002B25DA">
            <w:pPr>
              <w:pStyle w:val="TableBodyText"/>
              <w:keepNext/>
              <w:keepLines/>
            </w:pPr>
            <w:r>
              <w:t>2020</w:t>
            </w:r>
            <w:r w:rsidR="00672392">
              <w:t xml:space="preserve"> </w:t>
            </w:r>
            <w:r w:rsidR="00904E7C">
              <w:t>a</w:t>
            </w:r>
            <w:r>
              <w:t>nd 2021</w:t>
            </w:r>
          </w:p>
        </w:tc>
        <w:tc>
          <w:tcPr>
            <w:tcW w:w="677" w:type="pct"/>
            <w:vAlign w:val="bottom"/>
          </w:tcPr>
          <w:p w14:paraId="62947CF1" w14:textId="075CCD90" w:rsidR="001231AD" w:rsidRDefault="001231AD" w:rsidP="002B25DA">
            <w:pPr>
              <w:pStyle w:val="TableBodyText"/>
              <w:keepNext/>
              <w:keepLines/>
              <w:rPr>
                <w:b w:val="0"/>
              </w:rPr>
            </w:pPr>
            <w:r>
              <w:t>Significant</w:t>
            </w:r>
            <w:r w:rsidR="00672392">
              <w:t xml:space="preserve"> </w:t>
            </w:r>
            <w:r w:rsidR="00904E7C">
              <w:t>u</w:t>
            </w:r>
            <w:r>
              <w:t>nobservable</w:t>
            </w:r>
            <w:r w:rsidR="00672392">
              <w:t xml:space="preserve"> </w:t>
            </w:r>
            <w:r w:rsidR="00904E7C">
              <w:t>i</w:t>
            </w:r>
            <w:r>
              <w:t>nputs</w:t>
            </w:r>
          </w:p>
          <w:p w14:paraId="4F05DFAA" w14:textId="088D9BB7" w:rsidR="001231AD" w:rsidRPr="001C5B45" w:rsidRDefault="001231AD" w:rsidP="002B25DA">
            <w:pPr>
              <w:pStyle w:val="TableBodyText"/>
              <w:keepNext/>
              <w:keepLines/>
              <w:rPr>
                <w:b w:val="0"/>
              </w:rPr>
            </w:pPr>
            <w:r>
              <w:t>2020</w:t>
            </w:r>
            <w:r w:rsidR="00672392">
              <w:t xml:space="preserve"> </w:t>
            </w:r>
            <w:r w:rsidR="00904E7C">
              <w:t>a</w:t>
            </w:r>
            <w:r>
              <w:t>nd 2021</w:t>
            </w:r>
          </w:p>
        </w:tc>
        <w:tc>
          <w:tcPr>
            <w:tcW w:w="727" w:type="pct"/>
            <w:vAlign w:val="bottom"/>
          </w:tcPr>
          <w:p w14:paraId="7C99A7EC" w14:textId="0168627F" w:rsidR="001231AD" w:rsidRDefault="001231AD" w:rsidP="002B25DA">
            <w:pPr>
              <w:pStyle w:val="TableBodyText"/>
              <w:keepNext/>
              <w:keepLines/>
              <w:rPr>
                <w:b w:val="0"/>
              </w:rPr>
            </w:pPr>
            <w:r>
              <w:t>Range</w:t>
            </w:r>
            <w:r w:rsidR="00672392">
              <w:t xml:space="preserve">/ </w:t>
            </w:r>
            <w:r w:rsidR="00904E7C">
              <w:t>w</w:t>
            </w:r>
            <w:r>
              <w:t>eighted</w:t>
            </w:r>
            <w:r w:rsidR="00672392">
              <w:t xml:space="preserve"> </w:t>
            </w:r>
            <w:r w:rsidR="00904E7C">
              <w:t>a</w:t>
            </w:r>
            <w:r>
              <w:t>verage</w:t>
            </w:r>
          </w:p>
          <w:p w14:paraId="346F8C60" w14:textId="7221FAF9" w:rsidR="001231AD" w:rsidRPr="0076797F" w:rsidRDefault="001231AD" w:rsidP="002B25DA">
            <w:pPr>
              <w:pStyle w:val="TableBodyText"/>
              <w:keepNext/>
              <w:keepLines/>
            </w:pPr>
            <w:r>
              <w:t>2021</w:t>
            </w:r>
          </w:p>
        </w:tc>
        <w:tc>
          <w:tcPr>
            <w:tcW w:w="662" w:type="pct"/>
            <w:vAlign w:val="bottom"/>
          </w:tcPr>
          <w:p w14:paraId="4F5B5C43" w14:textId="2E08FBC6" w:rsidR="001231AD" w:rsidRDefault="001231AD" w:rsidP="002B25DA">
            <w:pPr>
              <w:pStyle w:val="TableBodyText"/>
              <w:keepNext/>
              <w:keepLines/>
              <w:rPr>
                <w:b w:val="0"/>
              </w:rPr>
            </w:pPr>
            <w:r>
              <w:t>Range/</w:t>
            </w:r>
            <w:r w:rsidR="00672392">
              <w:t xml:space="preserve"> </w:t>
            </w:r>
            <w:r w:rsidR="00904E7C">
              <w:t>w</w:t>
            </w:r>
            <w:r>
              <w:t>eighted</w:t>
            </w:r>
            <w:r w:rsidR="00672392">
              <w:t xml:space="preserve"> </w:t>
            </w:r>
            <w:r w:rsidR="00904E7C">
              <w:t>a</w:t>
            </w:r>
            <w:r>
              <w:t>verage</w:t>
            </w:r>
          </w:p>
          <w:p w14:paraId="4719508A" w14:textId="2915E645" w:rsidR="001231AD" w:rsidRPr="0076797F" w:rsidRDefault="001231AD" w:rsidP="002B25DA">
            <w:pPr>
              <w:pStyle w:val="TableBodyText"/>
              <w:keepNext/>
              <w:keepLines/>
            </w:pPr>
            <w:r>
              <w:t>2020</w:t>
            </w:r>
          </w:p>
        </w:tc>
        <w:tc>
          <w:tcPr>
            <w:tcW w:w="1615" w:type="pct"/>
            <w:vAlign w:val="bottom"/>
          </w:tcPr>
          <w:p w14:paraId="2AC5992C" w14:textId="47F4D30C" w:rsidR="001231AD" w:rsidRDefault="001231AD" w:rsidP="002B25DA">
            <w:pPr>
              <w:pStyle w:val="TableBodyText"/>
              <w:keepNext/>
              <w:keepLines/>
              <w:rPr>
                <w:b w:val="0"/>
              </w:rPr>
            </w:pPr>
            <w:r w:rsidRPr="001231AD">
              <w:t>Sensitivity of fair value</w:t>
            </w:r>
            <w:r w:rsidR="00672392">
              <w:t xml:space="preserve"> </w:t>
            </w:r>
            <w:r w:rsidRPr="001231AD">
              <w:t>measurement to</w:t>
            </w:r>
            <w:r>
              <w:t xml:space="preserve"> </w:t>
            </w:r>
            <w:r w:rsidRPr="001231AD">
              <w:t>changes in</w:t>
            </w:r>
            <w:r w:rsidR="00672392">
              <w:t xml:space="preserve"> </w:t>
            </w:r>
            <w:r w:rsidRPr="001231AD">
              <w:t>significant unobservable inputs</w:t>
            </w:r>
          </w:p>
          <w:p w14:paraId="16B79223" w14:textId="6C9A2DFC" w:rsidR="001231AD" w:rsidRDefault="001231AD" w:rsidP="002B25DA">
            <w:pPr>
              <w:pStyle w:val="TableBodyText"/>
              <w:keepNext/>
              <w:keepLines/>
            </w:pPr>
            <w:r w:rsidRPr="001231AD">
              <w:t>2020</w:t>
            </w:r>
            <w:r>
              <w:t xml:space="preserve"> </w:t>
            </w:r>
            <w:r w:rsidRPr="001231AD">
              <w:t>and 2021</w:t>
            </w:r>
          </w:p>
        </w:tc>
      </w:tr>
      <w:bookmarkEnd w:id="1018"/>
      <w:tr w:rsidR="001231AD" w:rsidRPr="0076797F" w14:paraId="2D6E7C62" w14:textId="6073EACC" w:rsidTr="001231AD">
        <w:tc>
          <w:tcPr>
            <w:tcW w:w="658" w:type="pct"/>
          </w:tcPr>
          <w:p w14:paraId="24489266" w14:textId="4DE6632D" w:rsidR="001231AD" w:rsidRPr="0076797F" w:rsidRDefault="001231AD" w:rsidP="00DD30CD">
            <w:pPr>
              <w:pStyle w:val="TableBodyText"/>
              <w:keepNext/>
              <w:keepLines/>
              <w:spacing w:line="233" w:lineRule="auto"/>
            </w:pPr>
            <w:r>
              <w:t>Specialised land</w:t>
            </w:r>
          </w:p>
        </w:tc>
        <w:tc>
          <w:tcPr>
            <w:tcW w:w="660" w:type="pct"/>
          </w:tcPr>
          <w:p w14:paraId="0F25094E" w14:textId="71F8E314" w:rsidR="001231AD" w:rsidRPr="0076797F" w:rsidRDefault="001231AD" w:rsidP="00DD30CD">
            <w:pPr>
              <w:pStyle w:val="TableBodyText"/>
              <w:keepNext/>
              <w:keepLines/>
              <w:spacing w:line="233" w:lineRule="auto"/>
            </w:pPr>
            <w:r>
              <w:t>Market approach</w:t>
            </w:r>
          </w:p>
        </w:tc>
        <w:tc>
          <w:tcPr>
            <w:tcW w:w="677" w:type="pct"/>
          </w:tcPr>
          <w:p w14:paraId="1AE2BC4C" w14:textId="3386A778" w:rsidR="001231AD" w:rsidRPr="0076797F" w:rsidRDefault="001231AD" w:rsidP="00DD30CD">
            <w:pPr>
              <w:pStyle w:val="TableBodyText"/>
              <w:keepNext/>
              <w:keepLines/>
              <w:spacing w:line="233" w:lineRule="auto"/>
            </w:pPr>
            <w:r w:rsidRPr="001231AD">
              <w:t>Community</w:t>
            </w:r>
            <w:r>
              <w:t xml:space="preserve"> </w:t>
            </w:r>
            <w:r w:rsidRPr="001231AD">
              <w:t>Service</w:t>
            </w:r>
            <w:r>
              <w:t xml:space="preserve"> </w:t>
            </w:r>
            <w:r w:rsidRPr="001231AD">
              <w:t>Obligation</w:t>
            </w:r>
            <w:r>
              <w:t xml:space="preserve"> </w:t>
            </w:r>
            <w:r w:rsidRPr="001231AD">
              <w:t>(CSO)</w:t>
            </w:r>
            <w:r>
              <w:t xml:space="preserve"> </w:t>
            </w:r>
            <w:r w:rsidRPr="001231AD">
              <w:t>adjustment</w:t>
            </w:r>
          </w:p>
        </w:tc>
        <w:tc>
          <w:tcPr>
            <w:tcW w:w="727" w:type="pct"/>
          </w:tcPr>
          <w:p w14:paraId="075E639D" w14:textId="6FC48464" w:rsidR="001231AD" w:rsidRPr="0076797F" w:rsidRDefault="00DA16FA" w:rsidP="00DD30CD">
            <w:pPr>
              <w:pStyle w:val="TableBodyText"/>
              <w:keepNext/>
              <w:keepLines/>
              <w:spacing w:line="233" w:lineRule="auto"/>
            </w:pPr>
            <w:r w:rsidRPr="00DA16FA">
              <w:t>20-70% (45% weighted</w:t>
            </w:r>
            <w:r>
              <w:t xml:space="preserve"> </w:t>
            </w:r>
            <w:r w:rsidRPr="00DA16FA">
              <w:t>average)</w:t>
            </w:r>
          </w:p>
        </w:tc>
        <w:tc>
          <w:tcPr>
            <w:tcW w:w="662" w:type="pct"/>
          </w:tcPr>
          <w:p w14:paraId="4B2033C2" w14:textId="2E84CBDE" w:rsidR="001231AD" w:rsidRPr="0076797F" w:rsidRDefault="00D31D95" w:rsidP="00DD30CD">
            <w:pPr>
              <w:pStyle w:val="TableBodyText"/>
              <w:keepNext/>
              <w:keepLines/>
              <w:spacing w:line="233" w:lineRule="auto"/>
            </w:pPr>
            <w:r w:rsidRPr="00DA16FA">
              <w:t>20-90% (47% weighted</w:t>
            </w:r>
            <w:r>
              <w:t xml:space="preserve"> </w:t>
            </w:r>
            <w:r w:rsidRPr="00DA16FA">
              <w:t>average)</w:t>
            </w:r>
          </w:p>
        </w:tc>
        <w:tc>
          <w:tcPr>
            <w:tcW w:w="1615" w:type="pct"/>
          </w:tcPr>
          <w:p w14:paraId="5A037D9B" w14:textId="24A32746" w:rsidR="001231AD" w:rsidRDefault="00D31D95" w:rsidP="00DD30CD">
            <w:pPr>
              <w:pStyle w:val="TableBodyText"/>
              <w:keepNext/>
              <w:keepLines/>
              <w:spacing w:line="233" w:lineRule="auto"/>
            </w:pPr>
            <w:r w:rsidRPr="00D31D95">
              <w:t xml:space="preserve">A significant increase or decrease in the </w:t>
            </w:r>
            <w:r w:rsidR="00DC0A06">
              <w:t>Community Service Obligation</w:t>
            </w:r>
            <w:r w:rsidRPr="00D31D95">
              <w:t xml:space="preserve"> adjustment</w:t>
            </w:r>
            <w:r>
              <w:t xml:space="preserve"> </w:t>
            </w:r>
            <w:r w:rsidRPr="00D31D95">
              <w:t>would result in a significantly lower or higher fair value</w:t>
            </w:r>
          </w:p>
        </w:tc>
      </w:tr>
      <w:tr w:rsidR="006F2B61" w:rsidRPr="0076797F" w14:paraId="39A2EA6E" w14:textId="7ABAB3B9" w:rsidTr="001231AD">
        <w:tc>
          <w:tcPr>
            <w:tcW w:w="658" w:type="pct"/>
          </w:tcPr>
          <w:p w14:paraId="02A68C74" w14:textId="192AD5CE" w:rsidR="006F2B61" w:rsidRPr="0076797F" w:rsidRDefault="006F2B61" w:rsidP="00DD30CD">
            <w:pPr>
              <w:pStyle w:val="TableBodyText"/>
              <w:keepNext/>
              <w:keepLines/>
              <w:spacing w:line="233" w:lineRule="auto"/>
            </w:pPr>
            <w:r>
              <w:t>Specialised buildings</w:t>
            </w:r>
          </w:p>
        </w:tc>
        <w:tc>
          <w:tcPr>
            <w:tcW w:w="660" w:type="pct"/>
          </w:tcPr>
          <w:p w14:paraId="4A66F13E" w14:textId="72429188" w:rsidR="006F2B61" w:rsidRPr="0076797F" w:rsidRDefault="006F2B61" w:rsidP="00DD30CD">
            <w:pPr>
              <w:pStyle w:val="TableBodyText"/>
              <w:keepNext/>
              <w:keepLines/>
              <w:spacing w:line="233" w:lineRule="auto"/>
            </w:pPr>
            <w:r>
              <w:t>Depreciated replacement cost</w:t>
            </w:r>
          </w:p>
        </w:tc>
        <w:tc>
          <w:tcPr>
            <w:tcW w:w="677" w:type="pct"/>
          </w:tcPr>
          <w:p w14:paraId="6A41ACB8" w14:textId="580F5D08" w:rsidR="006F2B61" w:rsidRPr="0076797F" w:rsidRDefault="006F2B61" w:rsidP="00DD30CD">
            <w:pPr>
              <w:pStyle w:val="TableBodyText"/>
              <w:keepNext/>
              <w:keepLines/>
              <w:spacing w:line="233" w:lineRule="auto"/>
            </w:pPr>
            <w:r w:rsidRPr="001231AD">
              <w:t>Direct cost per</w:t>
            </w:r>
            <w:r>
              <w:t xml:space="preserve"> </w:t>
            </w:r>
            <w:r w:rsidRPr="001231AD">
              <w:t>square metre</w:t>
            </w:r>
          </w:p>
        </w:tc>
        <w:tc>
          <w:tcPr>
            <w:tcW w:w="727" w:type="pct"/>
          </w:tcPr>
          <w:p w14:paraId="748BED7A" w14:textId="55F2DC7F" w:rsidR="006F2B61" w:rsidRPr="0076797F" w:rsidRDefault="006F2B61" w:rsidP="00DD30CD">
            <w:pPr>
              <w:pStyle w:val="TableBodyText"/>
              <w:keepNext/>
              <w:keepLines/>
              <w:spacing w:line="233" w:lineRule="auto"/>
            </w:pPr>
            <w:r w:rsidRPr="00DA16FA">
              <w:t>$27-$10,000</w:t>
            </w:r>
          </w:p>
        </w:tc>
        <w:tc>
          <w:tcPr>
            <w:tcW w:w="662" w:type="pct"/>
          </w:tcPr>
          <w:p w14:paraId="37224AF8" w14:textId="44A67354" w:rsidR="006F2B61" w:rsidRPr="0076797F" w:rsidRDefault="006F2B61" w:rsidP="00DD30CD">
            <w:pPr>
              <w:pStyle w:val="TableBodyText"/>
              <w:keepNext/>
              <w:keepLines/>
              <w:spacing w:line="233" w:lineRule="auto"/>
            </w:pPr>
            <w:r w:rsidRPr="00DA16FA">
              <w:t>$5-$8,500</w:t>
            </w:r>
          </w:p>
        </w:tc>
        <w:tc>
          <w:tcPr>
            <w:tcW w:w="1615" w:type="pct"/>
          </w:tcPr>
          <w:p w14:paraId="678DAB34" w14:textId="4A646A51" w:rsidR="006F2B61" w:rsidRDefault="006F2B61" w:rsidP="00DD30CD">
            <w:pPr>
              <w:pStyle w:val="TableBodyText"/>
              <w:keepNext/>
              <w:keepLines/>
              <w:spacing w:line="233" w:lineRule="auto"/>
            </w:pPr>
            <w:r w:rsidRPr="00D31D95">
              <w:t>A significant increase or decrease in direct cost per square</w:t>
            </w:r>
            <w:r>
              <w:t xml:space="preserve"> </w:t>
            </w:r>
            <w:r w:rsidRPr="00D31D95">
              <w:t>metre would result in a significantly higher or lower fair</w:t>
            </w:r>
            <w:r>
              <w:t xml:space="preserve"> </w:t>
            </w:r>
            <w:r w:rsidRPr="00D31D95">
              <w:t>value</w:t>
            </w:r>
          </w:p>
        </w:tc>
      </w:tr>
      <w:tr w:rsidR="006F2B61" w:rsidRPr="0076797F" w14:paraId="6995B5DA" w14:textId="77725C44" w:rsidTr="001231AD">
        <w:tc>
          <w:tcPr>
            <w:tcW w:w="658" w:type="pct"/>
          </w:tcPr>
          <w:p w14:paraId="3A084BBD" w14:textId="7338D854" w:rsidR="006F2B61" w:rsidRPr="0076797F" w:rsidRDefault="006F2B61" w:rsidP="00DD30CD">
            <w:pPr>
              <w:pStyle w:val="TableBodyText"/>
              <w:spacing w:line="233" w:lineRule="auto"/>
            </w:pPr>
            <w:r>
              <w:t>Specialised buildings</w:t>
            </w:r>
          </w:p>
        </w:tc>
        <w:tc>
          <w:tcPr>
            <w:tcW w:w="660" w:type="pct"/>
          </w:tcPr>
          <w:p w14:paraId="6B4E59F7" w14:textId="1FB14348" w:rsidR="006F2B61" w:rsidRPr="0076797F" w:rsidRDefault="006F2B61" w:rsidP="00DD30CD">
            <w:pPr>
              <w:pStyle w:val="TableBodyText"/>
              <w:spacing w:line="233" w:lineRule="auto"/>
            </w:pPr>
            <w:r>
              <w:t>Depreciated replacement cost</w:t>
            </w:r>
          </w:p>
        </w:tc>
        <w:tc>
          <w:tcPr>
            <w:tcW w:w="677" w:type="pct"/>
          </w:tcPr>
          <w:p w14:paraId="37DE3D6F" w14:textId="2E29AB10" w:rsidR="006F2B61" w:rsidRPr="0076797F" w:rsidRDefault="006F2B61" w:rsidP="00DD30CD">
            <w:pPr>
              <w:pStyle w:val="TableBodyText"/>
              <w:spacing w:line="233" w:lineRule="auto"/>
            </w:pPr>
            <w:r w:rsidRPr="001231AD">
              <w:t>Useful life of</w:t>
            </w:r>
            <w:r>
              <w:t xml:space="preserve"> </w:t>
            </w:r>
            <w:r w:rsidRPr="001231AD">
              <w:t>specialised</w:t>
            </w:r>
            <w:r>
              <w:t xml:space="preserve"> </w:t>
            </w:r>
            <w:r w:rsidRPr="001231AD">
              <w:t>buildings</w:t>
            </w:r>
          </w:p>
        </w:tc>
        <w:tc>
          <w:tcPr>
            <w:tcW w:w="727" w:type="pct"/>
          </w:tcPr>
          <w:p w14:paraId="63E7A9F5" w14:textId="4B8D2B49" w:rsidR="006F2B61" w:rsidRPr="0076797F" w:rsidRDefault="006F2B61" w:rsidP="00DD30CD">
            <w:pPr>
              <w:pStyle w:val="TableBodyText"/>
              <w:spacing w:line="233" w:lineRule="auto"/>
            </w:pPr>
            <w:r w:rsidRPr="00DA16FA">
              <w:t>5-150 years</w:t>
            </w:r>
            <w:r>
              <w:t xml:space="preserve"> </w:t>
            </w:r>
            <w:r w:rsidRPr="00DA16FA">
              <w:t>(67 years weighted</w:t>
            </w:r>
            <w:r>
              <w:t xml:space="preserve"> </w:t>
            </w:r>
            <w:r w:rsidRPr="00DA16FA">
              <w:t>average)</w:t>
            </w:r>
          </w:p>
        </w:tc>
        <w:tc>
          <w:tcPr>
            <w:tcW w:w="662" w:type="pct"/>
          </w:tcPr>
          <w:p w14:paraId="497005A7" w14:textId="54EFD3E7" w:rsidR="006F2B61" w:rsidRPr="0076797F" w:rsidRDefault="006F2B61" w:rsidP="00DD30CD">
            <w:pPr>
              <w:pStyle w:val="TableBodyText"/>
              <w:spacing w:line="233" w:lineRule="auto"/>
            </w:pPr>
            <w:r w:rsidRPr="00DA16FA">
              <w:t>5-150 years</w:t>
            </w:r>
            <w:r>
              <w:t xml:space="preserve"> </w:t>
            </w:r>
            <w:r w:rsidRPr="00DA16FA">
              <w:t>(63 years weighted</w:t>
            </w:r>
            <w:r>
              <w:t xml:space="preserve"> </w:t>
            </w:r>
            <w:r w:rsidRPr="00DA16FA">
              <w:t>average)</w:t>
            </w:r>
          </w:p>
        </w:tc>
        <w:tc>
          <w:tcPr>
            <w:tcW w:w="1615" w:type="pct"/>
          </w:tcPr>
          <w:p w14:paraId="794A8E11" w14:textId="165060A5" w:rsidR="006F2B61" w:rsidRDefault="006F2B61" w:rsidP="00DD30CD">
            <w:pPr>
              <w:pStyle w:val="TableBodyText"/>
              <w:spacing w:line="233" w:lineRule="auto"/>
            </w:pPr>
            <w:r w:rsidRPr="00D31D95">
              <w:t>A significant increase or decrease in estimated useful life</w:t>
            </w:r>
            <w:r>
              <w:t xml:space="preserve"> </w:t>
            </w:r>
            <w:r w:rsidRPr="00D31D95">
              <w:t>of the asset would result in a significantly higher or lower</w:t>
            </w:r>
            <w:r>
              <w:t xml:space="preserve"> </w:t>
            </w:r>
            <w:r w:rsidRPr="00D31D95">
              <w:t>fair value</w:t>
            </w:r>
          </w:p>
        </w:tc>
      </w:tr>
      <w:tr w:rsidR="006F2B61" w:rsidRPr="00E0205B" w14:paraId="4EEB66C5" w14:textId="13B2CDBF" w:rsidTr="001231AD">
        <w:tc>
          <w:tcPr>
            <w:tcW w:w="658" w:type="pct"/>
          </w:tcPr>
          <w:p w14:paraId="2F6E5266" w14:textId="42847426" w:rsidR="006F2B61" w:rsidRPr="00E0205B" w:rsidRDefault="006F2B61" w:rsidP="00DD30CD">
            <w:pPr>
              <w:pStyle w:val="TableBodyText"/>
              <w:spacing w:line="233" w:lineRule="auto"/>
            </w:pPr>
            <w:r>
              <w:t>Leasehold improvements</w:t>
            </w:r>
          </w:p>
        </w:tc>
        <w:tc>
          <w:tcPr>
            <w:tcW w:w="660" w:type="pct"/>
          </w:tcPr>
          <w:p w14:paraId="365BE39B" w14:textId="45F5B450" w:rsidR="006F2B61" w:rsidRPr="00E0205B" w:rsidRDefault="006F2B61" w:rsidP="00DD30CD">
            <w:pPr>
              <w:pStyle w:val="TableBodyText"/>
              <w:spacing w:line="233" w:lineRule="auto"/>
            </w:pPr>
            <w:r>
              <w:t>Depreciated replacement cost</w:t>
            </w:r>
          </w:p>
        </w:tc>
        <w:tc>
          <w:tcPr>
            <w:tcW w:w="677" w:type="pct"/>
          </w:tcPr>
          <w:p w14:paraId="7E376EE5" w14:textId="7F6D08F4" w:rsidR="006F2B61" w:rsidRPr="00E0205B" w:rsidRDefault="006F2B61" w:rsidP="00DD30CD">
            <w:pPr>
              <w:pStyle w:val="TableBodyText"/>
              <w:spacing w:line="233" w:lineRule="auto"/>
            </w:pPr>
            <w:r>
              <w:t>Cost per unit</w:t>
            </w:r>
          </w:p>
        </w:tc>
        <w:tc>
          <w:tcPr>
            <w:tcW w:w="727" w:type="pct"/>
          </w:tcPr>
          <w:p w14:paraId="2FA6533C" w14:textId="5D2973F7" w:rsidR="006F2B61" w:rsidRPr="00E0205B" w:rsidRDefault="006F2B61" w:rsidP="00DD30CD">
            <w:pPr>
              <w:pStyle w:val="TableBodyText"/>
              <w:spacing w:line="233" w:lineRule="auto"/>
            </w:pPr>
            <w:r w:rsidRPr="00DA16FA">
              <w:t>$500-$0.5M per unit</w:t>
            </w:r>
          </w:p>
        </w:tc>
        <w:tc>
          <w:tcPr>
            <w:tcW w:w="662" w:type="pct"/>
          </w:tcPr>
          <w:p w14:paraId="1AD3EB02" w14:textId="12603374" w:rsidR="006F2B61" w:rsidRPr="00E0205B" w:rsidRDefault="006F2B61" w:rsidP="00DD30CD">
            <w:pPr>
              <w:pStyle w:val="TableBodyText"/>
              <w:spacing w:line="233" w:lineRule="auto"/>
            </w:pPr>
            <w:r w:rsidRPr="00DA16FA">
              <w:t>$500-$0.5M per unit</w:t>
            </w:r>
          </w:p>
        </w:tc>
        <w:tc>
          <w:tcPr>
            <w:tcW w:w="1615" w:type="pct"/>
          </w:tcPr>
          <w:p w14:paraId="4D8BE723" w14:textId="2A0EE3E9" w:rsidR="006F2B61" w:rsidRDefault="006F2B61" w:rsidP="00DD30CD">
            <w:pPr>
              <w:pStyle w:val="TableBodyText"/>
              <w:spacing w:line="233" w:lineRule="auto"/>
            </w:pPr>
            <w:r w:rsidRPr="00D31D95">
              <w:t>A significant increase or decrease in cost per unit would</w:t>
            </w:r>
            <w:r>
              <w:t xml:space="preserve"> </w:t>
            </w:r>
            <w:r w:rsidRPr="00D31D95">
              <w:t>result in a significantly higher or lower fair value</w:t>
            </w:r>
          </w:p>
        </w:tc>
      </w:tr>
      <w:tr w:rsidR="006F2B61" w:rsidRPr="0076797F" w14:paraId="135D63ED" w14:textId="24D5E8BA" w:rsidTr="001231AD">
        <w:tc>
          <w:tcPr>
            <w:tcW w:w="658" w:type="pct"/>
          </w:tcPr>
          <w:p w14:paraId="37D27280" w14:textId="75EF6D78" w:rsidR="006F2B61" w:rsidRPr="0076797F" w:rsidRDefault="006F2B61" w:rsidP="00DD30CD">
            <w:pPr>
              <w:pStyle w:val="TableBodyText"/>
              <w:spacing w:line="233" w:lineRule="auto"/>
            </w:pPr>
            <w:r>
              <w:t>Leasehold improvements</w:t>
            </w:r>
          </w:p>
        </w:tc>
        <w:tc>
          <w:tcPr>
            <w:tcW w:w="660" w:type="pct"/>
          </w:tcPr>
          <w:p w14:paraId="1F7F77A9" w14:textId="381554D2" w:rsidR="006F2B61" w:rsidRPr="0076797F" w:rsidRDefault="006F2B61" w:rsidP="00DD30CD">
            <w:pPr>
              <w:pStyle w:val="TableBodyText"/>
              <w:spacing w:line="233" w:lineRule="auto"/>
            </w:pPr>
            <w:r>
              <w:t>Depreciated replacement cost</w:t>
            </w:r>
          </w:p>
        </w:tc>
        <w:tc>
          <w:tcPr>
            <w:tcW w:w="677" w:type="pct"/>
          </w:tcPr>
          <w:p w14:paraId="781E5C18" w14:textId="6A77D65E" w:rsidR="006F2B61" w:rsidRPr="0076797F" w:rsidRDefault="006F2B61" w:rsidP="00DD30CD">
            <w:pPr>
              <w:pStyle w:val="TableBodyText"/>
              <w:spacing w:line="233" w:lineRule="auto"/>
            </w:pPr>
            <w:r w:rsidRPr="001231AD">
              <w:t>Useful life</w:t>
            </w:r>
            <w:r>
              <w:t xml:space="preserve"> </w:t>
            </w:r>
            <w:r w:rsidRPr="001231AD">
              <w:t>of plant and</w:t>
            </w:r>
            <w:r>
              <w:t xml:space="preserve"> </w:t>
            </w:r>
            <w:r w:rsidRPr="001231AD">
              <w:t>equipment</w:t>
            </w:r>
          </w:p>
        </w:tc>
        <w:tc>
          <w:tcPr>
            <w:tcW w:w="727" w:type="pct"/>
          </w:tcPr>
          <w:p w14:paraId="3FBFEC6B" w14:textId="1CBD11E7" w:rsidR="006F2B61" w:rsidRPr="0076797F" w:rsidRDefault="006F2B61" w:rsidP="00DD30CD">
            <w:pPr>
              <w:pStyle w:val="TableBodyText"/>
              <w:spacing w:line="233" w:lineRule="auto"/>
            </w:pPr>
            <w:r w:rsidRPr="00DA16FA">
              <w:t>3-15 years</w:t>
            </w:r>
            <w:r>
              <w:t xml:space="preserve"> </w:t>
            </w:r>
            <w:r w:rsidRPr="00DA16FA">
              <w:t>(15 years weighted</w:t>
            </w:r>
            <w:r>
              <w:t xml:space="preserve"> </w:t>
            </w:r>
            <w:r w:rsidRPr="00DA16FA">
              <w:t>average)</w:t>
            </w:r>
          </w:p>
        </w:tc>
        <w:tc>
          <w:tcPr>
            <w:tcW w:w="662" w:type="pct"/>
          </w:tcPr>
          <w:p w14:paraId="40DDADB2" w14:textId="62BA1149" w:rsidR="006F2B61" w:rsidRPr="0076797F" w:rsidRDefault="006F2B61" w:rsidP="00DD30CD">
            <w:pPr>
              <w:pStyle w:val="TableBodyText"/>
              <w:spacing w:line="233" w:lineRule="auto"/>
            </w:pPr>
            <w:r w:rsidRPr="00DA16FA">
              <w:t>3-15 years</w:t>
            </w:r>
            <w:r>
              <w:t xml:space="preserve"> </w:t>
            </w:r>
            <w:r w:rsidRPr="00DA16FA">
              <w:t>(15 years weighted</w:t>
            </w:r>
            <w:r>
              <w:t xml:space="preserve"> </w:t>
            </w:r>
            <w:r w:rsidRPr="00DA16FA">
              <w:t>average)</w:t>
            </w:r>
          </w:p>
        </w:tc>
        <w:tc>
          <w:tcPr>
            <w:tcW w:w="1615" w:type="pct"/>
          </w:tcPr>
          <w:p w14:paraId="3D4DE370" w14:textId="49F8ED3D" w:rsidR="006F2B61" w:rsidRDefault="006F2B61" w:rsidP="00DD30CD">
            <w:pPr>
              <w:pStyle w:val="TableBodyText"/>
              <w:spacing w:line="233" w:lineRule="auto"/>
            </w:pPr>
            <w:r w:rsidRPr="00D31D95">
              <w:t>A significant increase or decrease in estimated useful life</w:t>
            </w:r>
            <w:r>
              <w:t xml:space="preserve"> </w:t>
            </w:r>
            <w:r w:rsidRPr="00D31D95">
              <w:t>of the asset would result in a significantly higher or lower</w:t>
            </w:r>
            <w:r>
              <w:t xml:space="preserve"> </w:t>
            </w:r>
            <w:r w:rsidRPr="00D31D95">
              <w:t>fair value</w:t>
            </w:r>
          </w:p>
        </w:tc>
      </w:tr>
      <w:tr w:rsidR="006F2B61" w:rsidRPr="0076797F" w14:paraId="548FF336" w14:textId="681AF99E" w:rsidTr="001231AD">
        <w:tc>
          <w:tcPr>
            <w:tcW w:w="658" w:type="pct"/>
          </w:tcPr>
          <w:p w14:paraId="00CF41E9" w14:textId="3D3B95F2" w:rsidR="006F2B61" w:rsidRPr="0076797F" w:rsidRDefault="006F2B61" w:rsidP="00DD30CD">
            <w:pPr>
              <w:pStyle w:val="TableBodyText"/>
              <w:spacing w:line="233" w:lineRule="auto"/>
            </w:pPr>
            <w:r>
              <w:t>Plant and equipment</w:t>
            </w:r>
          </w:p>
        </w:tc>
        <w:tc>
          <w:tcPr>
            <w:tcW w:w="660" w:type="pct"/>
          </w:tcPr>
          <w:p w14:paraId="2A202DB6" w14:textId="6E4EFE5A" w:rsidR="006F2B61" w:rsidRPr="0076797F" w:rsidRDefault="006F2B61" w:rsidP="00DD30CD">
            <w:pPr>
              <w:pStyle w:val="TableBodyText"/>
              <w:spacing w:line="233" w:lineRule="auto"/>
            </w:pPr>
            <w:r>
              <w:t>Depreciated replacement cost</w:t>
            </w:r>
          </w:p>
        </w:tc>
        <w:tc>
          <w:tcPr>
            <w:tcW w:w="677" w:type="pct"/>
          </w:tcPr>
          <w:p w14:paraId="2F865D16" w14:textId="5A540FDB" w:rsidR="006F2B61" w:rsidRPr="0076797F" w:rsidRDefault="006F2B61" w:rsidP="00DD30CD">
            <w:pPr>
              <w:pStyle w:val="TableBodyText"/>
              <w:spacing w:line="233" w:lineRule="auto"/>
            </w:pPr>
            <w:r>
              <w:t>Cost per unit</w:t>
            </w:r>
          </w:p>
        </w:tc>
        <w:tc>
          <w:tcPr>
            <w:tcW w:w="727" w:type="pct"/>
          </w:tcPr>
          <w:p w14:paraId="50ADDC49" w14:textId="05670E13" w:rsidR="006F2B61" w:rsidRPr="0076797F" w:rsidRDefault="006F2B61" w:rsidP="00DD30CD">
            <w:pPr>
              <w:pStyle w:val="TableBodyText"/>
              <w:spacing w:line="233" w:lineRule="auto"/>
            </w:pPr>
            <w:r w:rsidRPr="00DA16FA">
              <w:t>$500-$3.0M per unit</w:t>
            </w:r>
          </w:p>
        </w:tc>
        <w:tc>
          <w:tcPr>
            <w:tcW w:w="662" w:type="pct"/>
          </w:tcPr>
          <w:p w14:paraId="38E8C30F" w14:textId="05E27B1D" w:rsidR="006F2B61" w:rsidRPr="0076797F" w:rsidRDefault="006F2B61" w:rsidP="00DD30CD">
            <w:pPr>
              <w:pStyle w:val="TableBodyText"/>
              <w:spacing w:line="233" w:lineRule="auto"/>
            </w:pPr>
            <w:r w:rsidRPr="00DA16FA">
              <w:t>$500-$3.5M per unit</w:t>
            </w:r>
          </w:p>
        </w:tc>
        <w:tc>
          <w:tcPr>
            <w:tcW w:w="1615" w:type="pct"/>
          </w:tcPr>
          <w:p w14:paraId="6DE710B1" w14:textId="7DCC98DB" w:rsidR="006F2B61" w:rsidRDefault="006F2B61" w:rsidP="00DD30CD">
            <w:pPr>
              <w:pStyle w:val="TableBodyText"/>
              <w:spacing w:line="233" w:lineRule="auto"/>
            </w:pPr>
            <w:r w:rsidRPr="00D31D95">
              <w:t>A significant increase or decrease in cost per unit would</w:t>
            </w:r>
            <w:r>
              <w:t xml:space="preserve"> </w:t>
            </w:r>
            <w:r w:rsidRPr="00D31D95">
              <w:t>result in a significantly higher or lower fair value</w:t>
            </w:r>
          </w:p>
        </w:tc>
      </w:tr>
      <w:tr w:rsidR="006F2B61" w:rsidRPr="0076797F" w14:paraId="6FBEA53C" w14:textId="376B3805" w:rsidTr="001231AD">
        <w:tc>
          <w:tcPr>
            <w:tcW w:w="658" w:type="pct"/>
          </w:tcPr>
          <w:p w14:paraId="31723383" w14:textId="5C7ED882" w:rsidR="006F2B61" w:rsidRPr="0076797F" w:rsidRDefault="006F2B61" w:rsidP="00DD30CD">
            <w:pPr>
              <w:pStyle w:val="TableBodyText"/>
              <w:spacing w:line="233" w:lineRule="auto"/>
            </w:pPr>
            <w:r>
              <w:t>Plant and equipment</w:t>
            </w:r>
          </w:p>
        </w:tc>
        <w:tc>
          <w:tcPr>
            <w:tcW w:w="660" w:type="pct"/>
          </w:tcPr>
          <w:p w14:paraId="052EFAB7" w14:textId="2BE09FE1" w:rsidR="006F2B61" w:rsidRPr="0076797F" w:rsidRDefault="006F2B61" w:rsidP="00DD30CD">
            <w:pPr>
              <w:pStyle w:val="TableBodyText"/>
              <w:spacing w:line="233" w:lineRule="auto"/>
            </w:pPr>
            <w:r>
              <w:t>Depreciated replacement cost</w:t>
            </w:r>
          </w:p>
        </w:tc>
        <w:tc>
          <w:tcPr>
            <w:tcW w:w="677" w:type="pct"/>
          </w:tcPr>
          <w:p w14:paraId="7654F4F3" w14:textId="379C65D0" w:rsidR="006F2B61" w:rsidRPr="0076797F" w:rsidRDefault="006F2B61" w:rsidP="00DD30CD">
            <w:pPr>
              <w:pStyle w:val="TableBodyText"/>
              <w:spacing w:line="233" w:lineRule="auto"/>
            </w:pPr>
            <w:r w:rsidRPr="001231AD">
              <w:t>Useful life</w:t>
            </w:r>
            <w:r>
              <w:t xml:space="preserve"> </w:t>
            </w:r>
            <w:r w:rsidRPr="001231AD">
              <w:t>of plant and</w:t>
            </w:r>
            <w:r>
              <w:t xml:space="preserve"> </w:t>
            </w:r>
            <w:r w:rsidRPr="001231AD">
              <w:t>equipment</w:t>
            </w:r>
          </w:p>
        </w:tc>
        <w:tc>
          <w:tcPr>
            <w:tcW w:w="727" w:type="pct"/>
          </w:tcPr>
          <w:p w14:paraId="34461081" w14:textId="4A7FF294" w:rsidR="006F2B61" w:rsidRPr="0076797F" w:rsidRDefault="006F2B61" w:rsidP="00DD30CD">
            <w:pPr>
              <w:pStyle w:val="TableBodyText"/>
              <w:spacing w:line="233" w:lineRule="auto"/>
            </w:pPr>
            <w:r w:rsidRPr="00DA16FA">
              <w:t>3-50 years</w:t>
            </w:r>
            <w:r>
              <w:t xml:space="preserve"> </w:t>
            </w:r>
            <w:r w:rsidRPr="00DA16FA">
              <w:t>(12 years weighted</w:t>
            </w:r>
            <w:r>
              <w:t xml:space="preserve"> </w:t>
            </w:r>
            <w:r w:rsidRPr="00DA16FA">
              <w:t>average)</w:t>
            </w:r>
          </w:p>
        </w:tc>
        <w:tc>
          <w:tcPr>
            <w:tcW w:w="662" w:type="pct"/>
          </w:tcPr>
          <w:p w14:paraId="7EF3F303" w14:textId="320A3D92" w:rsidR="006F2B61" w:rsidRPr="0076797F" w:rsidRDefault="006F2B61" w:rsidP="00DD30CD">
            <w:pPr>
              <w:pStyle w:val="TableBodyText"/>
              <w:spacing w:line="233" w:lineRule="auto"/>
            </w:pPr>
            <w:r w:rsidRPr="00DA16FA">
              <w:t>3-50 years</w:t>
            </w:r>
            <w:r>
              <w:t xml:space="preserve"> </w:t>
            </w:r>
            <w:r w:rsidRPr="00DA16FA">
              <w:t>(11 years weighted</w:t>
            </w:r>
            <w:r>
              <w:t xml:space="preserve"> </w:t>
            </w:r>
            <w:r w:rsidRPr="00DA16FA">
              <w:t>average)</w:t>
            </w:r>
          </w:p>
        </w:tc>
        <w:tc>
          <w:tcPr>
            <w:tcW w:w="1615" w:type="pct"/>
          </w:tcPr>
          <w:p w14:paraId="2750DD20" w14:textId="5A4208CA" w:rsidR="006F2B61" w:rsidRDefault="006F2B61" w:rsidP="00DD30CD">
            <w:pPr>
              <w:pStyle w:val="TableBodyText"/>
              <w:spacing w:line="233" w:lineRule="auto"/>
            </w:pPr>
            <w:r w:rsidRPr="00D31D95">
              <w:t>A significant increase or decrease in estimated useful life</w:t>
            </w:r>
            <w:r>
              <w:t xml:space="preserve"> </w:t>
            </w:r>
            <w:r w:rsidRPr="00D31D95">
              <w:t>of the asset would result in a significantly higher or lower</w:t>
            </w:r>
            <w:r>
              <w:t xml:space="preserve"> </w:t>
            </w:r>
            <w:r w:rsidRPr="00D31D95">
              <w:t>fair value</w:t>
            </w:r>
          </w:p>
        </w:tc>
      </w:tr>
      <w:tr w:rsidR="006F2B61" w:rsidRPr="00E0205B" w14:paraId="1AB9EB8E" w14:textId="5D575C52" w:rsidTr="001231AD">
        <w:tc>
          <w:tcPr>
            <w:tcW w:w="658" w:type="pct"/>
          </w:tcPr>
          <w:p w14:paraId="7FD5E568" w14:textId="2AD18CD4" w:rsidR="006F2B61" w:rsidRPr="00E0205B" w:rsidRDefault="006F2B61" w:rsidP="00DD30CD">
            <w:pPr>
              <w:pStyle w:val="TableBodyText"/>
              <w:spacing w:line="233" w:lineRule="auto"/>
            </w:pPr>
            <w:r>
              <w:t>Fleet vehicles</w:t>
            </w:r>
          </w:p>
        </w:tc>
        <w:tc>
          <w:tcPr>
            <w:tcW w:w="660" w:type="pct"/>
          </w:tcPr>
          <w:p w14:paraId="4BCEB54D" w14:textId="61C1A6CF" w:rsidR="006F2B61" w:rsidRPr="00E0205B" w:rsidRDefault="006F2B61" w:rsidP="00DD30CD">
            <w:pPr>
              <w:pStyle w:val="TableBodyText"/>
              <w:spacing w:line="233" w:lineRule="auto"/>
            </w:pPr>
            <w:r>
              <w:t>Depreciated replacement cost</w:t>
            </w:r>
          </w:p>
        </w:tc>
        <w:tc>
          <w:tcPr>
            <w:tcW w:w="677" w:type="pct"/>
          </w:tcPr>
          <w:p w14:paraId="540E21D0" w14:textId="668CEA4E" w:rsidR="006F2B61" w:rsidRPr="00E0205B" w:rsidRDefault="006F2B61" w:rsidP="00DD30CD">
            <w:pPr>
              <w:pStyle w:val="TableBodyText"/>
              <w:spacing w:line="233" w:lineRule="auto"/>
            </w:pPr>
            <w:r>
              <w:t>Cost per unit</w:t>
            </w:r>
          </w:p>
        </w:tc>
        <w:tc>
          <w:tcPr>
            <w:tcW w:w="727" w:type="pct"/>
          </w:tcPr>
          <w:p w14:paraId="3D341668" w14:textId="084EF89C" w:rsidR="006F2B61" w:rsidRPr="00DA16FA" w:rsidRDefault="006F2B61" w:rsidP="00DD30CD">
            <w:pPr>
              <w:pStyle w:val="TableBodyText"/>
              <w:spacing w:line="233" w:lineRule="auto"/>
            </w:pPr>
            <w:r w:rsidRPr="00DA16FA">
              <w:t>$5,200-$204,000</w:t>
            </w:r>
            <w:r>
              <w:t xml:space="preserve"> </w:t>
            </w:r>
            <w:r w:rsidRPr="00DA16FA">
              <w:t>per unit</w:t>
            </w:r>
          </w:p>
        </w:tc>
        <w:tc>
          <w:tcPr>
            <w:tcW w:w="662" w:type="pct"/>
          </w:tcPr>
          <w:p w14:paraId="124C7890" w14:textId="48C46335" w:rsidR="006F2B61" w:rsidRPr="00D31D95" w:rsidRDefault="006F2B61" w:rsidP="00DD30CD">
            <w:pPr>
              <w:pStyle w:val="TableBodyText"/>
              <w:spacing w:line="233" w:lineRule="auto"/>
            </w:pPr>
            <w:r w:rsidRPr="00DA16FA">
              <w:t>$5,600-$223,000</w:t>
            </w:r>
            <w:r>
              <w:t xml:space="preserve"> </w:t>
            </w:r>
            <w:r w:rsidRPr="00DA16FA">
              <w:t>per unit</w:t>
            </w:r>
          </w:p>
        </w:tc>
        <w:tc>
          <w:tcPr>
            <w:tcW w:w="1615" w:type="pct"/>
          </w:tcPr>
          <w:p w14:paraId="7B7DADBF" w14:textId="4F3C4E8A" w:rsidR="006F2B61" w:rsidRPr="00D31D95" w:rsidRDefault="006F2B61" w:rsidP="00DD30CD">
            <w:pPr>
              <w:pStyle w:val="TableBodyText"/>
              <w:spacing w:line="233" w:lineRule="auto"/>
            </w:pPr>
            <w:r w:rsidRPr="00D31D95">
              <w:t>A significant increase or decrease in cost per unit would</w:t>
            </w:r>
            <w:r>
              <w:t xml:space="preserve"> </w:t>
            </w:r>
            <w:r w:rsidRPr="00D31D95">
              <w:t>result in a significantly higher or lower fair value</w:t>
            </w:r>
          </w:p>
        </w:tc>
      </w:tr>
      <w:tr w:rsidR="006F2B61" w:rsidRPr="0076797F" w14:paraId="0579DB3A" w14:textId="735FC341" w:rsidTr="001231AD">
        <w:tc>
          <w:tcPr>
            <w:tcW w:w="658" w:type="pct"/>
          </w:tcPr>
          <w:p w14:paraId="698E65C0" w14:textId="09FFBD3F" w:rsidR="006F2B61" w:rsidRPr="0076797F" w:rsidRDefault="006F2B61" w:rsidP="00DD30CD">
            <w:pPr>
              <w:pStyle w:val="TableBodyText"/>
              <w:spacing w:line="233" w:lineRule="auto"/>
            </w:pPr>
            <w:r>
              <w:t>Fleet vehicles</w:t>
            </w:r>
          </w:p>
        </w:tc>
        <w:tc>
          <w:tcPr>
            <w:tcW w:w="660" w:type="pct"/>
          </w:tcPr>
          <w:p w14:paraId="16E25550" w14:textId="4B91009D" w:rsidR="006F2B61" w:rsidRPr="0076797F" w:rsidRDefault="006F2B61" w:rsidP="00DD30CD">
            <w:pPr>
              <w:pStyle w:val="TableBodyText"/>
              <w:spacing w:line="233" w:lineRule="auto"/>
            </w:pPr>
            <w:r>
              <w:t>Depreciated replacement cost</w:t>
            </w:r>
          </w:p>
        </w:tc>
        <w:tc>
          <w:tcPr>
            <w:tcW w:w="677" w:type="pct"/>
          </w:tcPr>
          <w:p w14:paraId="03EF9A62" w14:textId="78BE4242" w:rsidR="006F2B61" w:rsidRPr="0076797F" w:rsidRDefault="006F2B61" w:rsidP="00DD30CD">
            <w:pPr>
              <w:pStyle w:val="TableBodyText"/>
              <w:spacing w:line="233" w:lineRule="auto"/>
            </w:pPr>
            <w:r w:rsidRPr="001231AD">
              <w:t>Useful life of</w:t>
            </w:r>
            <w:r>
              <w:t xml:space="preserve"> </w:t>
            </w:r>
            <w:r w:rsidRPr="001231AD">
              <w:t>vehicles</w:t>
            </w:r>
          </w:p>
        </w:tc>
        <w:tc>
          <w:tcPr>
            <w:tcW w:w="727" w:type="pct"/>
          </w:tcPr>
          <w:p w14:paraId="1A025D8C" w14:textId="534C3E00" w:rsidR="006F2B61" w:rsidRPr="0076797F" w:rsidRDefault="006F2B61" w:rsidP="00DD30CD">
            <w:pPr>
              <w:pStyle w:val="TableBodyText"/>
              <w:spacing w:line="233" w:lineRule="auto"/>
            </w:pPr>
            <w:r w:rsidRPr="00DA16FA">
              <w:t>1-15 years (6 years</w:t>
            </w:r>
            <w:r>
              <w:t xml:space="preserve"> </w:t>
            </w:r>
            <w:r w:rsidRPr="00DA16FA">
              <w:t>weighted average)</w:t>
            </w:r>
          </w:p>
        </w:tc>
        <w:tc>
          <w:tcPr>
            <w:tcW w:w="662" w:type="pct"/>
          </w:tcPr>
          <w:p w14:paraId="67CB8352" w14:textId="472E7C6B" w:rsidR="006F2B61" w:rsidRPr="0076797F" w:rsidRDefault="006F2B61" w:rsidP="00DD30CD">
            <w:pPr>
              <w:pStyle w:val="TableBodyText"/>
              <w:spacing w:line="233" w:lineRule="auto"/>
            </w:pPr>
            <w:r w:rsidRPr="00DA16FA">
              <w:t>1-15 years (6 years</w:t>
            </w:r>
            <w:r>
              <w:t xml:space="preserve"> </w:t>
            </w:r>
            <w:r w:rsidRPr="00DA16FA">
              <w:t>weighted average)</w:t>
            </w:r>
          </w:p>
        </w:tc>
        <w:tc>
          <w:tcPr>
            <w:tcW w:w="1615" w:type="pct"/>
          </w:tcPr>
          <w:p w14:paraId="3BD28AA0" w14:textId="428EF075" w:rsidR="006F2B61" w:rsidRDefault="006F2B61" w:rsidP="00DD30CD">
            <w:pPr>
              <w:pStyle w:val="TableBodyText"/>
              <w:spacing w:line="233" w:lineRule="auto"/>
            </w:pPr>
            <w:r w:rsidRPr="00D31D95">
              <w:t>A significant increase or decrease in estimated useful life</w:t>
            </w:r>
            <w:r>
              <w:t xml:space="preserve"> </w:t>
            </w:r>
            <w:r w:rsidRPr="00D31D95">
              <w:t>of the asset would result in a significantly higher or lower</w:t>
            </w:r>
            <w:r>
              <w:t xml:space="preserve"> </w:t>
            </w:r>
            <w:r w:rsidRPr="00D31D95">
              <w:t>fair value</w:t>
            </w:r>
          </w:p>
        </w:tc>
      </w:tr>
      <w:tr w:rsidR="006F2B61" w:rsidRPr="0076797F" w14:paraId="02409529" w14:textId="278C3A00" w:rsidTr="001231AD">
        <w:tc>
          <w:tcPr>
            <w:tcW w:w="658" w:type="pct"/>
          </w:tcPr>
          <w:p w14:paraId="2EDBEBE8" w14:textId="59052762" w:rsidR="006F2B61" w:rsidRPr="0076797F" w:rsidRDefault="006F2B61" w:rsidP="00DD30CD">
            <w:pPr>
              <w:pStyle w:val="TableBodyText"/>
              <w:spacing w:line="233" w:lineRule="auto"/>
            </w:pPr>
            <w:r>
              <w:t>Infrastructure assets</w:t>
            </w:r>
          </w:p>
        </w:tc>
        <w:tc>
          <w:tcPr>
            <w:tcW w:w="660" w:type="pct"/>
          </w:tcPr>
          <w:p w14:paraId="45F5E0B9" w14:textId="1EC9D707" w:rsidR="006F2B61" w:rsidRPr="0076797F" w:rsidRDefault="006F2B61" w:rsidP="00DD30CD">
            <w:pPr>
              <w:pStyle w:val="TableBodyText"/>
              <w:spacing w:line="233" w:lineRule="auto"/>
            </w:pPr>
            <w:r>
              <w:t>Income approach</w:t>
            </w:r>
          </w:p>
        </w:tc>
        <w:tc>
          <w:tcPr>
            <w:tcW w:w="677" w:type="pct"/>
          </w:tcPr>
          <w:p w14:paraId="04BAF0F4" w14:textId="1A7F1142" w:rsidR="006F2B61" w:rsidRPr="0076797F" w:rsidRDefault="006F2B61" w:rsidP="00DD30CD">
            <w:pPr>
              <w:pStyle w:val="TableBodyText"/>
              <w:spacing w:line="233" w:lineRule="auto"/>
            </w:pPr>
            <w:r w:rsidRPr="001231AD">
              <w:t>Terminal value</w:t>
            </w:r>
            <w:r>
              <w:t xml:space="preserve"> </w:t>
            </w:r>
            <w:r w:rsidRPr="001231AD">
              <w:t>growth rate</w:t>
            </w:r>
          </w:p>
        </w:tc>
        <w:tc>
          <w:tcPr>
            <w:tcW w:w="727" w:type="pct"/>
          </w:tcPr>
          <w:p w14:paraId="12BA68A8" w14:textId="4E6599CD" w:rsidR="006F2B61" w:rsidRPr="0076797F" w:rsidRDefault="006F2B61" w:rsidP="00DD30CD">
            <w:pPr>
              <w:pStyle w:val="TableBodyText"/>
              <w:spacing w:line="233" w:lineRule="auto"/>
            </w:pPr>
            <w:r>
              <w:t>3.25%</w:t>
            </w:r>
          </w:p>
        </w:tc>
        <w:tc>
          <w:tcPr>
            <w:tcW w:w="662" w:type="pct"/>
          </w:tcPr>
          <w:p w14:paraId="144DA85C" w14:textId="1C565EB8" w:rsidR="006F2B61" w:rsidRPr="0076797F" w:rsidRDefault="006F2B61" w:rsidP="00DD30CD">
            <w:pPr>
              <w:pStyle w:val="TableBodyText"/>
              <w:spacing w:line="233" w:lineRule="auto"/>
            </w:pPr>
            <w:r w:rsidRPr="00DA16FA">
              <w:t>3.25%</w:t>
            </w:r>
          </w:p>
        </w:tc>
        <w:tc>
          <w:tcPr>
            <w:tcW w:w="1615" w:type="pct"/>
          </w:tcPr>
          <w:p w14:paraId="4999CA59" w14:textId="5DB576D5" w:rsidR="006F2B61" w:rsidRDefault="006F2B61" w:rsidP="00DD30CD">
            <w:pPr>
              <w:pStyle w:val="TableBodyText"/>
              <w:spacing w:line="233" w:lineRule="auto"/>
            </w:pPr>
            <w:r w:rsidRPr="00D31D95">
              <w:t>If the terminal growth rate had changed by +/-.25% from</w:t>
            </w:r>
            <w:r>
              <w:t xml:space="preserve"> </w:t>
            </w:r>
            <w:r w:rsidRPr="00D31D95">
              <w:t>the year end valuation, the impact to the valuation would</w:t>
            </w:r>
            <w:r>
              <w:t xml:space="preserve"> </w:t>
            </w:r>
            <w:r w:rsidRPr="00D31D95">
              <w:t>have been an increase of $3,724.7 million in 2020-21</w:t>
            </w:r>
            <w:r>
              <w:t xml:space="preserve"> </w:t>
            </w:r>
            <w:r w:rsidRPr="00D31D95">
              <w:t>(2019-20: $2,274.5 million) and decrease by $2,440.3</w:t>
            </w:r>
            <w:r>
              <w:t xml:space="preserve"> </w:t>
            </w:r>
            <w:r w:rsidRPr="00D31D95">
              <w:t>million in 2020-21 (2019-20: $1,691.2 million)</w:t>
            </w:r>
          </w:p>
        </w:tc>
      </w:tr>
      <w:tr w:rsidR="006F2B61" w:rsidRPr="0076797F" w14:paraId="6FD1F99A" w14:textId="3A63C42A" w:rsidTr="001231AD">
        <w:tc>
          <w:tcPr>
            <w:tcW w:w="658" w:type="pct"/>
          </w:tcPr>
          <w:p w14:paraId="02A7012B" w14:textId="65747697" w:rsidR="006F2B61" w:rsidRPr="0076797F" w:rsidRDefault="006F2B61" w:rsidP="00DD30CD">
            <w:pPr>
              <w:pStyle w:val="TableBodyText"/>
              <w:keepLines/>
              <w:spacing w:line="233" w:lineRule="auto"/>
            </w:pPr>
            <w:r>
              <w:t>Infrastructure assets</w:t>
            </w:r>
          </w:p>
        </w:tc>
        <w:tc>
          <w:tcPr>
            <w:tcW w:w="660" w:type="pct"/>
          </w:tcPr>
          <w:p w14:paraId="5BE475BC" w14:textId="2C9F6119" w:rsidR="006F2B61" w:rsidRPr="0076797F" w:rsidRDefault="006F2B61" w:rsidP="00DD30CD">
            <w:pPr>
              <w:pStyle w:val="TableBodyText"/>
              <w:keepLines/>
              <w:spacing w:line="233" w:lineRule="auto"/>
            </w:pPr>
            <w:r>
              <w:t>Income approach</w:t>
            </w:r>
          </w:p>
        </w:tc>
        <w:tc>
          <w:tcPr>
            <w:tcW w:w="677" w:type="pct"/>
          </w:tcPr>
          <w:p w14:paraId="66859717" w14:textId="1468F9B2" w:rsidR="006F2B61" w:rsidRPr="0076797F" w:rsidRDefault="006F2B61" w:rsidP="00DD30CD">
            <w:pPr>
              <w:pStyle w:val="TableBodyText"/>
              <w:keepLines/>
              <w:spacing w:line="233" w:lineRule="auto"/>
            </w:pPr>
            <w:r w:rsidRPr="001231AD">
              <w:t>Terminal</w:t>
            </w:r>
            <w:r>
              <w:t xml:space="preserve"> </w:t>
            </w:r>
            <w:r w:rsidRPr="001231AD">
              <w:t>value capital</w:t>
            </w:r>
            <w:r>
              <w:t xml:space="preserve"> </w:t>
            </w:r>
            <w:r w:rsidRPr="001231AD">
              <w:t>expenditure</w:t>
            </w:r>
            <w:r>
              <w:t xml:space="preserve"> </w:t>
            </w:r>
            <w:r w:rsidRPr="001231AD">
              <w:t>(excluding</w:t>
            </w:r>
            <w:r>
              <w:t xml:space="preserve"> </w:t>
            </w:r>
            <w:r w:rsidRPr="001231AD">
              <w:t>growth)</w:t>
            </w:r>
          </w:p>
        </w:tc>
        <w:tc>
          <w:tcPr>
            <w:tcW w:w="727" w:type="pct"/>
          </w:tcPr>
          <w:p w14:paraId="2E0231D6" w14:textId="69D16D4A" w:rsidR="006F2B61" w:rsidRPr="0076797F" w:rsidRDefault="006F2B61" w:rsidP="00DD30CD">
            <w:pPr>
              <w:pStyle w:val="TableBodyText"/>
              <w:keepLines/>
              <w:spacing w:line="233" w:lineRule="auto"/>
            </w:pPr>
            <w:r>
              <w:t>$520.0 million</w:t>
            </w:r>
          </w:p>
        </w:tc>
        <w:tc>
          <w:tcPr>
            <w:tcW w:w="662" w:type="pct"/>
          </w:tcPr>
          <w:p w14:paraId="253EA879" w14:textId="4B0F47A9" w:rsidR="006F2B61" w:rsidRPr="0076797F" w:rsidRDefault="006F2B61" w:rsidP="00DD30CD">
            <w:pPr>
              <w:pStyle w:val="TableBodyText"/>
              <w:keepLines/>
              <w:spacing w:line="233" w:lineRule="auto"/>
            </w:pPr>
            <w:r w:rsidRPr="00DA16FA">
              <w:t>$540.0 million</w:t>
            </w:r>
          </w:p>
        </w:tc>
        <w:tc>
          <w:tcPr>
            <w:tcW w:w="1615" w:type="pct"/>
          </w:tcPr>
          <w:p w14:paraId="20694C49" w14:textId="7339F983" w:rsidR="006F2B61" w:rsidRDefault="006F2B61" w:rsidP="00DD30CD">
            <w:pPr>
              <w:pStyle w:val="TableBodyText"/>
              <w:keepLines/>
              <w:spacing w:line="233" w:lineRule="auto"/>
            </w:pPr>
            <w:r w:rsidRPr="00D31D95">
              <w:t>If the quantum of the terminal value capital expenditure</w:t>
            </w:r>
            <w:r>
              <w:t xml:space="preserve"> </w:t>
            </w:r>
            <w:r w:rsidRPr="00D31D95">
              <w:t>had changed by +/- $50 million that would result in a</w:t>
            </w:r>
            <w:r>
              <w:t xml:space="preserve"> </w:t>
            </w:r>
            <w:r w:rsidRPr="00D31D95">
              <w:t>$2,424.4 million decrease in fair value in 2020-21 (2019</w:t>
            </w:r>
            <w:r>
              <w:t>-</w:t>
            </w:r>
            <w:r w:rsidRPr="00D31D95">
              <w:t>20:</w:t>
            </w:r>
            <w:r>
              <w:t xml:space="preserve"> </w:t>
            </w:r>
            <w:r w:rsidRPr="00D31D95">
              <w:t>$1,618.6 million)</w:t>
            </w:r>
            <w:r>
              <w:t xml:space="preserve"> </w:t>
            </w:r>
            <w:r w:rsidRPr="00D31D95">
              <w:t>or</w:t>
            </w:r>
            <w:r>
              <w:t xml:space="preserve"> </w:t>
            </w:r>
            <w:r w:rsidRPr="00D31D95">
              <w:t>$2,424.4 million</w:t>
            </w:r>
            <w:r>
              <w:t xml:space="preserve"> </w:t>
            </w:r>
            <w:r w:rsidRPr="00D31D95">
              <w:t>increase in</w:t>
            </w:r>
            <w:r>
              <w:t xml:space="preserve"> </w:t>
            </w:r>
            <w:r w:rsidRPr="00D31D95">
              <w:t>fair</w:t>
            </w:r>
            <w:r>
              <w:t xml:space="preserve"> </w:t>
            </w:r>
            <w:r w:rsidRPr="00D31D95">
              <w:t>value in 2020-21 (2019-20:</w:t>
            </w:r>
            <w:r>
              <w:t xml:space="preserve"> </w:t>
            </w:r>
            <w:r w:rsidRPr="00D31D95">
              <w:t>$1,618.6</w:t>
            </w:r>
            <w:r>
              <w:t xml:space="preserve"> </w:t>
            </w:r>
            <w:r w:rsidRPr="00D31D95">
              <w:t>million)</w:t>
            </w:r>
          </w:p>
        </w:tc>
      </w:tr>
      <w:tr w:rsidR="006F2B61" w:rsidRPr="0076797F" w14:paraId="6DA2C0E6" w14:textId="2D78EE6B" w:rsidTr="001231AD">
        <w:tc>
          <w:tcPr>
            <w:tcW w:w="658" w:type="pct"/>
          </w:tcPr>
          <w:p w14:paraId="65618C5E" w14:textId="70AA73E4" w:rsidR="006F2B61" w:rsidRPr="0076797F" w:rsidRDefault="006F2B61" w:rsidP="00DD30CD">
            <w:pPr>
              <w:pStyle w:val="TableBodyText"/>
              <w:spacing w:line="233" w:lineRule="auto"/>
            </w:pPr>
            <w:r>
              <w:lastRenderedPageBreak/>
              <w:t>Infrastructure assets</w:t>
            </w:r>
          </w:p>
        </w:tc>
        <w:tc>
          <w:tcPr>
            <w:tcW w:w="660" w:type="pct"/>
          </w:tcPr>
          <w:p w14:paraId="6A52E310" w14:textId="795CD35F" w:rsidR="006F2B61" w:rsidRPr="0076797F" w:rsidRDefault="006F2B61" w:rsidP="00DD30CD">
            <w:pPr>
              <w:pStyle w:val="TableBodyText"/>
              <w:spacing w:line="233" w:lineRule="auto"/>
            </w:pPr>
            <w:r>
              <w:t>Income approach</w:t>
            </w:r>
          </w:p>
        </w:tc>
        <w:tc>
          <w:tcPr>
            <w:tcW w:w="677" w:type="pct"/>
          </w:tcPr>
          <w:p w14:paraId="08DDD2C1" w14:textId="4FD369BB" w:rsidR="006F2B61" w:rsidRPr="0076797F" w:rsidRDefault="006F2B61" w:rsidP="00DD30CD">
            <w:pPr>
              <w:pStyle w:val="TableBodyText"/>
              <w:spacing w:line="233" w:lineRule="auto"/>
            </w:pPr>
            <w:r w:rsidRPr="001231AD">
              <w:t>Weighted</w:t>
            </w:r>
            <w:r>
              <w:t xml:space="preserve"> </w:t>
            </w:r>
            <w:r w:rsidRPr="001231AD">
              <w:t>average cost of</w:t>
            </w:r>
            <w:r>
              <w:t xml:space="preserve"> </w:t>
            </w:r>
            <w:r w:rsidRPr="001231AD">
              <w:t>capital (WACC)</w:t>
            </w:r>
          </w:p>
        </w:tc>
        <w:tc>
          <w:tcPr>
            <w:tcW w:w="727" w:type="pct"/>
          </w:tcPr>
          <w:p w14:paraId="40EAE5D8" w14:textId="5E12424D" w:rsidR="006F2B61" w:rsidRPr="0076797F" w:rsidRDefault="006F2B61" w:rsidP="00DD30CD">
            <w:pPr>
              <w:pStyle w:val="TableBodyText"/>
              <w:spacing w:line="233" w:lineRule="auto"/>
            </w:pPr>
            <w:r>
              <w:t>4.2-4.7%</w:t>
            </w:r>
          </w:p>
        </w:tc>
        <w:tc>
          <w:tcPr>
            <w:tcW w:w="662" w:type="pct"/>
          </w:tcPr>
          <w:p w14:paraId="0E805DFF" w14:textId="2388158E" w:rsidR="006F2B61" w:rsidRPr="0076797F" w:rsidRDefault="006F2B61" w:rsidP="00DD30CD">
            <w:pPr>
              <w:pStyle w:val="TableBodyText"/>
              <w:spacing w:line="233" w:lineRule="auto"/>
            </w:pPr>
            <w:r w:rsidRPr="00DA16FA">
              <w:t>4.6-5.3%</w:t>
            </w:r>
          </w:p>
        </w:tc>
        <w:tc>
          <w:tcPr>
            <w:tcW w:w="1615" w:type="pct"/>
          </w:tcPr>
          <w:p w14:paraId="135F5604" w14:textId="29538C6E" w:rsidR="006F2B61" w:rsidRDefault="006F2B61" w:rsidP="00DD30CD">
            <w:pPr>
              <w:pStyle w:val="TableBodyText"/>
              <w:spacing w:line="233" w:lineRule="auto"/>
            </w:pPr>
            <w:r w:rsidRPr="00D31D95">
              <w:t>If the WACC had changed by +/-.25% from the year end</w:t>
            </w:r>
            <w:r>
              <w:t xml:space="preserve"> </w:t>
            </w:r>
            <w:r w:rsidRPr="00D31D95">
              <w:t>valuation, the impact to the valuation would have been</w:t>
            </w:r>
            <w:r>
              <w:t xml:space="preserve"> </w:t>
            </w:r>
            <w:r w:rsidRPr="00D31D95">
              <w:t>a decrease of $3,132.3 million in 2020-21 (2019-20:</w:t>
            </w:r>
            <w:r>
              <w:t xml:space="preserve"> </w:t>
            </w:r>
            <w:r w:rsidRPr="00D31D95">
              <w:t>$1,966.9 million) and increase by $3,172.1 million in</w:t>
            </w:r>
            <w:r>
              <w:t xml:space="preserve"> </w:t>
            </w:r>
            <w:r w:rsidRPr="00D31D95">
              <w:t>2020-21 (2019-20: $2,667.6 million)</w:t>
            </w:r>
          </w:p>
        </w:tc>
      </w:tr>
      <w:tr w:rsidR="006F2B61" w:rsidRPr="0076797F" w14:paraId="1D0A94E4" w14:textId="639EDFDA" w:rsidTr="001231AD">
        <w:tc>
          <w:tcPr>
            <w:tcW w:w="658" w:type="pct"/>
          </w:tcPr>
          <w:p w14:paraId="17CF196A" w14:textId="023E37AF" w:rsidR="006F2B61" w:rsidRPr="0076797F" w:rsidRDefault="006F2B61" w:rsidP="00DD30CD">
            <w:pPr>
              <w:pStyle w:val="TableBodyText"/>
              <w:spacing w:line="233" w:lineRule="auto"/>
            </w:pPr>
            <w:r>
              <w:t>Infrastructure assets</w:t>
            </w:r>
          </w:p>
        </w:tc>
        <w:tc>
          <w:tcPr>
            <w:tcW w:w="660" w:type="pct"/>
          </w:tcPr>
          <w:p w14:paraId="7F0EB3AC" w14:textId="7925D4CD" w:rsidR="006F2B61" w:rsidRPr="0076797F" w:rsidRDefault="006F2B61" w:rsidP="00DD30CD">
            <w:pPr>
              <w:pStyle w:val="TableBodyText"/>
              <w:spacing w:line="233" w:lineRule="auto"/>
            </w:pPr>
            <w:r>
              <w:t>Income approach</w:t>
            </w:r>
          </w:p>
        </w:tc>
        <w:tc>
          <w:tcPr>
            <w:tcW w:w="677" w:type="pct"/>
          </w:tcPr>
          <w:p w14:paraId="720FC837" w14:textId="61EC10CD" w:rsidR="006F2B61" w:rsidRPr="0076797F" w:rsidRDefault="006F2B61" w:rsidP="00DD30CD">
            <w:pPr>
              <w:pStyle w:val="TableBodyText"/>
              <w:spacing w:line="233" w:lineRule="auto"/>
            </w:pPr>
            <w:r>
              <w:t>Useful life</w:t>
            </w:r>
          </w:p>
        </w:tc>
        <w:tc>
          <w:tcPr>
            <w:tcW w:w="727" w:type="pct"/>
          </w:tcPr>
          <w:p w14:paraId="6280D433" w14:textId="0C333EC0" w:rsidR="006F2B61" w:rsidRPr="0076797F" w:rsidRDefault="006F2B61" w:rsidP="00DD30CD">
            <w:pPr>
              <w:pStyle w:val="TableBodyText"/>
              <w:spacing w:line="233" w:lineRule="auto"/>
            </w:pPr>
            <w:r w:rsidRPr="00DA16FA">
              <w:t>2-245 years</w:t>
            </w:r>
            <w:r>
              <w:t xml:space="preserve"> </w:t>
            </w:r>
            <w:r w:rsidRPr="00DA16FA">
              <w:t>(83 years weighted</w:t>
            </w:r>
            <w:r>
              <w:t xml:space="preserve"> </w:t>
            </w:r>
            <w:r w:rsidRPr="00DA16FA">
              <w:t>average)</w:t>
            </w:r>
          </w:p>
        </w:tc>
        <w:tc>
          <w:tcPr>
            <w:tcW w:w="662" w:type="pct"/>
          </w:tcPr>
          <w:p w14:paraId="035989DD" w14:textId="2EB1A02F" w:rsidR="006F2B61" w:rsidRPr="0076797F" w:rsidRDefault="006F2B61" w:rsidP="00DD30CD">
            <w:pPr>
              <w:pStyle w:val="TableBodyText"/>
              <w:spacing w:line="233" w:lineRule="auto"/>
            </w:pPr>
            <w:r w:rsidRPr="00DA16FA">
              <w:t>2-245 years</w:t>
            </w:r>
            <w:r>
              <w:t xml:space="preserve"> </w:t>
            </w:r>
            <w:r w:rsidRPr="00DA16FA">
              <w:t>(83 years weighted</w:t>
            </w:r>
            <w:r>
              <w:t xml:space="preserve"> </w:t>
            </w:r>
            <w:r w:rsidRPr="00DA16FA">
              <w:t>average)</w:t>
            </w:r>
          </w:p>
        </w:tc>
        <w:tc>
          <w:tcPr>
            <w:tcW w:w="1615" w:type="pct"/>
          </w:tcPr>
          <w:p w14:paraId="60FEAC00" w14:textId="3A82E265" w:rsidR="006F2B61" w:rsidRDefault="006F2B61" w:rsidP="00DD30CD">
            <w:pPr>
              <w:pStyle w:val="TableBodyText"/>
              <w:spacing w:line="233" w:lineRule="auto"/>
            </w:pPr>
            <w:r w:rsidRPr="00D31D95">
              <w:t>A significant increase or decrease in estimated useful life</w:t>
            </w:r>
            <w:r>
              <w:t xml:space="preserve"> </w:t>
            </w:r>
            <w:r w:rsidRPr="00D31D95">
              <w:t>of the asset would result in a higher or lower fair value</w:t>
            </w:r>
          </w:p>
        </w:tc>
      </w:tr>
      <w:tr w:rsidR="00904E7C" w:rsidRPr="0076797F" w14:paraId="717B1ACA" w14:textId="77777777" w:rsidTr="001231AD">
        <w:tc>
          <w:tcPr>
            <w:tcW w:w="658" w:type="pct"/>
          </w:tcPr>
          <w:p w14:paraId="39550FBC" w14:textId="19291AA8" w:rsidR="00904E7C" w:rsidRDefault="00DC0A06" w:rsidP="00DD30CD">
            <w:pPr>
              <w:pStyle w:val="TableBodyText"/>
              <w:spacing w:line="233" w:lineRule="auto"/>
            </w:pPr>
            <w:r>
              <w:t>Victorian Desalination Plant</w:t>
            </w:r>
            <w:r w:rsidR="00904E7C" w:rsidRPr="00904E7C">
              <w:t xml:space="preserve"> service</w:t>
            </w:r>
            <w:r w:rsidR="00904E7C">
              <w:t xml:space="preserve"> </w:t>
            </w:r>
            <w:r w:rsidR="00904E7C" w:rsidRPr="00904E7C">
              <w:t>concession asset</w:t>
            </w:r>
          </w:p>
        </w:tc>
        <w:tc>
          <w:tcPr>
            <w:tcW w:w="660" w:type="pct"/>
          </w:tcPr>
          <w:p w14:paraId="0F496402" w14:textId="4CE648D6" w:rsidR="00904E7C" w:rsidRDefault="00904E7C" w:rsidP="00DD30CD">
            <w:pPr>
              <w:pStyle w:val="TableBodyText"/>
              <w:spacing w:line="233" w:lineRule="auto"/>
            </w:pPr>
            <w:r>
              <w:t>Current replacement cost</w:t>
            </w:r>
          </w:p>
        </w:tc>
        <w:tc>
          <w:tcPr>
            <w:tcW w:w="677" w:type="pct"/>
          </w:tcPr>
          <w:p w14:paraId="0D8E69DC" w14:textId="59329256" w:rsidR="00904E7C" w:rsidRDefault="00904E7C" w:rsidP="00DD30CD">
            <w:pPr>
              <w:pStyle w:val="TableBodyText"/>
              <w:spacing w:line="233" w:lineRule="auto"/>
            </w:pPr>
            <w:r>
              <w:t>Cost per unit</w:t>
            </w:r>
          </w:p>
        </w:tc>
        <w:tc>
          <w:tcPr>
            <w:tcW w:w="727" w:type="pct"/>
          </w:tcPr>
          <w:p w14:paraId="2330BC00" w14:textId="6C7907D3" w:rsidR="00904E7C" w:rsidRPr="00904E7C" w:rsidRDefault="00904E7C" w:rsidP="00DD30CD">
            <w:pPr>
              <w:pStyle w:val="TableBodyText"/>
              <w:spacing w:line="233" w:lineRule="auto"/>
            </w:pPr>
            <w:r w:rsidRPr="00904E7C">
              <w:t>Buildings $ per sqm:</w:t>
            </w:r>
            <w:r>
              <w:t xml:space="preserve"> </w:t>
            </w:r>
            <w:r w:rsidRPr="00904E7C">
              <w:t>10,000-15,600 (14,700</w:t>
            </w:r>
            <w:r>
              <w:t xml:space="preserve"> </w:t>
            </w:r>
            <w:r w:rsidRPr="00904E7C">
              <w:t>weighted average)</w:t>
            </w:r>
          </w:p>
          <w:p w14:paraId="6194D3CE" w14:textId="7DCBB33F" w:rsidR="00904E7C" w:rsidRPr="00904E7C" w:rsidRDefault="00904E7C" w:rsidP="00DD30CD">
            <w:pPr>
              <w:pStyle w:val="TableBodyText"/>
              <w:spacing w:line="233" w:lineRule="auto"/>
            </w:pPr>
            <w:r w:rsidRPr="00904E7C">
              <w:t>Pipeline $ per m:</w:t>
            </w:r>
            <w:r>
              <w:t xml:space="preserve"> </w:t>
            </w:r>
            <w:r w:rsidRPr="00904E7C">
              <w:t>11,000-15,400 (13,000</w:t>
            </w:r>
            <w:r>
              <w:t xml:space="preserve"> </w:t>
            </w:r>
            <w:r w:rsidRPr="00904E7C">
              <w:t>weighted average)</w:t>
            </w:r>
          </w:p>
          <w:p w14:paraId="5D813E49" w14:textId="7FF6DDC2" w:rsidR="00904E7C" w:rsidRPr="00904E7C" w:rsidRDefault="00904E7C" w:rsidP="00DD30CD">
            <w:pPr>
              <w:pStyle w:val="TableBodyText"/>
              <w:spacing w:line="233" w:lineRule="auto"/>
            </w:pPr>
            <w:r w:rsidRPr="00904E7C">
              <w:t>Pumps $ per kW: 350-1,000</w:t>
            </w:r>
            <w:r>
              <w:t xml:space="preserve"> </w:t>
            </w:r>
            <w:r w:rsidRPr="00904E7C">
              <w:t>(700 weighted average)</w:t>
            </w:r>
          </w:p>
          <w:p w14:paraId="148FCD5A" w14:textId="6CEBD909" w:rsidR="00904E7C" w:rsidRPr="00904E7C" w:rsidRDefault="00904E7C" w:rsidP="00DD30CD">
            <w:pPr>
              <w:pStyle w:val="TableBodyText"/>
              <w:spacing w:line="233" w:lineRule="auto"/>
            </w:pPr>
            <w:r w:rsidRPr="00904E7C">
              <w:t xml:space="preserve">Transformers $ per MVA: </w:t>
            </w:r>
          </w:p>
          <w:p w14:paraId="7D5B6CD3" w14:textId="7043D658" w:rsidR="00904E7C" w:rsidRPr="00904E7C" w:rsidRDefault="00904E7C" w:rsidP="00DD30CD">
            <w:pPr>
              <w:pStyle w:val="TableBodyText"/>
              <w:spacing w:line="233" w:lineRule="auto"/>
            </w:pPr>
            <w:r w:rsidRPr="00904E7C">
              <w:t>45,000-96,000</w:t>
            </w:r>
            <w:r>
              <w:t xml:space="preserve"> </w:t>
            </w:r>
            <w:r w:rsidRPr="00904E7C">
              <w:t>(75,000 weighted</w:t>
            </w:r>
            <w:r>
              <w:t xml:space="preserve"> </w:t>
            </w:r>
            <w:r w:rsidRPr="00904E7C">
              <w:t>average)</w:t>
            </w:r>
          </w:p>
          <w:p w14:paraId="2B7FDB30" w14:textId="316E9927" w:rsidR="00904E7C" w:rsidRPr="00DA16FA" w:rsidRDefault="00904E7C" w:rsidP="00DD30CD">
            <w:pPr>
              <w:pStyle w:val="TableBodyText"/>
              <w:spacing w:line="233" w:lineRule="auto"/>
            </w:pPr>
            <w:r w:rsidRPr="00904E7C">
              <w:t>Pipeline $ per KL:</w:t>
            </w:r>
            <w:r>
              <w:t xml:space="preserve"> </w:t>
            </w:r>
            <w:r w:rsidRPr="00904E7C">
              <w:t>430-1,000 (675</w:t>
            </w:r>
            <w:r>
              <w:t xml:space="preserve"> </w:t>
            </w:r>
            <w:r w:rsidRPr="00904E7C">
              <w:t>weighted average)</w:t>
            </w:r>
          </w:p>
        </w:tc>
        <w:tc>
          <w:tcPr>
            <w:tcW w:w="662" w:type="pct"/>
          </w:tcPr>
          <w:p w14:paraId="6308981A" w14:textId="4074E96E" w:rsidR="00904E7C" w:rsidRPr="00DA16FA" w:rsidRDefault="00904E7C" w:rsidP="00DD30CD">
            <w:pPr>
              <w:pStyle w:val="TableBodyText"/>
              <w:spacing w:line="233" w:lineRule="auto"/>
            </w:pPr>
            <w:r>
              <w:t>Not applicable</w:t>
            </w:r>
          </w:p>
        </w:tc>
        <w:tc>
          <w:tcPr>
            <w:tcW w:w="1615" w:type="pct"/>
          </w:tcPr>
          <w:p w14:paraId="5BC00B37" w14:textId="41697CFD" w:rsidR="00904E7C" w:rsidRPr="00D31D95" w:rsidRDefault="00904E7C" w:rsidP="00DD30CD">
            <w:pPr>
              <w:pStyle w:val="TableBodyText"/>
              <w:spacing w:line="233" w:lineRule="auto"/>
            </w:pPr>
            <w:r w:rsidRPr="00904E7C">
              <w:t>A significant increase or decrease in unit costs would result in</w:t>
            </w:r>
            <w:r>
              <w:t xml:space="preserve"> </w:t>
            </w:r>
            <w:r w:rsidRPr="00904E7C">
              <w:t>a significantly higher or lower fair value</w:t>
            </w:r>
          </w:p>
        </w:tc>
      </w:tr>
      <w:tr w:rsidR="00904E7C" w:rsidRPr="0076797F" w14:paraId="109EF1C5" w14:textId="77777777" w:rsidTr="001231AD">
        <w:tc>
          <w:tcPr>
            <w:tcW w:w="658" w:type="pct"/>
          </w:tcPr>
          <w:p w14:paraId="02B8EA78" w14:textId="1ABEC72E" w:rsidR="00904E7C" w:rsidRDefault="00DC0A06" w:rsidP="00DD30CD">
            <w:pPr>
              <w:pStyle w:val="TableBodyText"/>
              <w:spacing w:line="233" w:lineRule="auto"/>
            </w:pPr>
            <w:r>
              <w:t>Victorian Desalination Plant</w:t>
            </w:r>
            <w:r w:rsidR="00904E7C">
              <w:t xml:space="preserve"> service concession asset</w:t>
            </w:r>
          </w:p>
        </w:tc>
        <w:tc>
          <w:tcPr>
            <w:tcW w:w="660" w:type="pct"/>
          </w:tcPr>
          <w:p w14:paraId="0B07A216" w14:textId="22F7A172" w:rsidR="00904E7C" w:rsidRDefault="00904E7C" w:rsidP="00DD30CD">
            <w:pPr>
              <w:pStyle w:val="TableBodyText"/>
              <w:spacing w:line="233" w:lineRule="auto"/>
            </w:pPr>
            <w:r>
              <w:t>Current replacement cost</w:t>
            </w:r>
          </w:p>
        </w:tc>
        <w:tc>
          <w:tcPr>
            <w:tcW w:w="677" w:type="pct"/>
          </w:tcPr>
          <w:p w14:paraId="3EE1EB14" w14:textId="11D34F9B" w:rsidR="00904E7C" w:rsidRDefault="00904E7C" w:rsidP="00DD30CD">
            <w:pPr>
              <w:pStyle w:val="TableBodyText"/>
              <w:spacing w:line="233" w:lineRule="auto"/>
            </w:pPr>
            <w:r>
              <w:t>Engineering useful life for valuation</w:t>
            </w:r>
          </w:p>
        </w:tc>
        <w:tc>
          <w:tcPr>
            <w:tcW w:w="727" w:type="pct"/>
          </w:tcPr>
          <w:p w14:paraId="7C043ADD" w14:textId="45019A1A" w:rsidR="00904E7C" w:rsidRPr="00DA16FA" w:rsidRDefault="00904E7C" w:rsidP="00DD30CD">
            <w:pPr>
              <w:pStyle w:val="TableBodyText"/>
              <w:spacing w:line="233" w:lineRule="auto"/>
            </w:pPr>
            <w:r w:rsidRPr="00904E7C">
              <w:t>10-100 years</w:t>
            </w:r>
            <w:r>
              <w:t xml:space="preserve"> </w:t>
            </w:r>
            <w:r w:rsidRPr="00904E7C">
              <w:t>(62 years weighted</w:t>
            </w:r>
            <w:r>
              <w:t xml:space="preserve"> </w:t>
            </w:r>
            <w:r w:rsidRPr="00904E7C">
              <w:t>average)</w:t>
            </w:r>
          </w:p>
        </w:tc>
        <w:tc>
          <w:tcPr>
            <w:tcW w:w="662" w:type="pct"/>
          </w:tcPr>
          <w:p w14:paraId="495334AF" w14:textId="2570555F" w:rsidR="00904E7C" w:rsidRPr="00DA16FA" w:rsidRDefault="00904E7C" w:rsidP="00DD30CD">
            <w:pPr>
              <w:pStyle w:val="TableBodyText"/>
              <w:spacing w:line="233" w:lineRule="auto"/>
            </w:pPr>
            <w:r>
              <w:t>Not applicable</w:t>
            </w:r>
          </w:p>
        </w:tc>
        <w:tc>
          <w:tcPr>
            <w:tcW w:w="1615" w:type="pct"/>
          </w:tcPr>
          <w:p w14:paraId="1818F5EB" w14:textId="5CBBCAA2" w:rsidR="00904E7C" w:rsidRPr="00D31D95" w:rsidRDefault="00904E7C" w:rsidP="00DD30CD">
            <w:pPr>
              <w:pStyle w:val="TableBodyText"/>
              <w:spacing w:line="233" w:lineRule="auto"/>
            </w:pPr>
            <w:r w:rsidRPr="00904E7C">
              <w:t>A significant increase or decrease in estimated useful life of</w:t>
            </w:r>
            <w:r>
              <w:t xml:space="preserve"> </w:t>
            </w:r>
            <w:r w:rsidRPr="00904E7C">
              <w:t>the asset would result in a significantly higher or lower fair</w:t>
            </w:r>
            <w:r>
              <w:t xml:space="preserve"> </w:t>
            </w:r>
            <w:r w:rsidRPr="00904E7C">
              <w:t>value</w:t>
            </w:r>
          </w:p>
        </w:tc>
      </w:tr>
      <w:tr w:rsidR="00904E7C" w:rsidRPr="0076797F" w14:paraId="3AD8CA82" w14:textId="77777777" w:rsidTr="001231AD">
        <w:tc>
          <w:tcPr>
            <w:tcW w:w="658" w:type="pct"/>
          </w:tcPr>
          <w:p w14:paraId="1C69EA14" w14:textId="2D7A02F6" w:rsidR="00904E7C" w:rsidRDefault="00DC0A06" w:rsidP="00DD30CD">
            <w:pPr>
              <w:pStyle w:val="TableBodyText"/>
              <w:spacing w:line="233" w:lineRule="auto"/>
            </w:pPr>
            <w:r>
              <w:t>Victorian Desalination Plant</w:t>
            </w:r>
            <w:r w:rsidR="00904E7C">
              <w:t xml:space="preserve"> service concession asset</w:t>
            </w:r>
          </w:p>
        </w:tc>
        <w:tc>
          <w:tcPr>
            <w:tcW w:w="660" w:type="pct"/>
          </w:tcPr>
          <w:p w14:paraId="2645C514" w14:textId="07657293" w:rsidR="00904E7C" w:rsidRDefault="00904E7C" w:rsidP="00DD30CD">
            <w:pPr>
              <w:pStyle w:val="TableBodyText"/>
              <w:spacing w:line="233" w:lineRule="auto"/>
            </w:pPr>
            <w:r>
              <w:t>Current replacement cost</w:t>
            </w:r>
          </w:p>
        </w:tc>
        <w:tc>
          <w:tcPr>
            <w:tcW w:w="677" w:type="pct"/>
          </w:tcPr>
          <w:p w14:paraId="5DA65280" w14:textId="2CE068ED" w:rsidR="00904E7C" w:rsidRDefault="00904E7C" w:rsidP="00DD30CD">
            <w:pPr>
              <w:pStyle w:val="TableBodyText"/>
              <w:spacing w:line="233" w:lineRule="auto"/>
            </w:pPr>
            <w:r>
              <w:t xml:space="preserve">Industry specific </w:t>
            </w:r>
            <w:r w:rsidR="00DC0A06">
              <w:t>Australian Bureau of Statistics</w:t>
            </w:r>
            <w:r>
              <w:t xml:space="preserve"> inflation indices</w:t>
            </w:r>
          </w:p>
        </w:tc>
        <w:tc>
          <w:tcPr>
            <w:tcW w:w="727" w:type="pct"/>
          </w:tcPr>
          <w:p w14:paraId="50B7E838" w14:textId="51A2A3D4" w:rsidR="00904E7C" w:rsidRPr="00DA16FA" w:rsidRDefault="00904E7C" w:rsidP="00DD30CD">
            <w:pPr>
              <w:pStyle w:val="TableBodyText"/>
              <w:spacing w:line="233" w:lineRule="auto"/>
            </w:pPr>
            <w:r w:rsidRPr="00904E7C">
              <w:t>8%-19%</w:t>
            </w:r>
            <w:r>
              <w:t xml:space="preserve"> </w:t>
            </w:r>
            <w:r w:rsidRPr="00904E7C">
              <w:t>(12% weighted</w:t>
            </w:r>
            <w:r>
              <w:t xml:space="preserve"> </w:t>
            </w:r>
            <w:r w:rsidRPr="00904E7C">
              <w:t>average)</w:t>
            </w:r>
          </w:p>
        </w:tc>
        <w:tc>
          <w:tcPr>
            <w:tcW w:w="662" w:type="pct"/>
          </w:tcPr>
          <w:p w14:paraId="3A547F84" w14:textId="09AA95AF" w:rsidR="00904E7C" w:rsidRPr="00DA16FA" w:rsidRDefault="00904E7C" w:rsidP="00DD30CD">
            <w:pPr>
              <w:pStyle w:val="TableBodyText"/>
              <w:spacing w:line="233" w:lineRule="auto"/>
            </w:pPr>
            <w:r w:rsidRPr="00904E7C">
              <w:t>7%-20%</w:t>
            </w:r>
            <w:r>
              <w:t xml:space="preserve"> </w:t>
            </w:r>
            <w:r w:rsidRPr="00904E7C">
              <w:t>(12% weighted</w:t>
            </w:r>
            <w:r>
              <w:t xml:space="preserve"> </w:t>
            </w:r>
            <w:r w:rsidRPr="00904E7C">
              <w:t>average)</w:t>
            </w:r>
          </w:p>
        </w:tc>
        <w:tc>
          <w:tcPr>
            <w:tcW w:w="1615" w:type="pct"/>
          </w:tcPr>
          <w:p w14:paraId="56ACB641" w14:textId="29357EDB" w:rsidR="00904E7C" w:rsidRPr="00D31D95" w:rsidRDefault="00904E7C" w:rsidP="00DD30CD">
            <w:pPr>
              <w:pStyle w:val="TableBodyText"/>
              <w:spacing w:line="233" w:lineRule="auto"/>
            </w:pPr>
            <w:r w:rsidRPr="00904E7C">
              <w:t>A significant increase or decrease in estimated inflation</w:t>
            </w:r>
            <w:r>
              <w:t xml:space="preserve"> </w:t>
            </w:r>
            <w:r w:rsidRPr="00904E7C">
              <w:t>factors would result in a higher or lower fair value</w:t>
            </w:r>
          </w:p>
        </w:tc>
      </w:tr>
    </w:tbl>
    <w:p w14:paraId="0F9CFB6A" w14:textId="77777777" w:rsidR="004B649A" w:rsidRDefault="004B649A" w:rsidP="004B649A"/>
    <w:p w14:paraId="76E077AC" w14:textId="1C5BFA45" w:rsidR="004B649A" w:rsidRDefault="004B649A" w:rsidP="004B649A">
      <w:pPr>
        <w:sectPr w:rsidR="004B649A" w:rsidSect="00CF70F9">
          <w:endnotePr>
            <w:numFmt w:val="decimal"/>
          </w:endnotePr>
          <w:pgSz w:w="11900" w:h="16840"/>
          <w:pgMar w:top="1134" w:right="851" w:bottom="1134" w:left="1418" w:header="709" w:footer="709" w:gutter="0"/>
          <w:cols w:space="289"/>
          <w:docGrid w:linePitch="360"/>
        </w:sectPr>
      </w:pPr>
    </w:p>
    <w:p w14:paraId="6C15EC7A" w14:textId="0CF66475" w:rsidR="00904E7C" w:rsidRDefault="00904E7C" w:rsidP="00904E7C">
      <w:pPr>
        <w:pStyle w:val="Heading5"/>
      </w:pPr>
      <w:bookmarkStart w:id="1019" w:name="Note4124"/>
      <w:r w:rsidRPr="00C73893">
        <w:lastRenderedPageBreak/>
        <w:t>4.1.2.</w:t>
      </w:r>
      <w:r>
        <w:t xml:space="preserve">4 </w:t>
      </w:r>
      <w:bookmarkEnd w:id="1019"/>
      <w:r>
        <w:t>Reconciliation of Level 3 fair value</w:t>
      </w:r>
    </w:p>
    <w:tbl>
      <w:tblPr>
        <w:tblStyle w:val="TableGrid"/>
        <w:tblW w:w="5000" w:type="pct"/>
        <w:tblLook w:val="04A0" w:firstRow="1" w:lastRow="0" w:firstColumn="1" w:lastColumn="0" w:noHBand="0" w:noVBand="1"/>
      </w:tblPr>
      <w:tblGrid>
        <w:gridCol w:w="3685"/>
        <w:gridCol w:w="1702"/>
        <w:gridCol w:w="1982"/>
        <w:gridCol w:w="1419"/>
        <w:gridCol w:w="1443"/>
        <w:gridCol w:w="1498"/>
        <w:gridCol w:w="1373"/>
        <w:gridCol w:w="1469"/>
      </w:tblGrid>
      <w:tr w:rsidR="004B649A" w:rsidRPr="00FF2327" w14:paraId="3D315DA8" w14:textId="1BAC7A9E" w:rsidTr="00A54B77">
        <w:trPr>
          <w:cnfStyle w:val="100000000000" w:firstRow="1" w:lastRow="0" w:firstColumn="0" w:lastColumn="0" w:oddVBand="0" w:evenVBand="0" w:oddHBand="0" w:evenHBand="0" w:firstRowFirstColumn="0" w:firstRowLastColumn="0" w:lastRowFirstColumn="0" w:lastRowLastColumn="0"/>
          <w:tblHeader/>
        </w:trPr>
        <w:tc>
          <w:tcPr>
            <w:tcW w:w="1265" w:type="pct"/>
            <w:vAlign w:val="bottom"/>
          </w:tcPr>
          <w:p w14:paraId="79A9E72A" w14:textId="488D9653" w:rsidR="004B649A" w:rsidRPr="00FF2327" w:rsidRDefault="004B649A" w:rsidP="00FF2327">
            <w:bookmarkStart w:id="1020" w:name="ColumnTitle_70"/>
            <w:r w:rsidRPr="00FF2327">
              <w:t>Item</w:t>
            </w:r>
          </w:p>
        </w:tc>
        <w:tc>
          <w:tcPr>
            <w:tcW w:w="584" w:type="pct"/>
            <w:vAlign w:val="bottom"/>
          </w:tcPr>
          <w:p w14:paraId="0317149E" w14:textId="61E295DD" w:rsidR="004B649A" w:rsidRPr="00FF2327" w:rsidRDefault="004B649A" w:rsidP="00FF2327">
            <w:pPr>
              <w:jc w:val="right"/>
            </w:pPr>
            <w:r w:rsidRPr="00FF2327">
              <w:t>Specialised land</w:t>
            </w:r>
          </w:p>
          <w:p w14:paraId="430EFCB3" w14:textId="246CA526" w:rsidR="004B649A" w:rsidRPr="00FF2327" w:rsidRDefault="004B649A" w:rsidP="00FF2327">
            <w:pPr>
              <w:jc w:val="right"/>
            </w:pPr>
            <w:r w:rsidRPr="00FF2327">
              <w:t>($ thousands)</w:t>
            </w:r>
          </w:p>
        </w:tc>
        <w:tc>
          <w:tcPr>
            <w:tcW w:w="680" w:type="pct"/>
            <w:vAlign w:val="bottom"/>
          </w:tcPr>
          <w:p w14:paraId="21B8CFC2" w14:textId="3AC6CC7A" w:rsidR="004B649A" w:rsidRPr="00FF2327" w:rsidRDefault="004B649A" w:rsidP="00FF2327">
            <w:pPr>
              <w:jc w:val="right"/>
            </w:pPr>
            <w:r w:rsidRPr="00FF2327">
              <w:t>Specialised buildings</w:t>
            </w:r>
          </w:p>
          <w:p w14:paraId="15C541CD" w14:textId="087FF167" w:rsidR="004B649A" w:rsidRPr="00FF2327" w:rsidRDefault="004B649A" w:rsidP="00FF2327">
            <w:pPr>
              <w:jc w:val="right"/>
            </w:pPr>
            <w:r w:rsidRPr="00FF2327">
              <w:t>($ thousands)</w:t>
            </w:r>
          </w:p>
        </w:tc>
        <w:tc>
          <w:tcPr>
            <w:tcW w:w="487" w:type="pct"/>
            <w:vAlign w:val="bottom"/>
          </w:tcPr>
          <w:p w14:paraId="135C91E1" w14:textId="77777777" w:rsidR="004B649A" w:rsidRPr="00FF2327" w:rsidRDefault="004B649A" w:rsidP="00FF2327">
            <w:pPr>
              <w:jc w:val="right"/>
            </w:pPr>
            <w:r w:rsidRPr="00FF2327">
              <w:t>Leasehold improvements</w:t>
            </w:r>
          </w:p>
          <w:p w14:paraId="57D22DC9" w14:textId="22A6DDAB" w:rsidR="004B649A" w:rsidRPr="00FF2327" w:rsidRDefault="004B649A" w:rsidP="00FF2327">
            <w:pPr>
              <w:jc w:val="right"/>
            </w:pPr>
            <w:r w:rsidRPr="00FF2327">
              <w:t>($ thousands)</w:t>
            </w:r>
          </w:p>
        </w:tc>
        <w:tc>
          <w:tcPr>
            <w:tcW w:w="495" w:type="pct"/>
            <w:vAlign w:val="bottom"/>
          </w:tcPr>
          <w:p w14:paraId="44507AEB" w14:textId="43E58954" w:rsidR="004B649A" w:rsidRPr="00FF2327" w:rsidRDefault="004B649A" w:rsidP="00FF2327">
            <w:pPr>
              <w:jc w:val="right"/>
            </w:pPr>
            <w:r w:rsidRPr="00FF2327">
              <w:t>Plant and equipment</w:t>
            </w:r>
          </w:p>
          <w:p w14:paraId="6D571FFA" w14:textId="43792000" w:rsidR="004B649A" w:rsidRPr="00FF2327" w:rsidRDefault="004B649A" w:rsidP="00FF2327">
            <w:pPr>
              <w:jc w:val="right"/>
            </w:pPr>
            <w:r w:rsidRPr="00FF2327">
              <w:t>($ thousands)</w:t>
            </w:r>
          </w:p>
        </w:tc>
        <w:tc>
          <w:tcPr>
            <w:tcW w:w="514" w:type="pct"/>
            <w:vAlign w:val="bottom"/>
          </w:tcPr>
          <w:p w14:paraId="1C932897" w14:textId="288941CB" w:rsidR="004B649A" w:rsidRPr="00FF2327" w:rsidRDefault="004B649A" w:rsidP="00FF2327">
            <w:pPr>
              <w:jc w:val="right"/>
            </w:pPr>
            <w:r w:rsidRPr="00FF2327">
              <w:t>Fleet vehicles</w:t>
            </w:r>
          </w:p>
          <w:p w14:paraId="4409B03C" w14:textId="7D17A80A" w:rsidR="004B649A" w:rsidRPr="00FF2327" w:rsidRDefault="004B649A" w:rsidP="00FF2327">
            <w:pPr>
              <w:jc w:val="right"/>
            </w:pPr>
            <w:r w:rsidRPr="00FF2327">
              <w:t>($ thousands)</w:t>
            </w:r>
          </w:p>
        </w:tc>
        <w:tc>
          <w:tcPr>
            <w:tcW w:w="471" w:type="pct"/>
            <w:vAlign w:val="bottom"/>
          </w:tcPr>
          <w:p w14:paraId="4C45D6A8" w14:textId="77777777" w:rsidR="004B649A" w:rsidRPr="00FF2327" w:rsidRDefault="004B649A" w:rsidP="00FF2327">
            <w:pPr>
              <w:jc w:val="right"/>
            </w:pPr>
            <w:r w:rsidRPr="00FF2327">
              <w:t>Infrastructure</w:t>
            </w:r>
          </w:p>
          <w:p w14:paraId="76949552" w14:textId="2483915D" w:rsidR="004B649A" w:rsidRPr="00FF2327" w:rsidRDefault="004B649A" w:rsidP="00FF2327">
            <w:pPr>
              <w:jc w:val="right"/>
            </w:pPr>
            <w:r w:rsidRPr="00FF2327">
              <w:t>($ thousands)</w:t>
            </w:r>
          </w:p>
        </w:tc>
        <w:tc>
          <w:tcPr>
            <w:tcW w:w="504" w:type="pct"/>
            <w:vAlign w:val="bottom"/>
          </w:tcPr>
          <w:p w14:paraId="47C468DC" w14:textId="22323FD6" w:rsidR="004B649A" w:rsidRPr="00FF2327" w:rsidRDefault="00DC0A06" w:rsidP="00FF2327">
            <w:pPr>
              <w:jc w:val="right"/>
            </w:pPr>
            <w:r>
              <w:t>Victorian Desalination Plant</w:t>
            </w:r>
            <w:r w:rsidR="004B649A" w:rsidRPr="00FF2327">
              <w:t xml:space="preserve"> service concession asset</w:t>
            </w:r>
          </w:p>
          <w:p w14:paraId="42E8C77B" w14:textId="1E33E427" w:rsidR="004B649A" w:rsidRPr="00FF2327" w:rsidRDefault="004B649A" w:rsidP="00FF2327">
            <w:pPr>
              <w:jc w:val="right"/>
            </w:pPr>
            <w:r w:rsidRPr="00FF2327">
              <w:t>($ thousands)</w:t>
            </w:r>
          </w:p>
        </w:tc>
      </w:tr>
      <w:bookmarkEnd w:id="1020"/>
      <w:tr w:rsidR="004B649A" w:rsidRPr="0076797F" w14:paraId="197D2A4A" w14:textId="6A11E1BC" w:rsidTr="00FF2327">
        <w:tc>
          <w:tcPr>
            <w:tcW w:w="1265" w:type="pct"/>
          </w:tcPr>
          <w:p w14:paraId="29E2BB0B" w14:textId="5E3D55B1" w:rsidR="004B649A" w:rsidRPr="00FF2327" w:rsidRDefault="004B649A" w:rsidP="00FF2327">
            <w:pPr>
              <w:pStyle w:val="TableBodyText"/>
            </w:pPr>
            <w:r w:rsidRPr="00FF2327">
              <w:t>Opening balance 1 July 2019</w:t>
            </w:r>
          </w:p>
        </w:tc>
        <w:tc>
          <w:tcPr>
            <w:tcW w:w="584" w:type="pct"/>
          </w:tcPr>
          <w:p w14:paraId="7A2E53A2" w14:textId="193D1659" w:rsidR="004B649A" w:rsidRPr="0076797F" w:rsidRDefault="004B649A" w:rsidP="00FF2327">
            <w:pPr>
              <w:pStyle w:val="TableBodyText"/>
              <w:jc w:val="right"/>
            </w:pPr>
            <w:r>
              <w:t>1,428,516</w:t>
            </w:r>
          </w:p>
        </w:tc>
        <w:tc>
          <w:tcPr>
            <w:tcW w:w="680" w:type="pct"/>
          </w:tcPr>
          <w:p w14:paraId="5E4B685C" w14:textId="36DE0559" w:rsidR="004B649A" w:rsidRPr="0076797F" w:rsidRDefault="004B649A" w:rsidP="00FF2327">
            <w:pPr>
              <w:pStyle w:val="TableBodyText"/>
              <w:jc w:val="right"/>
            </w:pPr>
            <w:r>
              <w:t>21,430</w:t>
            </w:r>
          </w:p>
        </w:tc>
        <w:tc>
          <w:tcPr>
            <w:tcW w:w="487" w:type="pct"/>
          </w:tcPr>
          <w:p w14:paraId="29D482B9" w14:textId="7DD5B503" w:rsidR="004B649A" w:rsidRDefault="004B649A" w:rsidP="00FF2327">
            <w:pPr>
              <w:pStyle w:val="TableBodyText"/>
              <w:jc w:val="right"/>
            </w:pPr>
            <w:r>
              <w:t>8,330</w:t>
            </w:r>
          </w:p>
        </w:tc>
        <w:tc>
          <w:tcPr>
            <w:tcW w:w="495" w:type="pct"/>
          </w:tcPr>
          <w:p w14:paraId="0DEF6AAA" w14:textId="30E9E0AC" w:rsidR="004B649A" w:rsidRPr="0076797F" w:rsidRDefault="004B649A" w:rsidP="00FF2327">
            <w:pPr>
              <w:pStyle w:val="TableBodyText"/>
              <w:jc w:val="right"/>
            </w:pPr>
            <w:r>
              <w:t>14,981</w:t>
            </w:r>
          </w:p>
        </w:tc>
        <w:tc>
          <w:tcPr>
            <w:tcW w:w="514" w:type="pct"/>
          </w:tcPr>
          <w:p w14:paraId="34DBBC0C" w14:textId="17676215" w:rsidR="004B649A" w:rsidRPr="0076797F" w:rsidRDefault="004B649A" w:rsidP="00FF2327">
            <w:pPr>
              <w:pStyle w:val="TableBodyText"/>
              <w:jc w:val="right"/>
            </w:pPr>
            <w:r>
              <w:t>12,436</w:t>
            </w:r>
          </w:p>
        </w:tc>
        <w:tc>
          <w:tcPr>
            <w:tcW w:w="471" w:type="pct"/>
          </w:tcPr>
          <w:p w14:paraId="6CC9EC5A" w14:textId="5ECDF88F" w:rsidR="004B649A" w:rsidRDefault="004B649A" w:rsidP="00FF2327">
            <w:pPr>
              <w:pStyle w:val="TableBodyText"/>
              <w:jc w:val="right"/>
            </w:pPr>
            <w:r>
              <w:t>8,801,118</w:t>
            </w:r>
          </w:p>
        </w:tc>
        <w:tc>
          <w:tcPr>
            <w:tcW w:w="504" w:type="pct"/>
          </w:tcPr>
          <w:p w14:paraId="4B0DD21F" w14:textId="4D85CF6C" w:rsidR="004B649A" w:rsidRPr="00D31D95" w:rsidRDefault="004B649A" w:rsidP="00FF2327">
            <w:pPr>
              <w:pStyle w:val="TableBodyText"/>
              <w:jc w:val="right"/>
            </w:pPr>
            <w:r>
              <w:t>4,149,448</w:t>
            </w:r>
          </w:p>
        </w:tc>
      </w:tr>
      <w:tr w:rsidR="004B649A" w:rsidRPr="0076797F" w14:paraId="3F15C902" w14:textId="1B5D0BEA" w:rsidTr="00FF2327">
        <w:tc>
          <w:tcPr>
            <w:tcW w:w="1265" w:type="pct"/>
          </w:tcPr>
          <w:p w14:paraId="71CC1A71" w14:textId="0ECE2667" w:rsidR="004B649A" w:rsidRPr="0076797F" w:rsidRDefault="004B649A" w:rsidP="00FF2327">
            <w:pPr>
              <w:pStyle w:val="TableBodyText"/>
            </w:pPr>
            <w:r>
              <w:t>Purchased additions</w:t>
            </w:r>
          </w:p>
        </w:tc>
        <w:tc>
          <w:tcPr>
            <w:tcW w:w="584" w:type="pct"/>
          </w:tcPr>
          <w:p w14:paraId="3E1F5EC8" w14:textId="7332559E" w:rsidR="004B649A" w:rsidRPr="0076797F" w:rsidRDefault="004B649A" w:rsidP="00FF2327">
            <w:pPr>
              <w:pStyle w:val="TableBodyText"/>
              <w:jc w:val="right"/>
            </w:pPr>
            <w:r>
              <w:t>N/A</w:t>
            </w:r>
          </w:p>
        </w:tc>
        <w:tc>
          <w:tcPr>
            <w:tcW w:w="680" w:type="pct"/>
          </w:tcPr>
          <w:p w14:paraId="5483F0B4" w14:textId="28AA0323" w:rsidR="004B649A" w:rsidRPr="0076797F" w:rsidRDefault="004B649A" w:rsidP="00FF2327">
            <w:pPr>
              <w:pStyle w:val="TableBodyText"/>
              <w:jc w:val="right"/>
            </w:pPr>
            <w:r>
              <w:t>N/A</w:t>
            </w:r>
          </w:p>
        </w:tc>
        <w:tc>
          <w:tcPr>
            <w:tcW w:w="487" w:type="pct"/>
          </w:tcPr>
          <w:p w14:paraId="7B3F7112" w14:textId="302EFBC7" w:rsidR="004B649A" w:rsidRPr="00DA16FA" w:rsidRDefault="004B649A" w:rsidP="00FF2327">
            <w:pPr>
              <w:pStyle w:val="TableBodyText"/>
              <w:jc w:val="right"/>
            </w:pPr>
            <w:r>
              <w:t>N/A</w:t>
            </w:r>
          </w:p>
        </w:tc>
        <w:tc>
          <w:tcPr>
            <w:tcW w:w="495" w:type="pct"/>
          </w:tcPr>
          <w:p w14:paraId="64B5FF42" w14:textId="213219AE" w:rsidR="004B649A" w:rsidRPr="0076797F" w:rsidRDefault="004B649A" w:rsidP="00FF2327">
            <w:pPr>
              <w:pStyle w:val="TableBodyText"/>
              <w:jc w:val="right"/>
            </w:pPr>
            <w:r>
              <w:t>N/A</w:t>
            </w:r>
          </w:p>
        </w:tc>
        <w:tc>
          <w:tcPr>
            <w:tcW w:w="514" w:type="pct"/>
          </w:tcPr>
          <w:p w14:paraId="350E66F6" w14:textId="06487C71" w:rsidR="004B649A" w:rsidRPr="0076797F" w:rsidRDefault="0016030F" w:rsidP="00FF2327">
            <w:pPr>
              <w:pStyle w:val="TableBodyText"/>
              <w:jc w:val="right"/>
            </w:pPr>
            <w:r>
              <w:t>3,743</w:t>
            </w:r>
          </w:p>
        </w:tc>
        <w:tc>
          <w:tcPr>
            <w:tcW w:w="471" w:type="pct"/>
          </w:tcPr>
          <w:p w14:paraId="0490B8FF" w14:textId="2D06361E" w:rsidR="004B649A" w:rsidRDefault="0016030F" w:rsidP="00FF2327">
            <w:pPr>
              <w:pStyle w:val="TableBodyText"/>
              <w:jc w:val="right"/>
            </w:pPr>
            <w:r>
              <w:t>N/A</w:t>
            </w:r>
          </w:p>
        </w:tc>
        <w:tc>
          <w:tcPr>
            <w:tcW w:w="504" w:type="pct"/>
          </w:tcPr>
          <w:p w14:paraId="5B9ED4F1" w14:textId="618AAD55" w:rsidR="004B649A" w:rsidRPr="00D31D95" w:rsidRDefault="0016030F" w:rsidP="00FF2327">
            <w:pPr>
              <w:pStyle w:val="TableBodyText"/>
              <w:jc w:val="right"/>
            </w:pPr>
            <w:r>
              <w:t>N/A</w:t>
            </w:r>
          </w:p>
        </w:tc>
      </w:tr>
      <w:tr w:rsidR="0016030F" w:rsidRPr="0076797F" w14:paraId="6AC231B5" w14:textId="18A8EC6B" w:rsidTr="00FF2327">
        <w:tc>
          <w:tcPr>
            <w:tcW w:w="1265" w:type="pct"/>
          </w:tcPr>
          <w:p w14:paraId="41CD184F" w14:textId="54B5F8A6" w:rsidR="0016030F" w:rsidRPr="0076797F" w:rsidRDefault="0016030F" w:rsidP="00FF2327">
            <w:pPr>
              <w:pStyle w:val="TableBodyText"/>
            </w:pPr>
            <w:r>
              <w:t>Developer contributed assets</w:t>
            </w:r>
          </w:p>
        </w:tc>
        <w:tc>
          <w:tcPr>
            <w:tcW w:w="584" w:type="pct"/>
          </w:tcPr>
          <w:p w14:paraId="742A6C95" w14:textId="1786572D" w:rsidR="0016030F" w:rsidRPr="0076797F" w:rsidRDefault="0016030F" w:rsidP="00FF2327">
            <w:pPr>
              <w:pStyle w:val="TableBodyText"/>
              <w:jc w:val="right"/>
            </w:pPr>
            <w:r w:rsidRPr="00CA0442">
              <w:t>N/A</w:t>
            </w:r>
          </w:p>
        </w:tc>
        <w:tc>
          <w:tcPr>
            <w:tcW w:w="680" w:type="pct"/>
          </w:tcPr>
          <w:p w14:paraId="1A9480D3" w14:textId="17CB281A" w:rsidR="0016030F" w:rsidRPr="0076797F" w:rsidRDefault="0016030F" w:rsidP="00FF2327">
            <w:pPr>
              <w:pStyle w:val="TableBodyText"/>
              <w:jc w:val="right"/>
            </w:pPr>
            <w:r w:rsidRPr="00CA0442">
              <w:t>N/A</w:t>
            </w:r>
          </w:p>
        </w:tc>
        <w:tc>
          <w:tcPr>
            <w:tcW w:w="487" w:type="pct"/>
          </w:tcPr>
          <w:p w14:paraId="46B3EFBE" w14:textId="67CE1D3F" w:rsidR="0016030F" w:rsidRPr="00DA16FA" w:rsidRDefault="0016030F" w:rsidP="00FF2327">
            <w:pPr>
              <w:pStyle w:val="TableBodyText"/>
              <w:jc w:val="right"/>
            </w:pPr>
            <w:r w:rsidRPr="00CA0442">
              <w:t>N/A</w:t>
            </w:r>
          </w:p>
        </w:tc>
        <w:tc>
          <w:tcPr>
            <w:tcW w:w="495" w:type="pct"/>
          </w:tcPr>
          <w:p w14:paraId="4E1ED952" w14:textId="6944F5BE" w:rsidR="0016030F" w:rsidRPr="0076797F" w:rsidRDefault="0016030F" w:rsidP="00FF2327">
            <w:pPr>
              <w:pStyle w:val="TableBodyText"/>
              <w:jc w:val="right"/>
            </w:pPr>
            <w:r w:rsidRPr="00CA0442">
              <w:t>N/A</w:t>
            </w:r>
          </w:p>
        </w:tc>
        <w:tc>
          <w:tcPr>
            <w:tcW w:w="514" w:type="pct"/>
          </w:tcPr>
          <w:p w14:paraId="10840140" w14:textId="15945D88" w:rsidR="0016030F" w:rsidRPr="0076797F" w:rsidRDefault="0016030F" w:rsidP="00FF2327">
            <w:pPr>
              <w:pStyle w:val="TableBodyText"/>
              <w:jc w:val="right"/>
            </w:pPr>
            <w:r w:rsidRPr="00CA0442">
              <w:t>N/A</w:t>
            </w:r>
          </w:p>
        </w:tc>
        <w:tc>
          <w:tcPr>
            <w:tcW w:w="471" w:type="pct"/>
          </w:tcPr>
          <w:p w14:paraId="33309B4A" w14:textId="23F1019D" w:rsidR="0016030F" w:rsidRDefault="0016030F" w:rsidP="00FF2327">
            <w:pPr>
              <w:pStyle w:val="TableBodyText"/>
              <w:jc w:val="right"/>
            </w:pPr>
            <w:r>
              <w:t>38,512</w:t>
            </w:r>
          </w:p>
        </w:tc>
        <w:tc>
          <w:tcPr>
            <w:tcW w:w="504" w:type="pct"/>
          </w:tcPr>
          <w:p w14:paraId="23828FA7" w14:textId="20ED1486" w:rsidR="0016030F" w:rsidRPr="00D31D95" w:rsidRDefault="0016030F" w:rsidP="00FF2327">
            <w:pPr>
              <w:pStyle w:val="TableBodyText"/>
              <w:jc w:val="right"/>
            </w:pPr>
            <w:r>
              <w:t>N/A</w:t>
            </w:r>
          </w:p>
        </w:tc>
      </w:tr>
      <w:tr w:rsidR="004B649A" w:rsidRPr="00E0205B" w14:paraId="36962DF6" w14:textId="54CF8C66" w:rsidTr="00FF2327">
        <w:tc>
          <w:tcPr>
            <w:tcW w:w="1265" w:type="pct"/>
          </w:tcPr>
          <w:p w14:paraId="36F9E610" w14:textId="68A801F5" w:rsidR="004B649A" w:rsidRPr="00E0205B" w:rsidRDefault="0016030F" w:rsidP="00FF2327">
            <w:pPr>
              <w:pStyle w:val="TableBodyText"/>
            </w:pPr>
            <w:r>
              <w:t>Disposals and write-offs</w:t>
            </w:r>
          </w:p>
        </w:tc>
        <w:tc>
          <w:tcPr>
            <w:tcW w:w="584" w:type="pct"/>
          </w:tcPr>
          <w:p w14:paraId="2BFBD093" w14:textId="467E6A99" w:rsidR="004B649A" w:rsidRPr="00E0205B" w:rsidRDefault="0016030F" w:rsidP="00FF2327">
            <w:pPr>
              <w:pStyle w:val="TableBodyText"/>
              <w:jc w:val="right"/>
            </w:pPr>
            <w:r>
              <w:t>(2,436)</w:t>
            </w:r>
          </w:p>
        </w:tc>
        <w:tc>
          <w:tcPr>
            <w:tcW w:w="680" w:type="pct"/>
          </w:tcPr>
          <w:p w14:paraId="767D6C4B" w14:textId="6145B9E5" w:rsidR="004B649A" w:rsidRPr="00E0205B" w:rsidRDefault="0016030F" w:rsidP="00FF2327">
            <w:pPr>
              <w:pStyle w:val="TableBodyText"/>
              <w:jc w:val="right"/>
            </w:pPr>
            <w:r>
              <w:t>(5,132)</w:t>
            </w:r>
          </w:p>
        </w:tc>
        <w:tc>
          <w:tcPr>
            <w:tcW w:w="487" w:type="pct"/>
          </w:tcPr>
          <w:p w14:paraId="125C7BB4" w14:textId="2297F5D0" w:rsidR="004B649A" w:rsidRPr="00DA16FA" w:rsidRDefault="0016030F" w:rsidP="00FF2327">
            <w:pPr>
              <w:pStyle w:val="TableBodyText"/>
              <w:jc w:val="right"/>
            </w:pPr>
            <w:r>
              <w:t>N/A</w:t>
            </w:r>
          </w:p>
        </w:tc>
        <w:tc>
          <w:tcPr>
            <w:tcW w:w="495" w:type="pct"/>
          </w:tcPr>
          <w:p w14:paraId="44B071BB" w14:textId="0E74EBE9" w:rsidR="004B649A" w:rsidRPr="00E0205B" w:rsidRDefault="0016030F" w:rsidP="00FF2327">
            <w:pPr>
              <w:pStyle w:val="TableBodyText"/>
              <w:jc w:val="right"/>
            </w:pPr>
            <w:r>
              <w:t>(6)</w:t>
            </w:r>
          </w:p>
        </w:tc>
        <w:tc>
          <w:tcPr>
            <w:tcW w:w="514" w:type="pct"/>
          </w:tcPr>
          <w:p w14:paraId="4007EFC5" w14:textId="60C702A5" w:rsidR="004B649A" w:rsidRPr="00E0205B" w:rsidRDefault="0016030F" w:rsidP="00FF2327">
            <w:pPr>
              <w:pStyle w:val="TableBodyText"/>
              <w:jc w:val="right"/>
            </w:pPr>
            <w:r>
              <w:t>(513)</w:t>
            </w:r>
          </w:p>
        </w:tc>
        <w:tc>
          <w:tcPr>
            <w:tcW w:w="471" w:type="pct"/>
          </w:tcPr>
          <w:p w14:paraId="0B86346F" w14:textId="65EDE684" w:rsidR="004B649A" w:rsidRDefault="0016030F" w:rsidP="00FF2327">
            <w:pPr>
              <w:pStyle w:val="TableBodyText"/>
              <w:jc w:val="right"/>
            </w:pPr>
            <w:r>
              <w:t>(28,816)</w:t>
            </w:r>
          </w:p>
        </w:tc>
        <w:tc>
          <w:tcPr>
            <w:tcW w:w="504" w:type="pct"/>
          </w:tcPr>
          <w:p w14:paraId="394A021E" w14:textId="1AE4A4CB" w:rsidR="004B649A" w:rsidRPr="00D31D95" w:rsidRDefault="0016030F" w:rsidP="00FF2327">
            <w:pPr>
              <w:pStyle w:val="TableBodyText"/>
              <w:jc w:val="right"/>
            </w:pPr>
            <w:r>
              <w:t>N/A</w:t>
            </w:r>
          </w:p>
        </w:tc>
      </w:tr>
      <w:tr w:rsidR="004B649A" w:rsidRPr="0076797F" w14:paraId="0632DE44" w14:textId="245296CB" w:rsidTr="00FF2327">
        <w:tc>
          <w:tcPr>
            <w:tcW w:w="1265" w:type="pct"/>
          </w:tcPr>
          <w:p w14:paraId="3A6E1394" w14:textId="78C77C2E" w:rsidR="004B649A" w:rsidRPr="0076797F" w:rsidRDefault="0016030F" w:rsidP="00FF2327">
            <w:pPr>
              <w:pStyle w:val="TableBodyText"/>
            </w:pPr>
            <w:r>
              <w:t>Depreciation and amortisation</w:t>
            </w:r>
          </w:p>
        </w:tc>
        <w:tc>
          <w:tcPr>
            <w:tcW w:w="584" w:type="pct"/>
          </w:tcPr>
          <w:p w14:paraId="2BF1ED1C" w14:textId="4AAF40C5" w:rsidR="004B649A" w:rsidRPr="0076797F" w:rsidRDefault="0016030F" w:rsidP="00FF2327">
            <w:pPr>
              <w:pStyle w:val="TableBodyText"/>
              <w:jc w:val="right"/>
            </w:pPr>
            <w:r>
              <w:t>N/A</w:t>
            </w:r>
          </w:p>
        </w:tc>
        <w:tc>
          <w:tcPr>
            <w:tcW w:w="680" w:type="pct"/>
          </w:tcPr>
          <w:p w14:paraId="7B220490" w14:textId="235D21DA" w:rsidR="004B649A" w:rsidRPr="0076797F" w:rsidRDefault="0016030F" w:rsidP="00FF2327">
            <w:pPr>
              <w:pStyle w:val="TableBodyText"/>
              <w:jc w:val="right"/>
            </w:pPr>
            <w:r>
              <w:t>(954)</w:t>
            </w:r>
          </w:p>
        </w:tc>
        <w:tc>
          <w:tcPr>
            <w:tcW w:w="487" w:type="pct"/>
          </w:tcPr>
          <w:p w14:paraId="18DB4E92" w14:textId="5F9876C8" w:rsidR="004B649A" w:rsidRPr="00DA16FA" w:rsidRDefault="0016030F" w:rsidP="00FF2327">
            <w:pPr>
              <w:pStyle w:val="TableBodyText"/>
              <w:jc w:val="right"/>
            </w:pPr>
            <w:r>
              <w:t>(416)</w:t>
            </w:r>
          </w:p>
        </w:tc>
        <w:tc>
          <w:tcPr>
            <w:tcW w:w="495" w:type="pct"/>
          </w:tcPr>
          <w:p w14:paraId="63160DC2" w14:textId="1FF4D008" w:rsidR="004B649A" w:rsidRPr="0076797F" w:rsidRDefault="0016030F" w:rsidP="00FF2327">
            <w:pPr>
              <w:pStyle w:val="TableBodyText"/>
              <w:jc w:val="right"/>
            </w:pPr>
            <w:r>
              <w:t>(6,423)</w:t>
            </w:r>
          </w:p>
        </w:tc>
        <w:tc>
          <w:tcPr>
            <w:tcW w:w="514" w:type="pct"/>
          </w:tcPr>
          <w:p w14:paraId="601AB8A5" w14:textId="5B0710D6" w:rsidR="004B649A" w:rsidRPr="0076797F" w:rsidRDefault="0016030F" w:rsidP="00FF2327">
            <w:pPr>
              <w:pStyle w:val="TableBodyText"/>
              <w:jc w:val="right"/>
            </w:pPr>
            <w:r>
              <w:t>(2,001)</w:t>
            </w:r>
          </w:p>
        </w:tc>
        <w:tc>
          <w:tcPr>
            <w:tcW w:w="471" w:type="pct"/>
          </w:tcPr>
          <w:p w14:paraId="7C2A84BA" w14:textId="70C4839B" w:rsidR="004B649A" w:rsidRDefault="0016030F" w:rsidP="00FF2327">
            <w:pPr>
              <w:pStyle w:val="TableBodyText"/>
              <w:jc w:val="right"/>
            </w:pPr>
            <w:r>
              <w:t>(317,910)</w:t>
            </w:r>
          </w:p>
        </w:tc>
        <w:tc>
          <w:tcPr>
            <w:tcW w:w="504" w:type="pct"/>
          </w:tcPr>
          <w:p w14:paraId="0F6FB786" w14:textId="316ED48F" w:rsidR="004B649A" w:rsidRPr="00D31D95" w:rsidRDefault="0016030F" w:rsidP="00FF2327">
            <w:pPr>
              <w:pStyle w:val="TableBodyText"/>
              <w:jc w:val="right"/>
            </w:pPr>
            <w:r>
              <w:t>(77,553)</w:t>
            </w:r>
          </w:p>
        </w:tc>
      </w:tr>
      <w:tr w:rsidR="004B649A" w:rsidRPr="0076797F" w14:paraId="2C1CF80A" w14:textId="1DCCCCE3" w:rsidTr="00FF2327">
        <w:tc>
          <w:tcPr>
            <w:tcW w:w="1265" w:type="pct"/>
          </w:tcPr>
          <w:p w14:paraId="68859292" w14:textId="55421E46" w:rsidR="004B649A" w:rsidRPr="0076797F" w:rsidRDefault="0016030F" w:rsidP="00FF2327">
            <w:pPr>
              <w:pStyle w:val="TableBodyText"/>
            </w:pPr>
            <w:r>
              <w:t>Transfers between classes</w:t>
            </w:r>
          </w:p>
        </w:tc>
        <w:tc>
          <w:tcPr>
            <w:tcW w:w="584" w:type="pct"/>
          </w:tcPr>
          <w:p w14:paraId="6754C9E5" w14:textId="00740356" w:rsidR="004B649A" w:rsidRPr="0076797F" w:rsidRDefault="0016030F" w:rsidP="00FF2327">
            <w:pPr>
              <w:pStyle w:val="TableBodyText"/>
              <w:jc w:val="right"/>
            </w:pPr>
            <w:r>
              <w:t>(5,607)</w:t>
            </w:r>
          </w:p>
        </w:tc>
        <w:tc>
          <w:tcPr>
            <w:tcW w:w="680" w:type="pct"/>
          </w:tcPr>
          <w:p w14:paraId="3AD254BF" w14:textId="077D39ED" w:rsidR="004B649A" w:rsidRPr="0076797F" w:rsidRDefault="0016030F" w:rsidP="00FF2327">
            <w:pPr>
              <w:pStyle w:val="TableBodyText"/>
              <w:jc w:val="right"/>
            </w:pPr>
            <w:r>
              <w:t>5,093</w:t>
            </w:r>
          </w:p>
        </w:tc>
        <w:tc>
          <w:tcPr>
            <w:tcW w:w="487" w:type="pct"/>
          </w:tcPr>
          <w:p w14:paraId="34487776" w14:textId="6875D589" w:rsidR="004B649A" w:rsidRPr="00DA16FA" w:rsidRDefault="0016030F" w:rsidP="00FF2327">
            <w:pPr>
              <w:pStyle w:val="TableBodyText"/>
              <w:jc w:val="right"/>
            </w:pPr>
            <w:r>
              <w:t>(6,769)</w:t>
            </w:r>
          </w:p>
        </w:tc>
        <w:tc>
          <w:tcPr>
            <w:tcW w:w="495" w:type="pct"/>
          </w:tcPr>
          <w:p w14:paraId="3209F536" w14:textId="016EC24D" w:rsidR="004B649A" w:rsidRPr="0076797F" w:rsidRDefault="0016030F" w:rsidP="00FF2327">
            <w:pPr>
              <w:pStyle w:val="TableBodyText"/>
              <w:jc w:val="right"/>
            </w:pPr>
            <w:r>
              <w:t>6,888</w:t>
            </w:r>
          </w:p>
        </w:tc>
        <w:tc>
          <w:tcPr>
            <w:tcW w:w="514" w:type="pct"/>
          </w:tcPr>
          <w:p w14:paraId="4310D995" w14:textId="5A7214D4" w:rsidR="004B649A" w:rsidRPr="0076797F" w:rsidRDefault="0016030F" w:rsidP="00FF2327">
            <w:pPr>
              <w:pStyle w:val="TableBodyText"/>
              <w:jc w:val="right"/>
            </w:pPr>
            <w:r>
              <w:t>N/A</w:t>
            </w:r>
          </w:p>
        </w:tc>
        <w:tc>
          <w:tcPr>
            <w:tcW w:w="471" w:type="pct"/>
          </w:tcPr>
          <w:p w14:paraId="7877EF1C" w14:textId="31FA496C" w:rsidR="004B649A" w:rsidRDefault="0016030F" w:rsidP="00FF2327">
            <w:pPr>
              <w:pStyle w:val="TableBodyText"/>
              <w:jc w:val="right"/>
            </w:pPr>
            <w:r>
              <w:t>(1,972)</w:t>
            </w:r>
          </w:p>
        </w:tc>
        <w:tc>
          <w:tcPr>
            <w:tcW w:w="504" w:type="pct"/>
          </w:tcPr>
          <w:p w14:paraId="54DCE3D3" w14:textId="6D13B363" w:rsidR="004B649A" w:rsidRPr="00D31D95" w:rsidRDefault="0016030F" w:rsidP="00FF2327">
            <w:pPr>
              <w:pStyle w:val="TableBodyText"/>
              <w:jc w:val="right"/>
            </w:pPr>
            <w:r>
              <w:t>N/A</w:t>
            </w:r>
          </w:p>
        </w:tc>
      </w:tr>
      <w:tr w:rsidR="0016030F" w:rsidRPr="0076797F" w14:paraId="23B595E8" w14:textId="3AE7124B" w:rsidTr="00FF2327">
        <w:tc>
          <w:tcPr>
            <w:tcW w:w="1265" w:type="pct"/>
          </w:tcPr>
          <w:p w14:paraId="6E645CA4" w14:textId="48AC7E17" w:rsidR="0016030F" w:rsidRPr="0076797F" w:rsidRDefault="0016030F" w:rsidP="00FF2327">
            <w:pPr>
              <w:pStyle w:val="TableBodyText"/>
            </w:pPr>
            <w:r>
              <w:t>Transfers in/(out) of Level 3</w:t>
            </w:r>
          </w:p>
        </w:tc>
        <w:tc>
          <w:tcPr>
            <w:tcW w:w="584" w:type="pct"/>
          </w:tcPr>
          <w:p w14:paraId="1B42E496" w14:textId="39208541" w:rsidR="0016030F" w:rsidRPr="0076797F" w:rsidRDefault="0016030F" w:rsidP="00FF2327">
            <w:pPr>
              <w:pStyle w:val="TableBodyText"/>
              <w:jc w:val="right"/>
            </w:pPr>
            <w:r>
              <w:t>(782)</w:t>
            </w:r>
          </w:p>
        </w:tc>
        <w:tc>
          <w:tcPr>
            <w:tcW w:w="680" w:type="pct"/>
          </w:tcPr>
          <w:p w14:paraId="7047FC45" w14:textId="5D25422D" w:rsidR="0016030F" w:rsidRPr="0076797F" w:rsidRDefault="0016030F" w:rsidP="00FF2327">
            <w:pPr>
              <w:pStyle w:val="TableBodyText"/>
              <w:jc w:val="right"/>
            </w:pPr>
            <w:r>
              <w:t>N/A</w:t>
            </w:r>
          </w:p>
        </w:tc>
        <w:tc>
          <w:tcPr>
            <w:tcW w:w="487" w:type="pct"/>
          </w:tcPr>
          <w:p w14:paraId="53B51A8A" w14:textId="67D3CA1C" w:rsidR="0016030F" w:rsidRPr="00DA16FA" w:rsidRDefault="0016030F" w:rsidP="00FF2327">
            <w:pPr>
              <w:pStyle w:val="TableBodyText"/>
              <w:jc w:val="right"/>
            </w:pPr>
            <w:r w:rsidRPr="00374843">
              <w:t>N/A</w:t>
            </w:r>
          </w:p>
        </w:tc>
        <w:tc>
          <w:tcPr>
            <w:tcW w:w="495" w:type="pct"/>
          </w:tcPr>
          <w:p w14:paraId="14A5E299" w14:textId="42FD7B0C" w:rsidR="0016030F" w:rsidRPr="0076797F" w:rsidRDefault="0016030F" w:rsidP="00FF2327">
            <w:pPr>
              <w:pStyle w:val="TableBodyText"/>
              <w:jc w:val="right"/>
            </w:pPr>
            <w:r w:rsidRPr="00374843">
              <w:t>N/A</w:t>
            </w:r>
          </w:p>
        </w:tc>
        <w:tc>
          <w:tcPr>
            <w:tcW w:w="514" w:type="pct"/>
          </w:tcPr>
          <w:p w14:paraId="3AF2C10D" w14:textId="11666443" w:rsidR="0016030F" w:rsidRPr="0076797F" w:rsidRDefault="0016030F" w:rsidP="00FF2327">
            <w:pPr>
              <w:pStyle w:val="TableBodyText"/>
              <w:jc w:val="right"/>
            </w:pPr>
            <w:r w:rsidRPr="00374843">
              <w:t>N/A</w:t>
            </w:r>
          </w:p>
        </w:tc>
        <w:tc>
          <w:tcPr>
            <w:tcW w:w="471" w:type="pct"/>
          </w:tcPr>
          <w:p w14:paraId="0DE4F5C7" w14:textId="20211D35" w:rsidR="0016030F" w:rsidRDefault="0016030F" w:rsidP="00FF2327">
            <w:pPr>
              <w:pStyle w:val="TableBodyText"/>
              <w:jc w:val="right"/>
            </w:pPr>
            <w:r w:rsidRPr="00374843">
              <w:t>N/A</w:t>
            </w:r>
          </w:p>
        </w:tc>
        <w:tc>
          <w:tcPr>
            <w:tcW w:w="504" w:type="pct"/>
          </w:tcPr>
          <w:p w14:paraId="4DB5A7AE" w14:textId="316A3CF1" w:rsidR="0016030F" w:rsidRPr="00D31D95" w:rsidRDefault="0016030F" w:rsidP="00FF2327">
            <w:pPr>
              <w:pStyle w:val="TableBodyText"/>
              <w:jc w:val="right"/>
            </w:pPr>
            <w:r w:rsidRPr="00374843">
              <w:t>N/A</w:t>
            </w:r>
          </w:p>
        </w:tc>
      </w:tr>
      <w:tr w:rsidR="0016030F" w:rsidRPr="00E0205B" w14:paraId="7649791B" w14:textId="2FF022E0" w:rsidTr="00FF2327">
        <w:tc>
          <w:tcPr>
            <w:tcW w:w="1265" w:type="pct"/>
          </w:tcPr>
          <w:p w14:paraId="0844AB1E" w14:textId="3512B089" w:rsidR="0016030F" w:rsidRPr="00E0205B" w:rsidRDefault="0016030F" w:rsidP="00FF2327">
            <w:pPr>
              <w:pStyle w:val="TableBodyText"/>
            </w:pPr>
            <w:r>
              <w:t>Revaluation increments</w:t>
            </w:r>
          </w:p>
        </w:tc>
        <w:tc>
          <w:tcPr>
            <w:tcW w:w="584" w:type="pct"/>
          </w:tcPr>
          <w:p w14:paraId="4D655C77" w14:textId="18B4FE71" w:rsidR="0016030F" w:rsidRPr="00E0205B" w:rsidRDefault="0016030F" w:rsidP="00FF2327">
            <w:pPr>
              <w:pStyle w:val="TableBodyText"/>
              <w:jc w:val="right"/>
            </w:pPr>
            <w:r w:rsidRPr="0024362D">
              <w:t>N/A</w:t>
            </w:r>
          </w:p>
        </w:tc>
        <w:tc>
          <w:tcPr>
            <w:tcW w:w="680" w:type="pct"/>
          </w:tcPr>
          <w:p w14:paraId="44990E68" w14:textId="7291EFB8" w:rsidR="0016030F" w:rsidRPr="00E0205B" w:rsidRDefault="0016030F" w:rsidP="00FF2327">
            <w:pPr>
              <w:pStyle w:val="TableBodyText"/>
              <w:jc w:val="right"/>
            </w:pPr>
            <w:r w:rsidRPr="0024362D">
              <w:t>N/A</w:t>
            </w:r>
          </w:p>
        </w:tc>
        <w:tc>
          <w:tcPr>
            <w:tcW w:w="487" w:type="pct"/>
          </w:tcPr>
          <w:p w14:paraId="31F1DBCA" w14:textId="63A6484C" w:rsidR="0016030F" w:rsidRPr="00DA16FA" w:rsidRDefault="0016030F" w:rsidP="00FF2327">
            <w:pPr>
              <w:pStyle w:val="TableBodyText"/>
              <w:jc w:val="right"/>
            </w:pPr>
            <w:r w:rsidRPr="0024362D">
              <w:t>N/A</w:t>
            </w:r>
          </w:p>
        </w:tc>
        <w:tc>
          <w:tcPr>
            <w:tcW w:w="495" w:type="pct"/>
          </w:tcPr>
          <w:p w14:paraId="3ECA8911" w14:textId="7D307F85" w:rsidR="0016030F" w:rsidRPr="00DA16FA" w:rsidRDefault="0016030F" w:rsidP="00FF2327">
            <w:pPr>
              <w:pStyle w:val="TableBodyText"/>
              <w:jc w:val="right"/>
            </w:pPr>
            <w:r w:rsidRPr="0024362D">
              <w:t>N/A</w:t>
            </w:r>
          </w:p>
        </w:tc>
        <w:tc>
          <w:tcPr>
            <w:tcW w:w="514" w:type="pct"/>
          </w:tcPr>
          <w:p w14:paraId="7AF9307B" w14:textId="48991172" w:rsidR="0016030F" w:rsidRPr="00D31D95" w:rsidRDefault="0016030F" w:rsidP="00FF2327">
            <w:pPr>
              <w:pStyle w:val="TableBodyText"/>
              <w:jc w:val="right"/>
            </w:pPr>
            <w:r w:rsidRPr="0024362D">
              <w:t>N/A</w:t>
            </w:r>
          </w:p>
        </w:tc>
        <w:tc>
          <w:tcPr>
            <w:tcW w:w="471" w:type="pct"/>
          </w:tcPr>
          <w:p w14:paraId="44C5E0AF" w14:textId="333F0D45" w:rsidR="0016030F" w:rsidRPr="00D31D95" w:rsidRDefault="0016030F" w:rsidP="00FF2327">
            <w:pPr>
              <w:pStyle w:val="TableBodyText"/>
              <w:jc w:val="right"/>
            </w:pPr>
            <w:r w:rsidRPr="0024362D">
              <w:t>N/A</w:t>
            </w:r>
          </w:p>
        </w:tc>
        <w:tc>
          <w:tcPr>
            <w:tcW w:w="504" w:type="pct"/>
          </w:tcPr>
          <w:p w14:paraId="2A76B422" w14:textId="14ECD527" w:rsidR="0016030F" w:rsidRPr="00D31D95" w:rsidRDefault="0016030F" w:rsidP="00FF2327">
            <w:pPr>
              <w:pStyle w:val="TableBodyText"/>
              <w:jc w:val="right"/>
            </w:pPr>
            <w:r w:rsidRPr="0024362D">
              <w:t>N/A</w:t>
            </w:r>
          </w:p>
        </w:tc>
      </w:tr>
      <w:tr w:rsidR="0016030F" w:rsidRPr="0076797F" w14:paraId="47A90E70" w14:textId="24EF9F72" w:rsidTr="00FF2327">
        <w:tc>
          <w:tcPr>
            <w:tcW w:w="1265" w:type="pct"/>
          </w:tcPr>
          <w:p w14:paraId="7BB7F159" w14:textId="6E11C031" w:rsidR="0016030F" w:rsidRPr="0076797F" w:rsidRDefault="0016030F" w:rsidP="00FF2327">
            <w:pPr>
              <w:pStyle w:val="TableBodyText"/>
            </w:pPr>
            <w:r>
              <w:t>Revaluation decrements</w:t>
            </w:r>
          </w:p>
        </w:tc>
        <w:tc>
          <w:tcPr>
            <w:tcW w:w="584" w:type="pct"/>
          </w:tcPr>
          <w:p w14:paraId="5AB2DCF0" w14:textId="4B79A468" w:rsidR="0016030F" w:rsidRPr="0076797F" w:rsidRDefault="0016030F" w:rsidP="00FF2327">
            <w:pPr>
              <w:pStyle w:val="TableBodyText"/>
              <w:jc w:val="right"/>
            </w:pPr>
            <w:r>
              <w:t>(3,157)</w:t>
            </w:r>
          </w:p>
        </w:tc>
        <w:tc>
          <w:tcPr>
            <w:tcW w:w="680" w:type="pct"/>
          </w:tcPr>
          <w:p w14:paraId="1AD2DBE6" w14:textId="0AC4B099" w:rsidR="0016030F" w:rsidRPr="0076797F" w:rsidRDefault="0016030F" w:rsidP="00FF2327">
            <w:pPr>
              <w:pStyle w:val="TableBodyText"/>
              <w:jc w:val="right"/>
            </w:pPr>
            <w:r w:rsidRPr="00086C40">
              <w:t>N/A</w:t>
            </w:r>
          </w:p>
        </w:tc>
        <w:tc>
          <w:tcPr>
            <w:tcW w:w="487" w:type="pct"/>
          </w:tcPr>
          <w:p w14:paraId="318E304D" w14:textId="36B79794" w:rsidR="0016030F" w:rsidRPr="00DA16FA" w:rsidRDefault="0016030F" w:rsidP="00FF2327">
            <w:pPr>
              <w:pStyle w:val="TableBodyText"/>
              <w:jc w:val="right"/>
            </w:pPr>
            <w:r w:rsidRPr="00086C40">
              <w:t>N/A</w:t>
            </w:r>
          </w:p>
        </w:tc>
        <w:tc>
          <w:tcPr>
            <w:tcW w:w="495" w:type="pct"/>
          </w:tcPr>
          <w:p w14:paraId="264AD1EF" w14:textId="3C3ED2DF" w:rsidR="0016030F" w:rsidRPr="0076797F" w:rsidRDefault="0016030F" w:rsidP="00FF2327">
            <w:pPr>
              <w:pStyle w:val="TableBodyText"/>
              <w:jc w:val="right"/>
            </w:pPr>
            <w:r w:rsidRPr="00086C40">
              <w:t>N/A</w:t>
            </w:r>
          </w:p>
        </w:tc>
        <w:tc>
          <w:tcPr>
            <w:tcW w:w="514" w:type="pct"/>
          </w:tcPr>
          <w:p w14:paraId="1F648D53" w14:textId="512C8123" w:rsidR="0016030F" w:rsidRPr="0076797F" w:rsidRDefault="0016030F" w:rsidP="00FF2327">
            <w:pPr>
              <w:pStyle w:val="TableBodyText"/>
              <w:jc w:val="right"/>
            </w:pPr>
            <w:r w:rsidRPr="00086C40">
              <w:t>N/A</w:t>
            </w:r>
          </w:p>
        </w:tc>
        <w:tc>
          <w:tcPr>
            <w:tcW w:w="471" w:type="pct"/>
          </w:tcPr>
          <w:p w14:paraId="6F8E7846" w14:textId="33630A89" w:rsidR="0016030F" w:rsidRDefault="0016030F" w:rsidP="00FF2327">
            <w:pPr>
              <w:pStyle w:val="TableBodyText"/>
              <w:jc w:val="right"/>
            </w:pPr>
            <w:r w:rsidRPr="00086C40">
              <w:t>N/A</w:t>
            </w:r>
          </w:p>
        </w:tc>
        <w:tc>
          <w:tcPr>
            <w:tcW w:w="504" w:type="pct"/>
          </w:tcPr>
          <w:p w14:paraId="17C4A179" w14:textId="7997F60B" w:rsidR="0016030F" w:rsidRPr="00D31D95" w:rsidRDefault="0016030F" w:rsidP="00FF2327">
            <w:pPr>
              <w:pStyle w:val="TableBodyText"/>
              <w:jc w:val="right"/>
            </w:pPr>
            <w:r w:rsidRPr="00086C40">
              <w:t>N/A</w:t>
            </w:r>
          </w:p>
        </w:tc>
      </w:tr>
      <w:tr w:rsidR="0016030F" w:rsidRPr="0076797F" w14:paraId="00AFD93C" w14:textId="0D145187" w:rsidTr="00FF2327">
        <w:tc>
          <w:tcPr>
            <w:tcW w:w="1265" w:type="pct"/>
          </w:tcPr>
          <w:p w14:paraId="3B9BC604" w14:textId="77E31C50" w:rsidR="0016030F" w:rsidRPr="0076797F" w:rsidRDefault="0016030F" w:rsidP="00FF2327">
            <w:pPr>
              <w:pStyle w:val="TableBodyText"/>
            </w:pPr>
            <w:r>
              <w:t>Capital contributions</w:t>
            </w:r>
          </w:p>
        </w:tc>
        <w:tc>
          <w:tcPr>
            <w:tcW w:w="584" w:type="pct"/>
          </w:tcPr>
          <w:p w14:paraId="62084D6F" w14:textId="16DAC86B" w:rsidR="0016030F" w:rsidRPr="0076797F" w:rsidRDefault="0016030F" w:rsidP="00FF2327">
            <w:pPr>
              <w:pStyle w:val="TableBodyText"/>
              <w:jc w:val="right"/>
            </w:pPr>
            <w:r w:rsidRPr="00020738">
              <w:t>N/A</w:t>
            </w:r>
          </w:p>
        </w:tc>
        <w:tc>
          <w:tcPr>
            <w:tcW w:w="680" w:type="pct"/>
          </w:tcPr>
          <w:p w14:paraId="738F8E30" w14:textId="624763F8" w:rsidR="0016030F" w:rsidRPr="0076797F" w:rsidRDefault="0016030F" w:rsidP="00FF2327">
            <w:pPr>
              <w:pStyle w:val="TableBodyText"/>
              <w:jc w:val="right"/>
            </w:pPr>
            <w:r w:rsidRPr="00020738">
              <w:t>N/A</w:t>
            </w:r>
          </w:p>
        </w:tc>
        <w:tc>
          <w:tcPr>
            <w:tcW w:w="487" w:type="pct"/>
          </w:tcPr>
          <w:p w14:paraId="2206284E" w14:textId="67D31CA6" w:rsidR="0016030F" w:rsidRDefault="0016030F" w:rsidP="00FF2327">
            <w:pPr>
              <w:pStyle w:val="TableBodyText"/>
              <w:jc w:val="right"/>
            </w:pPr>
            <w:r w:rsidRPr="00020738">
              <w:t>N/A</w:t>
            </w:r>
          </w:p>
        </w:tc>
        <w:tc>
          <w:tcPr>
            <w:tcW w:w="495" w:type="pct"/>
          </w:tcPr>
          <w:p w14:paraId="654EB2BC" w14:textId="28FEFA4D" w:rsidR="0016030F" w:rsidRPr="0076797F" w:rsidRDefault="0016030F" w:rsidP="00FF2327">
            <w:pPr>
              <w:pStyle w:val="TableBodyText"/>
              <w:jc w:val="right"/>
            </w:pPr>
            <w:r w:rsidRPr="00020738">
              <w:t>N/A</w:t>
            </w:r>
          </w:p>
        </w:tc>
        <w:tc>
          <w:tcPr>
            <w:tcW w:w="514" w:type="pct"/>
          </w:tcPr>
          <w:p w14:paraId="172BB456" w14:textId="58D52853" w:rsidR="0016030F" w:rsidRPr="0076797F" w:rsidRDefault="0016030F" w:rsidP="00FF2327">
            <w:pPr>
              <w:pStyle w:val="TableBodyText"/>
              <w:jc w:val="right"/>
            </w:pPr>
            <w:r w:rsidRPr="00020738">
              <w:t>N/A</w:t>
            </w:r>
          </w:p>
        </w:tc>
        <w:tc>
          <w:tcPr>
            <w:tcW w:w="471" w:type="pct"/>
          </w:tcPr>
          <w:p w14:paraId="02B1F926" w14:textId="0478D584" w:rsidR="0016030F" w:rsidRDefault="0016030F" w:rsidP="00FF2327">
            <w:pPr>
              <w:pStyle w:val="TableBodyText"/>
              <w:jc w:val="right"/>
            </w:pPr>
            <w:r w:rsidRPr="00020738">
              <w:t>N/A</w:t>
            </w:r>
          </w:p>
        </w:tc>
        <w:tc>
          <w:tcPr>
            <w:tcW w:w="504" w:type="pct"/>
          </w:tcPr>
          <w:p w14:paraId="5F886A0E" w14:textId="2AA3E8DE" w:rsidR="0016030F" w:rsidRPr="00D31D95" w:rsidRDefault="0016030F" w:rsidP="00FF2327">
            <w:pPr>
              <w:pStyle w:val="TableBodyText"/>
              <w:jc w:val="right"/>
            </w:pPr>
            <w:r w:rsidRPr="00020738">
              <w:t>N/A</w:t>
            </w:r>
          </w:p>
        </w:tc>
      </w:tr>
      <w:tr w:rsidR="004B649A" w:rsidRPr="0076797F" w14:paraId="3E8DB7F6" w14:textId="65CAB488" w:rsidTr="00FF2327">
        <w:tc>
          <w:tcPr>
            <w:tcW w:w="1265" w:type="pct"/>
          </w:tcPr>
          <w:p w14:paraId="752D8FA3" w14:textId="26CA111E" w:rsidR="004B649A" w:rsidRPr="0076797F" w:rsidRDefault="0016030F" w:rsidP="00FF2327">
            <w:pPr>
              <w:pStyle w:val="TableBodyText"/>
            </w:pPr>
            <w:r>
              <w:t>Capitalisation of works in progress</w:t>
            </w:r>
          </w:p>
        </w:tc>
        <w:tc>
          <w:tcPr>
            <w:tcW w:w="584" w:type="pct"/>
          </w:tcPr>
          <w:p w14:paraId="6FEC63EE" w14:textId="77598333" w:rsidR="004B649A" w:rsidRPr="0076797F" w:rsidRDefault="0016030F" w:rsidP="00FF2327">
            <w:pPr>
              <w:pStyle w:val="TableBodyText"/>
              <w:jc w:val="right"/>
            </w:pPr>
            <w:r>
              <w:t>4,243</w:t>
            </w:r>
          </w:p>
        </w:tc>
        <w:tc>
          <w:tcPr>
            <w:tcW w:w="680" w:type="pct"/>
          </w:tcPr>
          <w:p w14:paraId="5AC29B11" w14:textId="5BC9DE14" w:rsidR="004B649A" w:rsidRPr="0076797F" w:rsidRDefault="0016030F" w:rsidP="00FF2327">
            <w:pPr>
              <w:pStyle w:val="TableBodyText"/>
              <w:jc w:val="right"/>
            </w:pPr>
            <w:r>
              <w:t>6,727</w:t>
            </w:r>
          </w:p>
        </w:tc>
        <w:tc>
          <w:tcPr>
            <w:tcW w:w="487" w:type="pct"/>
          </w:tcPr>
          <w:p w14:paraId="666A5926" w14:textId="60323565" w:rsidR="004B649A" w:rsidRDefault="0016030F" w:rsidP="00FF2327">
            <w:pPr>
              <w:pStyle w:val="TableBodyText"/>
              <w:jc w:val="right"/>
            </w:pPr>
            <w:r>
              <w:t>N/A</w:t>
            </w:r>
          </w:p>
        </w:tc>
        <w:tc>
          <w:tcPr>
            <w:tcW w:w="495" w:type="pct"/>
          </w:tcPr>
          <w:p w14:paraId="76C3D3E2" w14:textId="6995CC58" w:rsidR="004B649A" w:rsidRPr="0076797F" w:rsidRDefault="0016030F" w:rsidP="00FF2327">
            <w:pPr>
              <w:pStyle w:val="TableBodyText"/>
              <w:jc w:val="right"/>
            </w:pPr>
            <w:r>
              <w:t>2,348</w:t>
            </w:r>
          </w:p>
        </w:tc>
        <w:tc>
          <w:tcPr>
            <w:tcW w:w="514" w:type="pct"/>
          </w:tcPr>
          <w:p w14:paraId="51A476D8" w14:textId="7312B734" w:rsidR="004B649A" w:rsidRPr="0076797F" w:rsidRDefault="0016030F" w:rsidP="00FF2327">
            <w:pPr>
              <w:pStyle w:val="TableBodyText"/>
              <w:jc w:val="right"/>
            </w:pPr>
            <w:r>
              <w:t>N/A</w:t>
            </w:r>
          </w:p>
        </w:tc>
        <w:tc>
          <w:tcPr>
            <w:tcW w:w="471" w:type="pct"/>
          </w:tcPr>
          <w:p w14:paraId="2D700C1E" w14:textId="3AC701D5" w:rsidR="004B649A" w:rsidRDefault="0016030F" w:rsidP="00FF2327">
            <w:pPr>
              <w:pStyle w:val="TableBodyText"/>
              <w:jc w:val="right"/>
            </w:pPr>
            <w:r>
              <w:t>382,207</w:t>
            </w:r>
          </w:p>
        </w:tc>
        <w:tc>
          <w:tcPr>
            <w:tcW w:w="504" w:type="pct"/>
          </w:tcPr>
          <w:p w14:paraId="2C7CBF04" w14:textId="1D166811" w:rsidR="004B649A" w:rsidRPr="00D31D95" w:rsidRDefault="0016030F" w:rsidP="00FF2327">
            <w:pPr>
              <w:pStyle w:val="TableBodyText"/>
              <w:jc w:val="right"/>
            </w:pPr>
            <w:r>
              <w:t>N/A</w:t>
            </w:r>
          </w:p>
        </w:tc>
      </w:tr>
      <w:tr w:rsidR="004B649A" w:rsidRPr="00FF2327" w14:paraId="75786B10" w14:textId="3C5765CE" w:rsidTr="00FF2327">
        <w:tc>
          <w:tcPr>
            <w:tcW w:w="1265" w:type="pct"/>
          </w:tcPr>
          <w:p w14:paraId="5DD722C5" w14:textId="605AB98F" w:rsidR="004B649A" w:rsidRPr="00FF2327" w:rsidRDefault="0016030F" w:rsidP="00FF2327">
            <w:pPr>
              <w:pStyle w:val="TableBodyText"/>
              <w:rPr>
                <w:rStyle w:val="Bold"/>
              </w:rPr>
            </w:pPr>
            <w:r w:rsidRPr="00FF2327">
              <w:rPr>
                <w:rStyle w:val="Bold"/>
              </w:rPr>
              <w:t>At 30 June 2020</w:t>
            </w:r>
          </w:p>
        </w:tc>
        <w:tc>
          <w:tcPr>
            <w:tcW w:w="584" w:type="pct"/>
          </w:tcPr>
          <w:p w14:paraId="215DC792" w14:textId="54D78E2D" w:rsidR="004B649A" w:rsidRPr="00FF2327" w:rsidRDefault="0016030F" w:rsidP="00FF2327">
            <w:pPr>
              <w:pStyle w:val="TableBodyText"/>
              <w:jc w:val="right"/>
              <w:rPr>
                <w:rStyle w:val="Bold"/>
              </w:rPr>
            </w:pPr>
            <w:r w:rsidRPr="00FF2327">
              <w:rPr>
                <w:rStyle w:val="Bold"/>
              </w:rPr>
              <w:t>1,420,777</w:t>
            </w:r>
          </w:p>
        </w:tc>
        <w:tc>
          <w:tcPr>
            <w:tcW w:w="680" w:type="pct"/>
          </w:tcPr>
          <w:p w14:paraId="25BDE403" w14:textId="45A448C3" w:rsidR="004B649A" w:rsidRPr="00FF2327" w:rsidRDefault="0016030F" w:rsidP="00FF2327">
            <w:pPr>
              <w:pStyle w:val="TableBodyText"/>
              <w:jc w:val="right"/>
              <w:rPr>
                <w:rStyle w:val="Bold"/>
              </w:rPr>
            </w:pPr>
            <w:r w:rsidRPr="00FF2327">
              <w:rPr>
                <w:rStyle w:val="Bold"/>
              </w:rPr>
              <w:t>27,164</w:t>
            </w:r>
          </w:p>
        </w:tc>
        <w:tc>
          <w:tcPr>
            <w:tcW w:w="487" w:type="pct"/>
          </w:tcPr>
          <w:p w14:paraId="539BE752" w14:textId="43D834C3" w:rsidR="004B649A" w:rsidRPr="00FF2327" w:rsidRDefault="0016030F" w:rsidP="00FF2327">
            <w:pPr>
              <w:pStyle w:val="TableBodyText"/>
              <w:jc w:val="right"/>
              <w:rPr>
                <w:rStyle w:val="Bold"/>
              </w:rPr>
            </w:pPr>
            <w:r w:rsidRPr="00FF2327">
              <w:rPr>
                <w:rStyle w:val="Bold"/>
              </w:rPr>
              <w:t>1,145</w:t>
            </w:r>
          </w:p>
        </w:tc>
        <w:tc>
          <w:tcPr>
            <w:tcW w:w="495" w:type="pct"/>
          </w:tcPr>
          <w:p w14:paraId="00E114DF" w14:textId="5972A1FC" w:rsidR="004B649A" w:rsidRPr="00FF2327" w:rsidRDefault="0016030F" w:rsidP="00FF2327">
            <w:pPr>
              <w:pStyle w:val="TableBodyText"/>
              <w:jc w:val="right"/>
              <w:rPr>
                <w:rStyle w:val="Bold"/>
              </w:rPr>
            </w:pPr>
            <w:r w:rsidRPr="00FF2327">
              <w:rPr>
                <w:rStyle w:val="Bold"/>
              </w:rPr>
              <w:t>17,788</w:t>
            </w:r>
          </w:p>
        </w:tc>
        <w:tc>
          <w:tcPr>
            <w:tcW w:w="514" w:type="pct"/>
          </w:tcPr>
          <w:p w14:paraId="55EA50F4" w14:textId="42A57CDD" w:rsidR="004B649A" w:rsidRPr="00FF2327" w:rsidRDefault="0016030F" w:rsidP="00FF2327">
            <w:pPr>
              <w:pStyle w:val="TableBodyText"/>
              <w:jc w:val="right"/>
              <w:rPr>
                <w:rStyle w:val="Bold"/>
              </w:rPr>
            </w:pPr>
            <w:r w:rsidRPr="00FF2327">
              <w:rPr>
                <w:rStyle w:val="Bold"/>
              </w:rPr>
              <w:t>13,665</w:t>
            </w:r>
          </w:p>
        </w:tc>
        <w:tc>
          <w:tcPr>
            <w:tcW w:w="471" w:type="pct"/>
          </w:tcPr>
          <w:p w14:paraId="19308559" w14:textId="7A49FA48" w:rsidR="004B649A" w:rsidRPr="00FF2327" w:rsidRDefault="0016030F" w:rsidP="00FF2327">
            <w:pPr>
              <w:pStyle w:val="TableBodyText"/>
              <w:jc w:val="right"/>
              <w:rPr>
                <w:rStyle w:val="Bold"/>
              </w:rPr>
            </w:pPr>
            <w:r w:rsidRPr="00FF2327">
              <w:rPr>
                <w:rStyle w:val="Bold"/>
              </w:rPr>
              <w:t>8,873,139</w:t>
            </w:r>
          </w:p>
        </w:tc>
        <w:tc>
          <w:tcPr>
            <w:tcW w:w="504" w:type="pct"/>
          </w:tcPr>
          <w:p w14:paraId="7FE95E95" w14:textId="0C14BB5D" w:rsidR="004B649A" w:rsidRPr="00FF2327" w:rsidRDefault="0016030F" w:rsidP="00FF2327">
            <w:pPr>
              <w:pStyle w:val="TableBodyText"/>
              <w:jc w:val="right"/>
              <w:rPr>
                <w:rStyle w:val="Bold"/>
              </w:rPr>
            </w:pPr>
            <w:r w:rsidRPr="00FF2327">
              <w:rPr>
                <w:rStyle w:val="Bold"/>
              </w:rPr>
              <w:t>4,071,895</w:t>
            </w:r>
          </w:p>
        </w:tc>
      </w:tr>
      <w:tr w:rsidR="0016030F" w:rsidRPr="0016030F" w14:paraId="321ABAD0" w14:textId="77777777" w:rsidTr="00FF2327">
        <w:tc>
          <w:tcPr>
            <w:tcW w:w="1265" w:type="pct"/>
          </w:tcPr>
          <w:p w14:paraId="08F69110" w14:textId="30AF8BD7" w:rsidR="0016030F" w:rsidRPr="0016030F" w:rsidRDefault="0016030F" w:rsidP="00FF2327">
            <w:pPr>
              <w:pStyle w:val="TableBodyText"/>
            </w:pPr>
            <w:r>
              <w:t>Opening balance 1 July 2020</w:t>
            </w:r>
          </w:p>
        </w:tc>
        <w:tc>
          <w:tcPr>
            <w:tcW w:w="584" w:type="pct"/>
          </w:tcPr>
          <w:p w14:paraId="7627C430" w14:textId="493C2E69" w:rsidR="0016030F" w:rsidRPr="0016030F" w:rsidRDefault="0016030F" w:rsidP="00FF2327">
            <w:pPr>
              <w:pStyle w:val="TableBodyText"/>
              <w:jc w:val="right"/>
            </w:pPr>
            <w:r>
              <w:t>1,420,777</w:t>
            </w:r>
          </w:p>
        </w:tc>
        <w:tc>
          <w:tcPr>
            <w:tcW w:w="680" w:type="pct"/>
          </w:tcPr>
          <w:p w14:paraId="6E9E5A2C" w14:textId="031FE8B8" w:rsidR="0016030F" w:rsidRPr="0016030F" w:rsidRDefault="0016030F" w:rsidP="00FF2327">
            <w:pPr>
              <w:pStyle w:val="TableBodyText"/>
              <w:jc w:val="right"/>
            </w:pPr>
            <w:r>
              <w:t>27,164</w:t>
            </w:r>
          </w:p>
        </w:tc>
        <w:tc>
          <w:tcPr>
            <w:tcW w:w="487" w:type="pct"/>
          </w:tcPr>
          <w:p w14:paraId="4BF64A30" w14:textId="3E140FA6" w:rsidR="0016030F" w:rsidRPr="0016030F" w:rsidRDefault="0016030F" w:rsidP="00FF2327">
            <w:pPr>
              <w:pStyle w:val="TableBodyText"/>
              <w:jc w:val="right"/>
            </w:pPr>
            <w:r>
              <w:t>1,145</w:t>
            </w:r>
          </w:p>
        </w:tc>
        <w:tc>
          <w:tcPr>
            <w:tcW w:w="495" w:type="pct"/>
          </w:tcPr>
          <w:p w14:paraId="4288E52F" w14:textId="43D02729" w:rsidR="0016030F" w:rsidRPr="0016030F" w:rsidRDefault="0016030F" w:rsidP="00FF2327">
            <w:pPr>
              <w:pStyle w:val="TableBodyText"/>
              <w:jc w:val="right"/>
            </w:pPr>
            <w:r>
              <w:t>17,788</w:t>
            </w:r>
          </w:p>
        </w:tc>
        <w:tc>
          <w:tcPr>
            <w:tcW w:w="514" w:type="pct"/>
          </w:tcPr>
          <w:p w14:paraId="18CD1C6F" w14:textId="1718E763" w:rsidR="0016030F" w:rsidRPr="0016030F" w:rsidRDefault="0016030F" w:rsidP="00FF2327">
            <w:pPr>
              <w:pStyle w:val="TableBodyText"/>
              <w:jc w:val="right"/>
            </w:pPr>
            <w:r>
              <w:t>13,665</w:t>
            </w:r>
          </w:p>
        </w:tc>
        <w:tc>
          <w:tcPr>
            <w:tcW w:w="471" w:type="pct"/>
          </w:tcPr>
          <w:p w14:paraId="0FC8986E" w14:textId="50369FE0" w:rsidR="0016030F" w:rsidRPr="0016030F" w:rsidRDefault="0016030F" w:rsidP="00FF2327">
            <w:pPr>
              <w:pStyle w:val="TableBodyText"/>
              <w:jc w:val="right"/>
            </w:pPr>
            <w:r>
              <w:t>8,873,139</w:t>
            </w:r>
          </w:p>
        </w:tc>
        <w:tc>
          <w:tcPr>
            <w:tcW w:w="504" w:type="pct"/>
          </w:tcPr>
          <w:p w14:paraId="1D8C8017" w14:textId="338E79EE" w:rsidR="0016030F" w:rsidRPr="0016030F" w:rsidRDefault="0016030F" w:rsidP="00FF2327">
            <w:pPr>
              <w:pStyle w:val="TableBodyText"/>
              <w:jc w:val="right"/>
            </w:pPr>
            <w:r>
              <w:t>4,071,895</w:t>
            </w:r>
          </w:p>
        </w:tc>
      </w:tr>
      <w:tr w:rsidR="0016030F" w:rsidRPr="0016030F" w14:paraId="11192FC0" w14:textId="77777777" w:rsidTr="00FF2327">
        <w:tc>
          <w:tcPr>
            <w:tcW w:w="1265" w:type="pct"/>
          </w:tcPr>
          <w:p w14:paraId="124A12F9" w14:textId="0CA4FC28" w:rsidR="0016030F" w:rsidRDefault="0016030F" w:rsidP="00FF2327">
            <w:pPr>
              <w:pStyle w:val="TableBodyText"/>
            </w:pPr>
            <w:r>
              <w:t>Purchased additions</w:t>
            </w:r>
          </w:p>
        </w:tc>
        <w:tc>
          <w:tcPr>
            <w:tcW w:w="584" w:type="pct"/>
          </w:tcPr>
          <w:p w14:paraId="3EC6986C" w14:textId="09682031" w:rsidR="0016030F" w:rsidRDefault="0016030F" w:rsidP="00FF2327">
            <w:pPr>
              <w:pStyle w:val="TableBodyText"/>
              <w:jc w:val="right"/>
            </w:pPr>
            <w:r w:rsidRPr="00CF7778">
              <w:t>N/A</w:t>
            </w:r>
          </w:p>
        </w:tc>
        <w:tc>
          <w:tcPr>
            <w:tcW w:w="680" w:type="pct"/>
          </w:tcPr>
          <w:p w14:paraId="63D24963" w14:textId="7AA7ACEC" w:rsidR="0016030F" w:rsidRDefault="0016030F" w:rsidP="00FF2327">
            <w:pPr>
              <w:pStyle w:val="TableBodyText"/>
              <w:jc w:val="right"/>
            </w:pPr>
            <w:r w:rsidRPr="00CF7778">
              <w:t>N/A</w:t>
            </w:r>
          </w:p>
        </w:tc>
        <w:tc>
          <w:tcPr>
            <w:tcW w:w="487" w:type="pct"/>
          </w:tcPr>
          <w:p w14:paraId="15565939" w14:textId="0DA1D19F" w:rsidR="0016030F" w:rsidRDefault="0016030F" w:rsidP="00FF2327">
            <w:pPr>
              <w:pStyle w:val="TableBodyText"/>
              <w:jc w:val="right"/>
            </w:pPr>
            <w:r w:rsidRPr="00CF7778">
              <w:t>N/A</w:t>
            </w:r>
          </w:p>
        </w:tc>
        <w:tc>
          <w:tcPr>
            <w:tcW w:w="495" w:type="pct"/>
          </w:tcPr>
          <w:p w14:paraId="2CA995A8" w14:textId="13F38C38" w:rsidR="0016030F" w:rsidRDefault="0016030F" w:rsidP="00FF2327">
            <w:pPr>
              <w:pStyle w:val="TableBodyText"/>
              <w:jc w:val="right"/>
            </w:pPr>
            <w:r w:rsidRPr="00CF7778">
              <w:t>N/A</w:t>
            </w:r>
          </w:p>
        </w:tc>
        <w:tc>
          <w:tcPr>
            <w:tcW w:w="514" w:type="pct"/>
          </w:tcPr>
          <w:p w14:paraId="00DF1F7C" w14:textId="59133CB0" w:rsidR="0016030F" w:rsidRDefault="0016030F" w:rsidP="00FF2327">
            <w:pPr>
              <w:pStyle w:val="TableBodyText"/>
              <w:jc w:val="right"/>
            </w:pPr>
            <w:r>
              <w:t>3,952</w:t>
            </w:r>
          </w:p>
        </w:tc>
        <w:tc>
          <w:tcPr>
            <w:tcW w:w="471" w:type="pct"/>
          </w:tcPr>
          <w:p w14:paraId="0AC7762C" w14:textId="41FA01B1" w:rsidR="0016030F" w:rsidRDefault="0016030F" w:rsidP="00FF2327">
            <w:pPr>
              <w:pStyle w:val="TableBodyText"/>
              <w:jc w:val="right"/>
            </w:pPr>
            <w:r w:rsidRPr="00F11BD4">
              <w:t>N/A</w:t>
            </w:r>
          </w:p>
        </w:tc>
        <w:tc>
          <w:tcPr>
            <w:tcW w:w="504" w:type="pct"/>
          </w:tcPr>
          <w:p w14:paraId="210D2A36" w14:textId="2F1FAEE8" w:rsidR="0016030F" w:rsidRDefault="0016030F" w:rsidP="00FF2327">
            <w:pPr>
              <w:pStyle w:val="TableBodyText"/>
              <w:jc w:val="right"/>
            </w:pPr>
            <w:r w:rsidRPr="00F11BD4">
              <w:t>N/A</w:t>
            </w:r>
          </w:p>
        </w:tc>
      </w:tr>
      <w:tr w:rsidR="0016030F" w:rsidRPr="0016030F" w14:paraId="03218758" w14:textId="77777777" w:rsidTr="00FF2327">
        <w:tc>
          <w:tcPr>
            <w:tcW w:w="1265" w:type="pct"/>
          </w:tcPr>
          <w:p w14:paraId="558DCE84" w14:textId="6BB1F080" w:rsidR="0016030F" w:rsidRDefault="0016030F" w:rsidP="00FF2327">
            <w:pPr>
              <w:pStyle w:val="TableBodyText"/>
            </w:pPr>
            <w:r>
              <w:t>Developer contributed assets</w:t>
            </w:r>
          </w:p>
        </w:tc>
        <w:tc>
          <w:tcPr>
            <w:tcW w:w="584" w:type="pct"/>
          </w:tcPr>
          <w:p w14:paraId="3C3889ED" w14:textId="295FA33C" w:rsidR="0016030F" w:rsidRDefault="0016030F" w:rsidP="00FF2327">
            <w:pPr>
              <w:pStyle w:val="TableBodyText"/>
              <w:jc w:val="right"/>
            </w:pPr>
            <w:r w:rsidRPr="0061126B">
              <w:t>N/A</w:t>
            </w:r>
          </w:p>
        </w:tc>
        <w:tc>
          <w:tcPr>
            <w:tcW w:w="680" w:type="pct"/>
          </w:tcPr>
          <w:p w14:paraId="6010191F" w14:textId="5506027F" w:rsidR="0016030F" w:rsidRDefault="0016030F" w:rsidP="00FF2327">
            <w:pPr>
              <w:pStyle w:val="TableBodyText"/>
              <w:jc w:val="right"/>
            </w:pPr>
            <w:r w:rsidRPr="0061126B">
              <w:t>N/A</w:t>
            </w:r>
          </w:p>
        </w:tc>
        <w:tc>
          <w:tcPr>
            <w:tcW w:w="487" w:type="pct"/>
          </w:tcPr>
          <w:p w14:paraId="64A093CD" w14:textId="629AA9D6" w:rsidR="0016030F" w:rsidRDefault="0016030F" w:rsidP="00FF2327">
            <w:pPr>
              <w:pStyle w:val="TableBodyText"/>
              <w:jc w:val="right"/>
            </w:pPr>
            <w:r w:rsidRPr="0061126B">
              <w:t>N/A</w:t>
            </w:r>
          </w:p>
        </w:tc>
        <w:tc>
          <w:tcPr>
            <w:tcW w:w="495" w:type="pct"/>
          </w:tcPr>
          <w:p w14:paraId="7F52FBA2" w14:textId="62725F91" w:rsidR="0016030F" w:rsidRDefault="0016030F" w:rsidP="00FF2327">
            <w:pPr>
              <w:pStyle w:val="TableBodyText"/>
              <w:jc w:val="right"/>
            </w:pPr>
            <w:r w:rsidRPr="0061126B">
              <w:t>N/A</w:t>
            </w:r>
          </w:p>
        </w:tc>
        <w:tc>
          <w:tcPr>
            <w:tcW w:w="514" w:type="pct"/>
          </w:tcPr>
          <w:p w14:paraId="2D8C5FBA" w14:textId="58C91BEF" w:rsidR="0016030F" w:rsidRDefault="0016030F" w:rsidP="00FF2327">
            <w:pPr>
              <w:pStyle w:val="TableBodyText"/>
              <w:jc w:val="right"/>
            </w:pPr>
            <w:r w:rsidRPr="0061126B">
              <w:t>N/A</w:t>
            </w:r>
          </w:p>
        </w:tc>
        <w:tc>
          <w:tcPr>
            <w:tcW w:w="471" w:type="pct"/>
          </w:tcPr>
          <w:p w14:paraId="7D412F5E" w14:textId="2E6B4062" w:rsidR="0016030F" w:rsidRDefault="0016030F" w:rsidP="00FF2327">
            <w:pPr>
              <w:pStyle w:val="TableBodyText"/>
              <w:jc w:val="right"/>
            </w:pPr>
            <w:r>
              <w:t>38,484</w:t>
            </w:r>
          </w:p>
        </w:tc>
        <w:tc>
          <w:tcPr>
            <w:tcW w:w="504" w:type="pct"/>
          </w:tcPr>
          <w:p w14:paraId="48C33052" w14:textId="4C3CECFA" w:rsidR="0016030F" w:rsidRDefault="0016030F" w:rsidP="00FF2327">
            <w:pPr>
              <w:pStyle w:val="TableBodyText"/>
              <w:jc w:val="right"/>
            </w:pPr>
            <w:r w:rsidRPr="009450CD">
              <w:t>N/A</w:t>
            </w:r>
          </w:p>
        </w:tc>
      </w:tr>
      <w:tr w:rsidR="0016030F" w:rsidRPr="0016030F" w14:paraId="3599D2AF" w14:textId="77777777" w:rsidTr="00FF2327">
        <w:tc>
          <w:tcPr>
            <w:tcW w:w="1265" w:type="pct"/>
          </w:tcPr>
          <w:p w14:paraId="594BA203" w14:textId="5E034CE4" w:rsidR="0016030F" w:rsidRDefault="0016030F" w:rsidP="00FF2327">
            <w:pPr>
              <w:pStyle w:val="TableBodyText"/>
            </w:pPr>
            <w:r>
              <w:t>Disposals and write-offs</w:t>
            </w:r>
          </w:p>
        </w:tc>
        <w:tc>
          <w:tcPr>
            <w:tcW w:w="584" w:type="pct"/>
          </w:tcPr>
          <w:p w14:paraId="459341C1" w14:textId="727B1AED" w:rsidR="0016030F" w:rsidRDefault="0016030F" w:rsidP="00FF2327">
            <w:pPr>
              <w:pStyle w:val="TableBodyText"/>
              <w:jc w:val="right"/>
            </w:pPr>
            <w:r>
              <w:t>(208)</w:t>
            </w:r>
          </w:p>
        </w:tc>
        <w:tc>
          <w:tcPr>
            <w:tcW w:w="680" w:type="pct"/>
          </w:tcPr>
          <w:p w14:paraId="3D4E5BD6" w14:textId="10D6F383" w:rsidR="0016030F" w:rsidRDefault="0016030F" w:rsidP="00FF2327">
            <w:pPr>
              <w:pStyle w:val="TableBodyText"/>
              <w:jc w:val="right"/>
            </w:pPr>
            <w:r w:rsidRPr="00D26EAB">
              <w:t>N/A</w:t>
            </w:r>
          </w:p>
        </w:tc>
        <w:tc>
          <w:tcPr>
            <w:tcW w:w="487" w:type="pct"/>
          </w:tcPr>
          <w:p w14:paraId="0225E89A" w14:textId="2148916E" w:rsidR="0016030F" w:rsidRDefault="0016030F" w:rsidP="00FF2327">
            <w:pPr>
              <w:pStyle w:val="TableBodyText"/>
              <w:jc w:val="right"/>
            </w:pPr>
            <w:r w:rsidRPr="00D26EAB">
              <w:t>N/A</w:t>
            </w:r>
          </w:p>
        </w:tc>
        <w:tc>
          <w:tcPr>
            <w:tcW w:w="495" w:type="pct"/>
          </w:tcPr>
          <w:p w14:paraId="035916D8" w14:textId="7C23E2F2" w:rsidR="0016030F" w:rsidRDefault="0016030F" w:rsidP="00FF2327">
            <w:pPr>
              <w:pStyle w:val="TableBodyText"/>
              <w:jc w:val="right"/>
            </w:pPr>
            <w:r>
              <w:t>(13)</w:t>
            </w:r>
          </w:p>
        </w:tc>
        <w:tc>
          <w:tcPr>
            <w:tcW w:w="514" w:type="pct"/>
          </w:tcPr>
          <w:p w14:paraId="0BCE071C" w14:textId="08D34E25" w:rsidR="0016030F" w:rsidRDefault="0016030F" w:rsidP="00FF2327">
            <w:pPr>
              <w:pStyle w:val="TableBodyText"/>
              <w:jc w:val="right"/>
            </w:pPr>
            <w:r>
              <w:t>(723)</w:t>
            </w:r>
          </w:p>
        </w:tc>
        <w:tc>
          <w:tcPr>
            <w:tcW w:w="471" w:type="pct"/>
          </w:tcPr>
          <w:p w14:paraId="79F36ED6" w14:textId="42EAA9BD" w:rsidR="0016030F" w:rsidRDefault="0016030F" w:rsidP="00FF2327">
            <w:pPr>
              <w:pStyle w:val="TableBodyText"/>
              <w:jc w:val="right"/>
            </w:pPr>
            <w:r>
              <w:t>(40,951)</w:t>
            </w:r>
          </w:p>
        </w:tc>
        <w:tc>
          <w:tcPr>
            <w:tcW w:w="504" w:type="pct"/>
          </w:tcPr>
          <w:p w14:paraId="0AF0091A" w14:textId="585C114E" w:rsidR="0016030F" w:rsidRDefault="0016030F" w:rsidP="00FF2327">
            <w:pPr>
              <w:pStyle w:val="TableBodyText"/>
              <w:jc w:val="right"/>
            </w:pPr>
            <w:r w:rsidRPr="009450CD">
              <w:t>N/A</w:t>
            </w:r>
          </w:p>
        </w:tc>
      </w:tr>
      <w:tr w:rsidR="0016030F" w:rsidRPr="0016030F" w14:paraId="34D6BCC8" w14:textId="77777777" w:rsidTr="00FF2327">
        <w:tc>
          <w:tcPr>
            <w:tcW w:w="1265" w:type="pct"/>
          </w:tcPr>
          <w:p w14:paraId="227864C7" w14:textId="17872D45" w:rsidR="0016030F" w:rsidRDefault="0016030F" w:rsidP="00FF2327">
            <w:pPr>
              <w:pStyle w:val="TableBodyText"/>
            </w:pPr>
            <w:r>
              <w:lastRenderedPageBreak/>
              <w:t>Depreciation and amortisation</w:t>
            </w:r>
          </w:p>
        </w:tc>
        <w:tc>
          <w:tcPr>
            <w:tcW w:w="584" w:type="pct"/>
          </w:tcPr>
          <w:p w14:paraId="7FBEDC63" w14:textId="659679E8" w:rsidR="0016030F" w:rsidRDefault="0016030F" w:rsidP="00FF2327">
            <w:pPr>
              <w:pStyle w:val="TableBodyText"/>
              <w:jc w:val="right"/>
            </w:pPr>
            <w:r>
              <w:t>N/A</w:t>
            </w:r>
          </w:p>
        </w:tc>
        <w:tc>
          <w:tcPr>
            <w:tcW w:w="680" w:type="pct"/>
          </w:tcPr>
          <w:p w14:paraId="5819C7B6" w14:textId="62FE3120" w:rsidR="0016030F" w:rsidRDefault="0016030F" w:rsidP="00FF2327">
            <w:pPr>
              <w:pStyle w:val="TableBodyText"/>
              <w:jc w:val="right"/>
            </w:pPr>
            <w:r>
              <w:t>(1,029)</w:t>
            </w:r>
          </w:p>
        </w:tc>
        <w:tc>
          <w:tcPr>
            <w:tcW w:w="487" w:type="pct"/>
          </w:tcPr>
          <w:p w14:paraId="700F73CC" w14:textId="0674FA14" w:rsidR="0016030F" w:rsidRDefault="0016030F" w:rsidP="00FF2327">
            <w:pPr>
              <w:pStyle w:val="TableBodyText"/>
              <w:jc w:val="right"/>
            </w:pPr>
            <w:r>
              <w:t>(163)</w:t>
            </w:r>
          </w:p>
        </w:tc>
        <w:tc>
          <w:tcPr>
            <w:tcW w:w="495" w:type="pct"/>
          </w:tcPr>
          <w:p w14:paraId="1BDA3B6B" w14:textId="59F4EFCA" w:rsidR="0016030F" w:rsidRDefault="0016030F" w:rsidP="00FF2327">
            <w:pPr>
              <w:pStyle w:val="TableBodyText"/>
              <w:jc w:val="right"/>
            </w:pPr>
            <w:r>
              <w:t>(5,035)</w:t>
            </w:r>
          </w:p>
        </w:tc>
        <w:tc>
          <w:tcPr>
            <w:tcW w:w="514" w:type="pct"/>
          </w:tcPr>
          <w:p w14:paraId="1E263756" w14:textId="4C585D50" w:rsidR="0016030F" w:rsidRDefault="0016030F" w:rsidP="00FF2327">
            <w:pPr>
              <w:pStyle w:val="TableBodyText"/>
              <w:jc w:val="right"/>
            </w:pPr>
            <w:r>
              <w:t>(2,346)</w:t>
            </w:r>
          </w:p>
        </w:tc>
        <w:tc>
          <w:tcPr>
            <w:tcW w:w="471" w:type="pct"/>
          </w:tcPr>
          <w:p w14:paraId="3B25B250" w14:textId="151C80CC" w:rsidR="0016030F" w:rsidRDefault="0016030F" w:rsidP="00FF2327">
            <w:pPr>
              <w:pStyle w:val="TableBodyText"/>
              <w:jc w:val="right"/>
            </w:pPr>
            <w:r>
              <w:t>(331,359)</w:t>
            </w:r>
          </w:p>
        </w:tc>
        <w:tc>
          <w:tcPr>
            <w:tcW w:w="504" w:type="pct"/>
          </w:tcPr>
          <w:p w14:paraId="30367943" w14:textId="2849A942" w:rsidR="0016030F" w:rsidRDefault="0016030F" w:rsidP="00FF2327">
            <w:pPr>
              <w:pStyle w:val="TableBodyText"/>
              <w:jc w:val="right"/>
            </w:pPr>
            <w:r>
              <w:t>(77,554)</w:t>
            </w:r>
          </w:p>
        </w:tc>
      </w:tr>
      <w:tr w:rsidR="0016030F" w:rsidRPr="0016030F" w14:paraId="65D82263" w14:textId="77777777" w:rsidTr="00FF2327">
        <w:tc>
          <w:tcPr>
            <w:tcW w:w="1265" w:type="pct"/>
          </w:tcPr>
          <w:p w14:paraId="0C2D10D9" w14:textId="23FB8146" w:rsidR="0016030F" w:rsidRDefault="0016030F" w:rsidP="00FF2327">
            <w:pPr>
              <w:pStyle w:val="TableBodyText"/>
            </w:pPr>
            <w:r>
              <w:t>Transfers between classes</w:t>
            </w:r>
          </w:p>
        </w:tc>
        <w:tc>
          <w:tcPr>
            <w:tcW w:w="584" w:type="pct"/>
          </w:tcPr>
          <w:p w14:paraId="37EBFECB" w14:textId="58CFB4D6" w:rsidR="0016030F" w:rsidRDefault="0016030F" w:rsidP="00FF2327">
            <w:pPr>
              <w:pStyle w:val="TableBodyText"/>
              <w:jc w:val="right"/>
            </w:pPr>
            <w:r>
              <w:t>N/A</w:t>
            </w:r>
          </w:p>
        </w:tc>
        <w:tc>
          <w:tcPr>
            <w:tcW w:w="680" w:type="pct"/>
          </w:tcPr>
          <w:p w14:paraId="739A80CB" w14:textId="62A1E837" w:rsidR="0016030F" w:rsidRDefault="0016030F" w:rsidP="00FF2327">
            <w:pPr>
              <w:pStyle w:val="TableBodyText"/>
              <w:jc w:val="right"/>
            </w:pPr>
            <w:r>
              <w:t>3,598</w:t>
            </w:r>
          </w:p>
        </w:tc>
        <w:tc>
          <w:tcPr>
            <w:tcW w:w="487" w:type="pct"/>
          </w:tcPr>
          <w:p w14:paraId="094BDDCA" w14:textId="19007CA2" w:rsidR="0016030F" w:rsidRDefault="0016030F" w:rsidP="00FF2327">
            <w:pPr>
              <w:pStyle w:val="TableBodyText"/>
              <w:jc w:val="right"/>
            </w:pPr>
            <w:r w:rsidRPr="00522EEB">
              <w:t>N/A</w:t>
            </w:r>
          </w:p>
        </w:tc>
        <w:tc>
          <w:tcPr>
            <w:tcW w:w="495" w:type="pct"/>
          </w:tcPr>
          <w:p w14:paraId="3E88538B" w14:textId="27922B57" w:rsidR="0016030F" w:rsidRDefault="0016030F" w:rsidP="00FF2327">
            <w:pPr>
              <w:pStyle w:val="TableBodyText"/>
              <w:jc w:val="right"/>
            </w:pPr>
            <w:r>
              <w:t>50</w:t>
            </w:r>
          </w:p>
        </w:tc>
        <w:tc>
          <w:tcPr>
            <w:tcW w:w="514" w:type="pct"/>
          </w:tcPr>
          <w:p w14:paraId="0EF9C813" w14:textId="34E17680" w:rsidR="0016030F" w:rsidRDefault="0016030F" w:rsidP="00FF2327">
            <w:pPr>
              <w:pStyle w:val="TableBodyText"/>
              <w:jc w:val="right"/>
            </w:pPr>
            <w:r>
              <w:t>(38)</w:t>
            </w:r>
          </w:p>
        </w:tc>
        <w:tc>
          <w:tcPr>
            <w:tcW w:w="471" w:type="pct"/>
          </w:tcPr>
          <w:p w14:paraId="1F7D4CCF" w14:textId="6B33FE84" w:rsidR="0016030F" w:rsidRDefault="0016030F" w:rsidP="00FF2327">
            <w:pPr>
              <w:pStyle w:val="TableBodyText"/>
              <w:jc w:val="right"/>
            </w:pPr>
            <w:r>
              <w:t>(3,602)</w:t>
            </w:r>
          </w:p>
        </w:tc>
        <w:tc>
          <w:tcPr>
            <w:tcW w:w="504" w:type="pct"/>
          </w:tcPr>
          <w:p w14:paraId="24F854C0" w14:textId="72892240" w:rsidR="0016030F" w:rsidRDefault="0016030F" w:rsidP="00FF2327">
            <w:pPr>
              <w:pStyle w:val="TableBodyText"/>
              <w:jc w:val="right"/>
            </w:pPr>
            <w:r>
              <w:t>N/A</w:t>
            </w:r>
          </w:p>
        </w:tc>
      </w:tr>
      <w:tr w:rsidR="0016030F" w:rsidRPr="0016030F" w14:paraId="340FC48C" w14:textId="77777777" w:rsidTr="00FF2327">
        <w:tc>
          <w:tcPr>
            <w:tcW w:w="1265" w:type="pct"/>
          </w:tcPr>
          <w:p w14:paraId="18F4DF39" w14:textId="5BD1ED30" w:rsidR="0016030F" w:rsidRDefault="0016030F" w:rsidP="00FF2327">
            <w:pPr>
              <w:pStyle w:val="TableBodyText"/>
            </w:pPr>
            <w:r>
              <w:t>Transfers in/(out) of Level 3</w:t>
            </w:r>
          </w:p>
        </w:tc>
        <w:tc>
          <w:tcPr>
            <w:tcW w:w="584" w:type="pct"/>
          </w:tcPr>
          <w:p w14:paraId="05244F46" w14:textId="4CB8B3D5" w:rsidR="0016030F" w:rsidRDefault="0016030F" w:rsidP="00FF2327">
            <w:pPr>
              <w:pStyle w:val="TableBodyText"/>
              <w:jc w:val="right"/>
            </w:pPr>
            <w:r>
              <w:t>(8,335)</w:t>
            </w:r>
          </w:p>
        </w:tc>
        <w:tc>
          <w:tcPr>
            <w:tcW w:w="680" w:type="pct"/>
          </w:tcPr>
          <w:p w14:paraId="5D01E16E" w14:textId="6EFBC696" w:rsidR="0016030F" w:rsidRDefault="0016030F" w:rsidP="00FF2327">
            <w:pPr>
              <w:pStyle w:val="TableBodyText"/>
              <w:jc w:val="right"/>
            </w:pPr>
            <w:r w:rsidRPr="00DC2817">
              <w:t>N/A</w:t>
            </w:r>
          </w:p>
        </w:tc>
        <w:tc>
          <w:tcPr>
            <w:tcW w:w="487" w:type="pct"/>
          </w:tcPr>
          <w:p w14:paraId="2C323139" w14:textId="75525908" w:rsidR="0016030F" w:rsidRDefault="0016030F" w:rsidP="00FF2327">
            <w:pPr>
              <w:pStyle w:val="TableBodyText"/>
              <w:jc w:val="right"/>
            </w:pPr>
            <w:r w:rsidRPr="00522EEB">
              <w:t>N/A</w:t>
            </w:r>
          </w:p>
        </w:tc>
        <w:tc>
          <w:tcPr>
            <w:tcW w:w="495" w:type="pct"/>
          </w:tcPr>
          <w:p w14:paraId="1C971FA4" w14:textId="7828FBD2" w:rsidR="0016030F" w:rsidRDefault="0016030F" w:rsidP="00FF2327">
            <w:pPr>
              <w:pStyle w:val="TableBodyText"/>
              <w:jc w:val="right"/>
            </w:pPr>
            <w:r w:rsidRPr="00DC2817">
              <w:t>N/A</w:t>
            </w:r>
          </w:p>
        </w:tc>
        <w:tc>
          <w:tcPr>
            <w:tcW w:w="514" w:type="pct"/>
          </w:tcPr>
          <w:p w14:paraId="6CA59870" w14:textId="5751AA6A" w:rsidR="0016030F" w:rsidRDefault="0016030F" w:rsidP="00FF2327">
            <w:pPr>
              <w:pStyle w:val="TableBodyText"/>
              <w:jc w:val="right"/>
            </w:pPr>
            <w:r w:rsidRPr="00DC2817">
              <w:t>N/A</w:t>
            </w:r>
          </w:p>
        </w:tc>
        <w:tc>
          <w:tcPr>
            <w:tcW w:w="471" w:type="pct"/>
          </w:tcPr>
          <w:p w14:paraId="27D5F3EE" w14:textId="7303798C" w:rsidR="0016030F" w:rsidRDefault="0016030F" w:rsidP="00FF2327">
            <w:pPr>
              <w:pStyle w:val="TableBodyText"/>
              <w:jc w:val="right"/>
            </w:pPr>
            <w:r w:rsidRPr="00DC2817">
              <w:t>N/A</w:t>
            </w:r>
          </w:p>
        </w:tc>
        <w:tc>
          <w:tcPr>
            <w:tcW w:w="504" w:type="pct"/>
          </w:tcPr>
          <w:p w14:paraId="55FBB306" w14:textId="675AF647" w:rsidR="0016030F" w:rsidRDefault="0016030F" w:rsidP="00FF2327">
            <w:pPr>
              <w:pStyle w:val="TableBodyText"/>
              <w:jc w:val="right"/>
            </w:pPr>
            <w:r w:rsidRPr="00DC2817">
              <w:t>N/A</w:t>
            </w:r>
          </w:p>
        </w:tc>
      </w:tr>
      <w:tr w:rsidR="0016030F" w:rsidRPr="0016030F" w14:paraId="3930B51F" w14:textId="77777777" w:rsidTr="00FF2327">
        <w:tc>
          <w:tcPr>
            <w:tcW w:w="1265" w:type="pct"/>
          </w:tcPr>
          <w:p w14:paraId="69CD9666" w14:textId="265C6804" w:rsidR="0016030F" w:rsidRDefault="0016030F" w:rsidP="00FF2327">
            <w:pPr>
              <w:pStyle w:val="TableBodyText"/>
            </w:pPr>
            <w:r>
              <w:t>Revaluation increments</w:t>
            </w:r>
          </w:p>
        </w:tc>
        <w:tc>
          <w:tcPr>
            <w:tcW w:w="584" w:type="pct"/>
          </w:tcPr>
          <w:p w14:paraId="0F0FBA5F" w14:textId="587FD2D9" w:rsidR="0016030F" w:rsidRDefault="0016030F" w:rsidP="00FF2327">
            <w:pPr>
              <w:pStyle w:val="TableBodyText"/>
              <w:jc w:val="right"/>
            </w:pPr>
            <w:r>
              <w:t>683,580</w:t>
            </w:r>
          </w:p>
        </w:tc>
        <w:tc>
          <w:tcPr>
            <w:tcW w:w="680" w:type="pct"/>
          </w:tcPr>
          <w:p w14:paraId="696D96E4" w14:textId="195B84F7" w:rsidR="0016030F" w:rsidRDefault="0016030F" w:rsidP="00FF2327">
            <w:pPr>
              <w:pStyle w:val="TableBodyText"/>
              <w:jc w:val="right"/>
            </w:pPr>
            <w:r>
              <w:t>4,107</w:t>
            </w:r>
          </w:p>
        </w:tc>
        <w:tc>
          <w:tcPr>
            <w:tcW w:w="487" w:type="pct"/>
          </w:tcPr>
          <w:p w14:paraId="2C429480" w14:textId="732E6F3B" w:rsidR="0016030F" w:rsidRDefault="0016030F" w:rsidP="00FF2327">
            <w:pPr>
              <w:pStyle w:val="TableBodyText"/>
              <w:jc w:val="right"/>
            </w:pPr>
            <w:r w:rsidRPr="00522EEB">
              <w:t>N/A</w:t>
            </w:r>
          </w:p>
        </w:tc>
        <w:tc>
          <w:tcPr>
            <w:tcW w:w="495" w:type="pct"/>
          </w:tcPr>
          <w:p w14:paraId="1147CD04" w14:textId="329E93BA" w:rsidR="0016030F" w:rsidRDefault="0016030F" w:rsidP="00FF2327">
            <w:pPr>
              <w:pStyle w:val="TableBodyText"/>
              <w:jc w:val="right"/>
            </w:pPr>
            <w:r w:rsidRPr="00304BF8">
              <w:t>N/A</w:t>
            </w:r>
          </w:p>
        </w:tc>
        <w:tc>
          <w:tcPr>
            <w:tcW w:w="514" w:type="pct"/>
          </w:tcPr>
          <w:p w14:paraId="0A90D61E" w14:textId="1CFF9CBE" w:rsidR="0016030F" w:rsidRDefault="0016030F" w:rsidP="00FF2327">
            <w:pPr>
              <w:pStyle w:val="TableBodyText"/>
              <w:jc w:val="right"/>
            </w:pPr>
            <w:r w:rsidRPr="00304BF8">
              <w:t>N/A</w:t>
            </w:r>
          </w:p>
        </w:tc>
        <w:tc>
          <w:tcPr>
            <w:tcW w:w="471" w:type="pct"/>
          </w:tcPr>
          <w:p w14:paraId="7172F132" w14:textId="6BF21549" w:rsidR="0016030F" w:rsidRDefault="0016030F" w:rsidP="00FF2327">
            <w:pPr>
              <w:pStyle w:val="TableBodyText"/>
              <w:jc w:val="right"/>
            </w:pPr>
            <w:r>
              <w:t>90,577</w:t>
            </w:r>
          </w:p>
        </w:tc>
        <w:tc>
          <w:tcPr>
            <w:tcW w:w="504" w:type="pct"/>
          </w:tcPr>
          <w:p w14:paraId="619C031F" w14:textId="0256AE87" w:rsidR="0016030F" w:rsidRDefault="0016030F" w:rsidP="00FF2327">
            <w:pPr>
              <w:pStyle w:val="TableBodyText"/>
              <w:jc w:val="right"/>
            </w:pPr>
            <w:r>
              <w:t>46,029</w:t>
            </w:r>
          </w:p>
        </w:tc>
      </w:tr>
      <w:tr w:rsidR="0016030F" w:rsidRPr="0016030F" w14:paraId="2FD4D27A" w14:textId="77777777" w:rsidTr="00FF2327">
        <w:tc>
          <w:tcPr>
            <w:tcW w:w="1265" w:type="pct"/>
          </w:tcPr>
          <w:p w14:paraId="3608FCD6" w14:textId="6F460591" w:rsidR="0016030F" w:rsidRDefault="0016030F" w:rsidP="00FF2327">
            <w:pPr>
              <w:pStyle w:val="TableBodyText"/>
            </w:pPr>
            <w:r>
              <w:t>Revaluation decrements</w:t>
            </w:r>
          </w:p>
        </w:tc>
        <w:tc>
          <w:tcPr>
            <w:tcW w:w="584" w:type="pct"/>
          </w:tcPr>
          <w:p w14:paraId="11D86D78" w14:textId="39A7DBFC" w:rsidR="0016030F" w:rsidRDefault="0016030F" w:rsidP="00FF2327">
            <w:pPr>
              <w:pStyle w:val="TableBodyText"/>
              <w:jc w:val="right"/>
            </w:pPr>
            <w:r>
              <w:t>(57,052)</w:t>
            </w:r>
          </w:p>
        </w:tc>
        <w:tc>
          <w:tcPr>
            <w:tcW w:w="680" w:type="pct"/>
          </w:tcPr>
          <w:p w14:paraId="36EC5243" w14:textId="41966515" w:rsidR="0016030F" w:rsidRDefault="0016030F" w:rsidP="00FF2327">
            <w:pPr>
              <w:pStyle w:val="TableBodyText"/>
              <w:jc w:val="right"/>
            </w:pPr>
            <w:r>
              <w:t>(1,170)</w:t>
            </w:r>
          </w:p>
        </w:tc>
        <w:tc>
          <w:tcPr>
            <w:tcW w:w="487" w:type="pct"/>
          </w:tcPr>
          <w:p w14:paraId="231C9AA0" w14:textId="576E16DB" w:rsidR="0016030F" w:rsidRDefault="0016030F" w:rsidP="00FF2327">
            <w:pPr>
              <w:pStyle w:val="TableBodyText"/>
              <w:jc w:val="right"/>
            </w:pPr>
            <w:r w:rsidRPr="00522EEB">
              <w:t>N/A</w:t>
            </w:r>
          </w:p>
        </w:tc>
        <w:tc>
          <w:tcPr>
            <w:tcW w:w="495" w:type="pct"/>
          </w:tcPr>
          <w:p w14:paraId="1B64AE24" w14:textId="0896243C" w:rsidR="0016030F" w:rsidRDefault="0016030F" w:rsidP="00FF2327">
            <w:pPr>
              <w:pStyle w:val="TableBodyText"/>
              <w:jc w:val="right"/>
            </w:pPr>
            <w:r w:rsidRPr="00304BF8">
              <w:t>N/A</w:t>
            </w:r>
          </w:p>
        </w:tc>
        <w:tc>
          <w:tcPr>
            <w:tcW w:w="514" w:type="pct"/>
          </w:tcPr>
          <w:p w14:paraId="00794F88" w14:textId="152CDFFF" w:rsidR="0016030F" w:rsidRDefault="0016030F" w:rsidP="00FF2327">
            <w:pPr>
              <w:pStyle w:val="TableBodyText"/>
              <w:jc w:val="right"/>
            </w:pPr>
            <w:r w:rsidRPr="00304BF8">
              <w:t>N/A</w:t>
            </w:r>
          </w:p>
        </w:tc>
        <w:tc>
          <w:tcPr>
            <w:tcW w:w="471" w:type="pct"/>
          </w:tcPr>
          <w:p w14:paraId="48ECCD94" w14:textId="6623FE01" w:rsidR="0016030F" w:rsidRDefault="0016030F" w:rsidP="00FF2327">
            <w:pPr>
              <w:pStyle w:val="TableBodyText"/>
              <w:jc w:val="right"/>
            </w:pPr>
            <w:r w:rsidRPr="00D121B4">
              <w:t>N/A</w:t>
            </w:r>
          </w:p>
        </w:tc>
        <w:tc>
          <w:tcPr>
            <w:tcW w:w="504" w:type="pct"/>
          </w:tcPr>
          <w:p w14:paraId="3F9770F2" w14:textId="281C7672" w:rsidR="0016030F" w:rsidRDefault="0016030F" w:rsidP="00FF2327">
            <w:pPr>
              <w:pStyle w:val="TableBodyText"/>
              <w:jc w:val="right"/>
            </w:pPr>
            <w:r w:rsidRPr="00D121B4">
              <w:t>N/A</w:t>
            </w:r>
          </w:p>
        </w:tc>
      </w:tr>
      <w:tr w:rsidR="0016030F" w:rsidRPr="0016030F" w14:paraId="7DD774E4" w14:textId="77777777" w:rsidTr="00FF2327">
        <w:tc>
          <w:tcPr>
            <w:tcW w:w="1265" w:type="pct"/>
          </w:tcPr>
          <w:p w14:paraId="5F51487A" w14:textId="70D0BDAA" w:rsidR="0016030F" w:rsidRDefault="0016030F" w:rsidP="00FF2327">
            <w:pPr>
              <w:pStyle w:val="TableBodyText"/>
            </w:pPr>
            <w:r>
              <w:t>Capital contributions</w:t>
            </w:r>
          </w:p>
        </w:tc>
        <w:tc>
          <w:tcPr>
            <w:tcW w:w="584" w:type="pct"/>
          </w:tcPr>
          <w:p w14:paraId="4C565699" w14:textId="1802D220" w:rsidR="0016030F" w:rsidRDefault="0016030F" w:rsidP="00FF2327">
            <w:pPr>
              <w:pStyle w:val="TableBodyText"/>
              <w:jc w:val="right"/>
            </w:pPr>
            <w:r w:rsidRPr="00453B84">
              <w:t>N/A</w:t>
            </w:r>
          </w:p>
        </w:tc>
        <w:tc>
          <w:tcPr>
            <w:tcW w:w="680" w:type="pct"/>
          </w:tcPr>
          <w:p w14:paraId="2745031A" w14:textId="3F43D756" w:rsidR="0016030F" w:rsidRDefault="0016030F" w:rsidP="00FF2327">
            <w:pPr>
              <w:pStyle w:val="TableBodyText"/>
              <w:jc w:val="right"/>
            </w:pPr>
            <w:r w:rsidRPr="00453B84">
              <w:t>N/A</w:t>
            </w:r>
          </w:p>
        </w:tc>
        <w:tc>
          <w:tcPr>
            <w:tcW w:w="487" w:type="pct"/>
          </w:tcPr>
          <w:p w14:paraId="1D94B5EB" w14:textId="356FA31B" w:rsidR="0016030F" w:rsidRDefault="0016030F" w:rsidP="00FF2327">
            <w:pPr>
              <w:pStyle w:val="TableBodyText"/>
              <w:jc w:val="right"/>
            </w:pPr>
            <w:r w:rsidRPr="00522EEB">
              <w:t>N/A</w:t>
            </w:r>
          </w:p>
        </w:tc>
        <w:tc>
          <w:tcPr>
            <w:tcW w:w="495" w:type="pct"/>
          </w:tcPr>
          <w:p w14:paraId="6D13B80F" w14:textId="02F8C73A" w:rsidR="0016030F" w:rsidRDefault="0016030F" w:rsidP="00FF2327">
            <w:pPr>
              <w:pStyle w:val="TableBodyText"/>
              <w:jc w:val="right"/>
            </w:pPr>
            <w:r w:rsidRPr="00304BF8">
              <w:t>N/A</w:t>
            </w:r>
          </w:p>
        </w:tc>
        <w:tc>
          <w:tcPr>
            <w:tcW w:w="514" w:type="pct"/>
          </w:tcPr>
          <w:p w14:paraId="2889006D" w14:textId="759A023D" w:rsidR="0016030F" w:rsidRDefault="0016030F" w:rsidP="00FF2327">
            <w:pPr>
              <w:pStyle w:val="TableBodyText"/>
              <w:jc w:val="right"/>
            </w:pPr>
            <w:r w:rsidRPr="00304BF8">
              <w:t>N/A</w:t>
            </w:r>
          </w:p>
        </w:tc>
        <w:tc>
          <w:tcPr>
            <w:tcW w:w="471" w:type="pct"/>
          </w:tcPr>
          <w:p w14:paraId="2AE21B82" w14:textId="0DD46467" w:rsidR="0016030F" w:rsidRDefault="0016030F" w:rsidP="00FF2327">
            <w:pPr>
              <w:pStyle w:val="TableBodyText"/>
              <w:jc w:val="right"/>
            </w:pPr>
            <w:r w:rsidRPr="00D121B4">
              <w:t>N/A</w:t>
            </w:r>
          </w:p>
        </w:tc>
        <w:tc>
          <w:tcPr>
            <w:tcW w:w="504" w:type="pct"/>
          </w:tcPr>
          <w:p w14:paraId="3F460FC3" w14:textId="66F8C1A3" w:rsidR="0016030F" w:rsidRDefault="0016030F" w:rsidP="00FF2327">
            <w:pPr>
              <w:pStyle w:val="TableBodyText"/>
              <w:jc w:val="right"/>
            </w:pPr>
            <w:r w:rsidRPr="00D121B4">
              <w:t>N/A</w:t>
            </w:r>
          </w:p>
        </w:tc>
      </w:tr>
      <w:tr w:rsidR="0016030F" w:rsidRPr="0016030F" w14:paraId="5FF0B959" w14:textId="77777777" w:rsidTr="00FF2327">
        <w:tc>
          <w:tcPr>
            <w:tcW w:w="1265" w:type="pct"/>
          </w:tcPr>
          <w:p w14:paraId="3D6ED533" w14:textId="22F430C2" w:rsidR="0016030F" w:rsidRDefault="0016030F" w:rsidP="00FF2327">
            <w:pPr>
              <w:pStyle w:val="TableBodyText"/>
            </w:pPr>
            <w:r>
              <w:t>Capitalisation of works in progress</w:t>
            </w:r>
          </w:p>
        </w:tc>
        <w:tc>
          <w:tcPr>
            <w:tcW w:w="584" w:type="pct"/>
          </w:tcPr>
          <w:p w14:paraId="5FF5CFC8" w14:textId="18E8F416" w:rsidR="0016030F" w:rsidRDefault="0016030F" w:rsidP="00FF2327">
            <w:pPr>
              <w:pStyle w:val="TableBodyText"/>
              <w:jc w:val="right"/>
            </w:pPr>
            <w:r>
              <w:t>21,585</w:t>
            </w:r>
          </w:p>
        </w:tc>
        <w:tc>
          <w:tcPr>
            <w:tcW w:w="680" w:type="pct"/>
          </w:tcPr>
          <w:p w14:paraId="743105B8" w14:textId="769C1DDF" w:rsidR="0016030F" w:rsidRDefault="0016030F" w:rsidP="00FF2327">
            <w:pPr>
              <w:pStyle w:val="TableBodyText"/>
              <w:jc w:val="right"/>
            </w:pPr>
            <w:r>
              <w:t>1,915</w:t>
            </w:r>
          </w:p>
        </w:tc>
        <w:tc>
          <w:tcPr>
            <w:tcW w:w="487" w:type="pct"/>
          </w:tcPr>
          <w:p w14:paraId="17B54A6C" w14:textId="67B8E093" w:rsidR="0016030F" w:rsidRDefault="0016030F" w:rsidP="00FF2327">
            <w:pPr>
              <w:pStyle w:val="TableBodyText"/>
              <w:jc w:val="right"/>
            </w:pPr>
            <w:r>
              <w:t>N/A</w:t>
            </w:r>
          </w:p>
        </w:tc>
        <w:tc>
          <w:tcPr>
            <w:tcW w:w="495" w:type="pct"/>
          </w:tcPr>
          <w:p w14:paraId="20F4DE56" w14:textId="24F0304D" w:rsidR="0016030F" w:rsidRDefault="0016030F" w:rsidP="00FF2327">
            <w:pPr>
              <w:pStyle w:val="TableBodyText"/>
              <w:jc w:val="right"/>
            </w:pPr>
            <w:r>
              <w:t>2,878</w:t>
            </w:r>
          </w:p>
        </w:tc>
        <w:tc>
          <w:tcPr>
            <w:tcW w:w="514" w:type="pct"/>
          </w:tcPr>
          <w:p w14:paraId="6D025F8F" w14:textId="01269FA9" w:rsidR="0016030F" w:rsidRDefault="0016030F" w:rsidP="00FF2327">
            <w:pPr>
              <w:pStyle w:val="TableBodyText"/>
              <w:jc w:val="right"/>
            </w:pPr>
            <w:r>
              <w:t>N/A</w:t>
            </w:r>
          </w:p>
        </w:tc>
        <w:tc>
          <w:tcPr>
            <w:tcW w:w="471" w:type="pct"/>
          </w:tcPr>
          <w:p w14:paraId="0F18D462" w14:textId="6C8882A5" w:rsidR="0016030F" w:rsidRDefault="0016030F" w:rsidP="00FF2327">
            <w:pPr>
              <w:pStyle w:val="TableBodyText"/>
              <w:jc w:val="right"/>
            </w:pPr>
            <w:r>
              <w:t>316,201</w:t>
            </w:r>
          </w:p>
        </w:tc>
        <w:tc>
          <w:tcPr>
            <w:tcW w:w="504" w:type="pct"/>
          </w:tcPr>
          <w:p w14:paraId="46986893" w14:textId="048D3960" w:rsidR="0016030F" w:rsidRDefault="0016030F" w:rsidP="00FF2327">
            <w:pPr>
              <w:pStyle w:val="TableBodyText"/>
              <w:jc w:val="right"/>
            </w:pPr>
            <w:r>
              <w:t>N/A</w:t>
            </w:r>
          </w:p>
        </w:tc>
      </w:tr>
      <w:tr w:rsidR="0016030F" w:rsidRPr="002A3ED8" w14:paraId="0B301B6B" w14:textId="77777777" w:rsidTr="00FF2327">
        <w:tc>
          <w:tcPr>
            <w:tcW w:w="1265" w:type="pct"/>
          </w:tcPr>
          <w:p w14:paraId="1268E755" w14:textId="7C9A29D9" w:rsidR="0016030F" w:rsidRPr="002A3ED8" w:rsidRDefault="0016030F" w:rsidP="00FF2327">
            <w:pPr>
              <w:pStyle w:val="TableBodyText"/>
              <w:rPr>
                <w:rStyle w:val="Bold"/>
              </w:rPr>
            </w:pPr>
            <w:r w:rsidRPr="002A3ED8">
              <w:rPr>
                <w:rStyle w:val="Bold"/>
              </w:rPr>
              <w:t>At 30 June 2021</w:t>
            </w:r>
          </w:p>
        </w:tc>
        <w:tc>
          <w:tcPr>
            <w:tcW w:w="584" w:type="pct"/>
          </w:tcPr>
          <w:p w14:paraId="5D7F689E" w14:textId="5A93CB85" w:rsidR="0016030F" w:rsidRPr="002A3ED8" w:rsidRDefault="0016030F" w:rsidP="00FF2327">
            <w:pPr>
              <w:pStyle w:val="TableBodyText"/>
              <w:jc w:val="right"/>
              <w:rPr>
                <w:rStyle w:val="Bold"/>
              </w:rPr>
            </w:pPr>
            <w:r w:rsidRPr="002A3ED8">
              <w:rPr>
                <w:rStyle w:val="Bold"/>
              </w:rPr>
              <w:t>2,060,347</w:t>
            </w:r>
          </w:p>
        </w:tc>
        <w:tc>
          <w:tcPr>
            <w:tcW w:w="680" w:type="pct"/>
          </w:tcPr>
          <w:p w14:paraId="7BDD4CD6" w14:textId="1AD91DBB" w:rsidR="0016030F" w:rsidRPr="002A3ED8" w:rsidRDefault="0016030F" w:rsidP="00FF2327">
            <w:pPr>
              <w:pStyle w:val="TableBodyText"/>
              <w:jc w:val="right"/>
              <w:rPr>
                <w:rStyle w:val="Bold"/>
              </w:rPr>
            </w:pPr>
            <w:r w:rsidRPr="002A3ED8">
              <w:rPr>
                <w:rStyle w:val="Bold"/>
              </w:rPr>
              <w:t>34,585</w:t>
            </w:r>
          </w:p>
        </w:tc>
        <w:tc>
          <w:tcPr>
            <w:tcW w:w="487" w:type="pct"/>
          </w:tcPr>
          <w:p w14:paraId="73D9ACF8" w14:textId="5D3915C0" w:rsidR="0016030F" w:rsidRPr="002A3ED8" w:rsidRDefault="0016030F" w:rsidP="00FF2327">
            <w:pPr>
              <w:pStyle w:val="TableBodyText"/>
              <w:jc w:val="right"/>
              <w:rPr>
                <w:rStyle w:val="Bold"/>
              </w:rPr>
            </w:pPr>
            <w:r w:rsidRPr="002A3ED8">
              <w:rPr>
                <w:rStyle w:val="Bold"/>
              </w:rPr>
              <w:t>982</w:t>
            </w:r>
          </w:p>
        </w:tc>
        <w:tc>
          <w:tcPr>
            <w:tcW w:w="495" w:type="pct"/>
          </w:tcPr>
          <w:p w14:paraId="00CD906C" w14:textId="1A79263B" w:rsidR="0016030F" w:rsidRPr="002A3ED8" w:rsidRDefault="0016030F" w:rsidP="00FF2327">
            <w:pPr>
              <w:pStyle w:val="TableBodyText"/>
              <w:jc w:val="right"/>
              <w:rPr>
                <w:rStyle w:val="Bold"/>
              </w:rPr>
            </w:pPr>
            <w:r w:rsidRPr="002A3ED8">
              <w:rPr>
                <w:rStyle w:val="Bold"/>
              </w:rPr>
              <w:t>15,668</w:t>
            </w:r>
          </w:p>
        </w:tc>
        <w:tc>
          <w:tcPr>
            <w:tcW w:w="514" w:type="pct"/>
          </w:tcPr>
          <w:p w14:paraId="692A291E" w14:textId="799E7B31" w:rsidR="0016030F" w:rsidRPr="002A3ED8" w:rsidRDefault="0016030F" w:rsidP="00FF2327">
            <w:pPr>
              <w:pStyle w:val="TableBodyText"/>
              <w:jc w:val="right"/>
              <w:rPr>
                <w:rStyle w:val="Bold"/>
              </w:rPr>
            </w:pPr>
            <w:r w:rsidRPr="002A3ED8">
              <w:rPr>
                <w:rStyle w:val="Bold"/>
              </w:rPr>
              <w:t>14,510</w:t>
            </w:r>
          </w:p>
        </w:tc>
        <w:tc>
          <w:tcPr>
            <w:tcW w:w="471" w:type="pct"/>
          </w:tcPr>
          <w:p w14:paraId="11785259" w14:textId="5C572A40" w:rsidR="0016030F" w:rsidRPr="002A3ED8" w:rsidRDefault="0016030F" w:rsidP="00FF2327">
            <w:pPr>
              <w:pStyle w:val="TableBodyText"/>
              <w:jc w:val="right"/>
              <w:rPr>
                <w:rStyle w:val="Bold"/>
              </w:rPr>
            </w:pPr>
            <w:r w:rsidRPr="002A3ED8">
              <w:rPr>
                <w:rStyle w:val="Bold"/>
              </w:rPr>
              <w:t>8,942,489</w:t>
            </w:r>
          </w:p>
        </w:tc>
        <w:tc>
          <w:tcPr>
            <w:tcW w:w="504" w:type="pct"/>
          </w:tcPr>
          <w:p w14:paraId="4FFBD53B" w14:textId="43489ACD" w:rsidR="0016030F" w:rsidRPr="002A3ED8" w:rsidRDefault="0016030F" w:rsidP="00FF2327">
            <w:pPr>
              <w:pStyle w:val="TableBodyText"/>
              <w:jc w:val="right"/>
              <w:rPr>
                <w:rStyle w:val="Bold"/>
              </w:rPr>
            </w:pPr>
            <w:r w:rsidRPr="002A3ED8">
              <w:rPr>
                <w:rStyle w:val="Bold"/>
              </w:rPr>
              <w:t>4,040,370</w:t>
            </w:r>
          </w:p>
        </w:tc>
      </w:tr>
    </w:tbl>
    <w:p w14:paraId="06EB7803" w14:textId="77777777" w:rsidR="00773840" w:rsidRDefault="00773840" w:rsidP="00773840"/>
    <w:p w14:paraId="02F105BC" w14:textId="7375BD48" w:rsidR="00773840" w:rsidRDefault="00773840" w:rsidP="00773840">
      <w:pPr>
        <w:sectPr w:rsidR="00773840" w:rsidSect="00CF70F9">
          <w:endnotePr>
            <w:numFmt w:val="decimal"/>
          </w:endnotePr>
          <w:pgSz w:w="16840" w:h="11900" w:orient="landscape"/>
          <w:pgMar w:top="1134" w:right="851" w:bottom="1134" w:left="1418" w:header="709" w:footer="709" w:gutter="0"/>
          <w:cols w:space="289"/>
          <w:docGrid w:linePitch="360"/>
        </w:sectPr>
      </w:pPr>
    </w:p>
    <w:p w14:paraId="42708208" w14:textId="0FB337B2" w:rsidR="00773840" w:rsidRDefault="00773840" w:rsidP="00773840">
      <w:pPr>
        <w:pStyle w:val="Heading4"/>
      </w:pPr>
      <w:bookmarkStart w:id="1021" w:name="Note413"/>
      <w:bookmarkStart w:id="1022" w:name="_Ref89807098"/>
      <w:r>
        <w:lastRenderedPageBreak/>
        <w:t>4.1.3</w:t>
      </w:r>
      <w:bookmarkEnd w:id="1021"/>
      <w:r>
        <w:t xml:space="preserve"> Depreciation, amortisation and impairment</w:t>
      </w:r>
      <w:bookmarkEnd w:id="1022"/>
    </w:p>
    <w:tbl>
      <w:tblPr>
        <w:tblStyle w:val="Style1"/>
        <w:tblW w:w="5000" w:type="pct"/>
        <w:tblLook w:val="04A0" w:firstRow="1" w:lastRow="0" w:firstColumn="1" w:lastColumn="0" w:noHBand="0" w:noVBand="1"/>
      </w:tblPr>
      <w:tblGrid>
        <w:gridCol w:w="5014"/>
        <w:gridCol w:w="1539"/>
        <w:gridCol w:w="1539"/>
        <w:gridCol w:w="1539"/>
      </w:tblGrid>
      <w:tr w:rsidR="00773840" w:rsidRPr="008B2B6E" w14:paraId="5B5934E0"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3" w:type="pct"/>
            <w:tcBorders>
              <w:top w:val="single" w:sz="4" w:space="0" w:color="auto"/>
            </w:tcBorders>
            <w:vAlign w:val="bottom"/>
          </w:tcPr>
          <w:p w14:paraId="3C47EB79" w14:textId="77777777" w:rsidR="00773840" w:rsidRPr="008B2B6E" w:rsidRDefault="00773840" w:rsidP="008B2B6E">
            <w:bookmarkStart w:id="1023" w:name="ColumnTitle_71"/>
            <w:r w:rsidRPr="008B2B6E">
              <w:t>Item</w:t>
            </w:r>
          </w:p>
        </w:tc>
        <w:tc>
          <w:tcPr>
            <w:tcW w:w="799" w:type="pct"/>
            <w:tcBorders>
              <w:top w:val="single" w:sz="4" w:space="0" w:color="auto"/>
            </w:tcBorders>
            <w:vAlign w:val="bottom"/>
          </w:tcPr>
          <w:p w14:paraId="34684138" w14:textId="6E545A88" w:rsidR="00773840" w:rsidRPr="008B2B6E" w:rsidRDefault="00773840" w:rsidP="008B2B6E">
            <w:pPr>
              <w:cnfStyle w:val="100000000000" w:firstRow="1" w:lastRow="0" w:firstColumn="0" w:lastColumn="0" w:oddVBand="0" w:evenVBand="0" w:oddHBand="0" w:evenHBand="0" w:firstRowFirstColumn="0" w:firstRowLastColumn="0" w:lastRowFirstColumn="0" w:lastRowLastColumn="0"/>
            </w:pPr>
            <w:r w:rsidRPr="008B2B6E">
              <w:t>Notes</w:t>
            </w:r>
          </w:p>
        </w:tc>
        <w:tc>
          <w:tcPr>
            <w:tcW w:w="799" w:type="pct"/>
            <w:tcBorders>
              <w:top w:val="single" w:sz="4" w:space="0" w:color="auto"/>
            </w:tcBorders>
            <w:vAlign w:val="bottom"/>
          </w:tcPr>
          <w:p w14:paraId="4C753940" w14:textId="4219071A" w:rsidR="00773840" w:rsidRPr="008B2B6E" w:rsidRDefault="00773840" w:rsidP="008B2B6E">
            <w:pPr>
              <w:cnfStyle w:val="100000000000" w:firstRow="1" w:lastRow="0" w:firstColumn="0" w:lastColumn="0" w:oddVBand="0" w:evenVBand="0" w:oddHBand="0" w:evenHBand="0" w:firstRowFirstColumn="0" w:firstRowLastColumn="0" w:lastRowFirstColumn="0" w:lastRowLastColumn="0"/>
            </w:pPr>
            <w:r w:rsidRPr="008B2B6E">
              <w:t>2021</w:t>
            </w:r>
          </w:p>
          <w:p w14:paraId="3329072F" w14:textId="70CDFB3F" w:rsidR="00773840" w:rsidRPr="008B2B6E" w:rsidRDefault="00773840" w:rsidP="008B2B6E">
            <w:pPr>
              <w:cnfStyle w:val="100000000000" w:firstRow="1" w:lastRow="0" w:firstColumn="0" w:lastColumn="0" w:oddVBand="0" w:evenVBand="0" w:oddHBand="0" w:evenHBand="0" w:firstRowFirstColumn="0" w:firstRowLastColumn="0" w:lastRowFirstColumn="0" w:lastRowLastColumn="0"/>
            </w:pPr>
            <w:r w:rsidRPr="008B2B6E">
              <w:t>($ thousands)</w:t>
            </w:r>
          </w:p>
        </w:tc>
        <w:tc>
          <w:tcPr>
            <w:tcW w:w="799" w:type="pct"/>
            <w:tcBorders>
              <w:top w:val="single" w:sz="4" w:space="0" w:color="auto"/>
            </w:tcBorders>
            <w:vAlign w:val="bottom"/>
          </w:tcPr>
          <w:p w14:paraId="2EFFD389" w14:textId="77777777" w:rsidR="00773840" w:rsidRPr="008B2B6E" w:rsidRDefault="00773840" w:rsidP="008B2B6E">
            <w:pPr>
              <w:cnfStyle w:val="100000000000" w:firstRow="1" w:lastRow="0" w:firstColumn="0" w:lastColumn="0" w:oddVBand="0" w:evenVBand="0" w:oddHBand="0" w:evenHBand="0" w:firstRowFirstColumn="0" w:firstRowLastColumn="0" w:lastRowFirstColumn="0" w:lastRowLastColumn="0"/>
            </w:pPr>
            <w:r w:rsidRPr="008B2B6E">
              <w:t>2020</w:t>
            </w:r>
          </w:p>
          <w:p w14:paraId="08EB1B49" w14:textId="1C8BAE09" w:rsidR="00773840" w:rsidRPr="008B2B6E" w:rsidRDefault="00773840" w:rsidP="008B2B6E">
            <w:pPr>
              <w:cnfStyle w:val="100000000000" w:firstRow="1" w:lastRow="0" w:firstColumn="0" w:lastColumn="0" w:oddVBand="0" w:evenVBand="0" w:oddHBand="0" w:evenHBand="0" w:firstRowFirstColumn="0" w:firstRowLastColumn="0" w:lastRowFirstColumn="0" w:lastRowLastColumn="0"/>
            </w:pPr>
            <w:r w:rsidRPr="008B2B6E">
              <w:t>($ thousands)</w:t>
            </w:r>
          </w:p>
        </w:tc>
      </w:tr>
      <w:bookmarkEnd w:id="1023"/>
      <w:tr w:rsidR="00773840" w:rsidRPr="0076797F" w14:paraId="67E9C5C8"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084E5D01" w14:textId="013094B2" w:rsidR="00773840" w:rsidRPr="00773840" w:rsidRDefault="00773840" w:rsidP="008B2B6E">
            <w:pPr>
              <w:pStyle w:val="TableBodyText"/>
              <w:rPr>
                <w:rStyle w:val="Bold"/>
              </w:rPr>
            </w:pPr>
            <w:r w:rsidRPr="00773840">
              <w:rPr>
                <w:rStyle w:val="Bold"/>
              </w:rPr>
              <w:t>Depreciation</w:t>
            </w:r>
          </w:p>
        </w:tc>
        <w:tc>
          <w:tcPr>
            <w:tcW w:w="799" w:type="pct"/>
            <w:vAlign w:val="top"/>
          </w:tcPr>
          <w:p w14:paraId="4152AADB" w14:textId="5210608D"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99" w:type="pct"/>
            <w:vAlign w:val="top"/>
          </w:tcPr>
          <w:p w14:paraId="1B7175F1" w14:textId="77777777"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99" w:type="pct"/>
            <w:vAlign w:val="top"/>
          </w:tcPr>
          <w:p w14:paraId="6AC664FB" w14:textId="39C46295"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r>
      <w:tr w:rsidR="00773840" w:rsidRPr="0076797F" w14:paraId="564FFDB4"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0E5570E9" w14:textId="600D36E0" w:rsidR="00773840" w:rsidRPr="0076797F" w:rsidRDefault="00773840" w:rsidP="008B2B6E">
            <w:pPr>
              <w:pStyle w:val="TableBodyText"/>
            </w:pPr>
            <w:r>
              <w:t>Buildings</w:t>
            </w:r>
          </w:p>
        </w:tc>
        <w:tc>
          <w:tcPr>
            <w:tcW w:w="799" w:type="pct"/>
            <w:vAlign w:val="top"/>
          </w:tcPr>
          <w:p w14:paraId="7ED959A8" w14:textId="1C06C1A5" w:rsidR="00773840" w:rsidRPr="0076797F" w:rsidRDefault="00345013" w:rsidP="008B2B6E">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Note411 \h </w:instrText>
            </w:r>
            <w:r>
              <w:fldChar w:fldCharType="separate"/>
            </w:r>
            <w:r w:rsidR="00472151">
              <w:t xml:space="preserve">4.1.1 </w:t>
            </w:r>
            <w:r>
              <w:fldChar w:fldCharType="end"/>
            </w:r>
          </w:p>
        </w:tc>
        <w:tc>
          <w:tcPr>
            <w:tcW w:w="799" w:type="pct"/>
            <w:vAlign w:val="top"/>
          </w:tcPr>
          <w:p w14:paraId="73517904" w14:textId="2C08ACDC"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1,086</w:t>
            </w:r>
          </w:p>
        </w:tc>
        <w:tc>
          <w:tcPr>
            <w:tcW w:w="799" w:type="pct"/>
            <w:vAlign w:val="top"/>
          </w:tcPr>
          <w:p w14:paraId="179C7961" w14:textId="01D19E1C"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1,011</w:t>
            </w:r>
          </w:p>
        </w:tc>
      </w:tr>
      <w:tr w:rsidR="00345013" w:rsidRPr="0076797F" w14:paraId="028D6451"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55C4B52F" w14:textId="5C841D50" w:rsidR="00345013" w:rsidRPr="0076797F" w:rsidRDefault="00345013" w:rsidP="00345013">
            <w:pPr>
              <w:pStyle w:val="TableBodyText"/>
            </w:pPr>
            <w:r>
              <w:t>Leasehold improvements</w:t>
            </w:r>
          </w:p>
        </w:tc>
        <w:tc>
          <w:tcPr>
            <w:tcW w:w="799" w:type="pct"/>
            <w:vAlign w:val="top"/>
          </w:tcPr>
          <w:p w14:paraId="7667C142" w14:textId="0A32A892"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Note411 \h </w:instrText>
            </w:r>
            <w:r>
              <w:fldChar w:fldCharType="separate"/>
            </w:r>
            <w:r w:rsidR="00472151">
              <w:t xml:space="preserve">4.1.1 </w:t>
            </w:r>
            <w:r>
              <w:fldChar w:fldCharType="end"/>
            </w:r>
          </w:p>
        </w:tc>
        <w:tc>
          <w:tcPr>
            <w:tcW w:w="799" w:type="pct"/>
            <w:vAlign w:val="top"/>
          </w:tcPr>
          <w:p w14:paraId="056E047B" w14:textId="1766BDAD"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164</w:t>
            </w:r>
          </w:p>
        </w:tc>
        <w:tc>
          <w:tcPr>
            <w:tcW w:w="799" w:type="pct"/>
            <w:vAlign w:val="top"/>
          </w:tcPr>
          <w:p w14:paraId="68AE8DC4" w14:textId="3576128E"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416</w:t>
            </w:r>
          </w:p>
        </w:tc>
      </w:tr>
      <w:tr w:rsidR="00345013" w:rsidRPr="00E0205B" w14:paraId="470B2440"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054E1BB2" w14:textId="281A7BB6" w:rsidR="00345013" w:rsidRPr="00E0205B" w:rsidRDefault="00345013" w:rsidP="00345013">
            <w:pPr>
              <w:pStyle w:val="TableBodyText"/>
            </w:pPr>
            <w:r>
              <w:t>Plant and equipment</w:t>
            </w:r>
          </w:p>
        </w:tc>
        <w:tc>
          <w:tcPr>
            <w:tcW w:w="799" w:type="pct"/>
            <w:vAlign w:val="top"/>
          </w:tcPr>
          <w:p w14:paraId="20892BD9" w14:textId="3D46AA3C" w:rsidR="00345013" w:rsidRPr="00E0205B"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Note411 \h </w:instrText>
            </w:r>
            <w:r>
              <w:fldChar w:fldCharType="separate"/>
            </w:r>
            <w:r w:rsidR="00472151">
              <w:t xml:space="preserve">4.1.1 </w:t>
            </w:r>
            <w:r>
              <w:fldChar w:fldCharType="end"/>
            </w:r>
          </w:p>
        </w:tc>
        <w:tc>
          <w:tcPr>
            <w:tcW w:w="799" w:type="pct"/>
            <w:vAlign w:val="top"/>
          </w:tcPr>
          <w:p w14:paraId="4963E66F" w14:textId="47D11CD9" w:rsidR="00345013" w:rsidRPr="00E0205B"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5,035</w:t>
            </w:r>
          </w:p>
        </w:tc>
        <w:tc>
          <w:tcPr>
            <w:tcW w:w="799" w:type="pct"/>
            <w:vAlign w:val="top"/>
          </w:tcPr>
          <w:p w14:paraId="188C0D47" w14:textId="15407CF8" w:rsidR="00345013" w:rsidRPr="00E0205B"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6,423</w:t>
            </w:r>
          </w:p>
        </w:tc>
      </w:tr>
      <w:tr w:rsidR="00345013" w:rsidRPr="0076797F" w14:paraId="7DE1AFE8"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117A73C9" w14:textId="5E775CFA" w:rsidR="00345013" w:rsidRPr="0076797F" w:rsidRDefault="00345013" w:rsidP="00345013">
            <w:pPr>
              <w:pStyle w:val="TableBodyText"/>
            </w:pPr>
            <w:r>
              <w:t>Fleet vehicles</w:t>
            </w:r>
          </w:p>
        </w:tc>
        <w:tc>
          <w:tcPr>
            <w:tcW w:w="799" w:type="pct"/>
            <w:vAlign w:val="top"/>
          </w:tcPr>
          <w:p w14:paraId="21B892E7" w14:textId="32B9D703"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Note411 \h </w:instrText>
            </w:r>
            <w:r>
              <w:fldChar w:fldCharType="separate"/>
            </w:r>
            <w:r w:rsidR="00472151">
              <w:t xml:space="preserve">4.1.1 </w:t>
            </w:r>
            <w:r>
              <w:fldChar w:fldCharType="end"/>
            </w:r>
          </w:p>
        </w:tc>
        <w:tc>
          <w:tcPr>
            <w:tcW w:w="799" w:type="pct"/>
            <w:vAlign w:val="top"/>
          </w:tcPr>
          <w:p w14:paraId="40E87A31" w14:textId="70E95A22"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2,346</w:t>
            </w:r>
          </w:p>
        </w:tc>
        <w:tc>
          <w:tcPr>
            <w:tcW w:w="799" w:type="pct"/>
            <w:vAlign w:val="top"/>
          </w:tcPr>
          <w:p w14:paraId="31A46E36" w14:textId="17DA80D9"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2,001</w:t>
            </w:r>
          </w:p>
        </w:tc>
      </w:tr>
      <w:tr w:rsidR="00345013" w:rsidRPr="0076797F" w14:paraId="6B10E31F"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562653D0" w14:textId="23C8E000" w:rsidR="00345013" w:rsidRPr="0076797F" w:rsidRDefault="00345013" w:rsidP="00345013">
            <w:pPr>
              <w:pStyle w:val="TableBodyText"/>
            </w:pPr>
            <w:r>
              <w:t>Infrastructure assets</w:t>
            </w:r>
          </w:p>
        </w:tc>
        <w:tc>
          <w:tcPr>
            <w:tcW w:w="799" w:type="pct"/>
            <w:vAlign w:val="top"/>
          </w:tcPr>
          <w:p w14:paraId="176A2835" w14:textId="06CB86A0"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Note411 \h </w:instrText>
            </w:r>
            <w:r>
              <w:fldChar w:fldCharType="separate"/>
            </w:r>
            <w:r w:rsidR="00472151">
              <w:t xml:space="preserve">4.1.1 </w:t>
            </w:r>
            <w:r>
              <w:fldChar w:fldCharType="end"/>
            </w:r>
          </w:p>
        </w:tc>
        <w:tc>
          <w:tcPr>
            <w:tcW w:w="799" w:type="pct"/>
            <w:vAlign w:val="top"/>
          </w:tcPr>
          <w:p w14:paraId="5E954455" w14:textId="45B0D74F"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331,359</w:t>
            </w:r>
          </w:p>
        </w:tc>
        <w:tc>
          <w:tcPr>
            <w:tcW w:w="799" w:type="pct"/>
            <w:vAlign w:val="top"/>
          </w:tcPr>
          <w:p w14:paraId="1F6B4ADF" w14:textId="4169AE15"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317,909</w:t>
            </w:r>
          </w:p>
        </w:tc>
      </w:tr>
      <w:tr w:rsidR="00345013" w:rsidRPr="0076797F" w14:paraId="26004E57"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01E611AE" w14:textId="13B550B3" w:rsidR="00345013" w:rsidRPr="0076797F" w:rsidRDefault="00DC0A06" w:rsidP="00345013">
            <w:pPr>
              <w:pStyle w:val="TableBodyText"/>
            </w:pPr>
            <w:r>
              <w:t>Victorian Desalination Plant</w:t>
            </w:r>
            <w:r w:rsidR="00345013">
              <w:t xml:space="preserve"> service concession asset</w:t>
            </w:r>
          </w:p>
        </w:tc>
        <w:tc>
          <w:tcPr>
            <w:tcW w:w="799" w:type="pct"/>
            <w:vAlign w:val="top"/>
          </w:tcPr>
          <w:p w14:paraId="7240E599" w14:textId="09BE2E13"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Note411 \h </w:instrText>
            </w:r>
            <w:r>
              <w:fldChar w:fldCharType="separate"/>
            </w:r>
            <w:r w:rsidR="00472151">
              <w:t xml:space="preserve">4.1.1 </w:t>
            </w:r>
            <w:r>
              <w:fldChar w:fldCharType="end"/>
            </w:r>
          </w:p>
        </w:tc>
        <w:tc>
          <w:tcPr>
            <w:tcW w:w="799" w:type="pct"/>
            <w:vAlign w:val="top"/>
          </w:tcPr>
          <w:p w14:paraId="3EB510ED" w14:textId="539C86F3"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77,554</w:t>
            </w:r>
          </w:p>
        </w:tc>
        <w:tc>
          <w:tcPr>
            <w:tcW w:w="799" w:type="pct"/>
            <w:vAlign w:val="top"/>
          </w:tcPr>
          <w:p w14:paraId="435725B2" w14:textId="0F7B0FBC" w:rsidR="00345013" w:rsidRPr="0076797F" w:rsidRDefault="00345013" w:rsidP="00345013">
            <w:pPr>
              <w:pStyle w:val="TableBodyText"/>
              <w:cnfStyle w:val="000000000000" w:firstRow="0" w:lastRow="0" w:firstColumn="0" w:lastColumn="0" w:oddVBand="0" w:evenVBand="0" w:oddHBand="0" w:evenHBand="0" w:firstRowFirstColumn="0" w:firstRowLastColumn="0" w:lastRowFirstColumn="0" w:lastRowLastColumn="0"/>
            </w:pPr>
            <w:r>
              <w:t>77,553</w:t>
            </w:r>
          </w:p>
        </w:tc>
      </w:tr>
      <w:tr w:rsidR="00773840" w:rsidRPr="00E0205B" w14:paraId="258A061F" w14:textId="77777777" w:rsidTr="00773840">
        <w:tc>
          <w:tcPr>
            <w:cnfStyle w:val="001000000000" w:firstRow="0" w:lastRow="0" w:firstColumn="1" w:lastColumn="0" w:oddVBand="0" w:evenVBand="0" w:oddHBand="0" w:evenHBand="0" w:firstRowFirstColumn="0" w:firstRowLastColumn="0" w:lastRowFirstColumn="0" w:lastRowLastColumn="0"/>
            <w:tcW w:w="2603" w:type="pct"/>
            <w:tcBorders>
              <w:bottom w:val="single" w:sz="4" w:space="0" w:color="auto"/>
            </w:tcBorders>
            <w:vAlign w:val="top"/>
          </w:tcPr>
          <w:p w14:paraId="74CA2AFB" w14:textId="5C93E70C" w:rsidR="00773840" w:rsidRPr="00E0205B" w:rsidRDefault="00773840" w:rsidP="008B2B6E">
            <w:pPr>
              <w:pStyle w:val="TableBodyText"/>
            </w:pPr>
            <w:r>
              <w:t>Right of use assets</w:t>
            </w:r>
          </w:p>
        </w:tc>
        <w:tc>
          <w:tcPr>
            <w:tcW w:w="799" w:type="pct"/>
            <w:tcBorders>
              <w:bottom w:val="single" w:sz="4" w:space="0" w:color="auto"/>
            </w:tcBorders>
            <w:vAlign w:val="top"/>
          </w:tcPr>
          <w:p w14:paraId="0ADFE08D" w14:textId="07A4E7D5" w:rsidR="00773840" w:rsidRPr="00E0205B" w:rsidRDefault="002B0B65" w:rsidP="008B2B6E">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Note44 \h </w:instrText>
            </w:r>
            <w:r>
              <w:fldChar w:fldCharType="separate"/>
            </w:r>
            <w:r w:rsidR="00472151">
              <w:t xml:space="preserve">4.4 </w:t>
            </w:r>
            <w:r>
              <w:fldChar w:fldCharType="end"/>
            </w:r>
          </w:p>
        </w:tc>
        <w:tc>
          <w:tcPr>
            <w:tcW w:w="799" w:type="pct"/>
            <w:tcBorders>
              <w:bottom w:val="single" w:sz="4" w:space="0" w:color="auto"/>
            </w:tcBorders>
            <w:vAlign w:val="top"/>
          </w:tcPr>
          <w:p w14:paraId="49B638BF" w14:textId="3D6288F8" w:rsidR="00773840" w:rsidRPr="00E0205B"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8,272</w:t>
            </w:r>
          </w:p>
        </w:tc>
        <w:tc>
          <w:tcPr>
            <w:tcW w:w="799" w:type="pct"/>
            <w:tcBorders>
              <w:bottom w:val="single" w:sz="4" w:space="0" w:color="auto"/>
            </w:tcBorders>
            <w:vAlign w:val="top"/>
          </w:tcPr>
          <w:p w14:paraId="6EABC1B7" w14:textId="5F56B9BA" w:rsidR="00773840" w:rsidRPr="00E0205B"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7,915</w:t>
            </w:r>
          </w:p>
        </w:tc>
      </w:tr>
      <w:tr w:rsidR="00773840" w:rsidRPr="0076797F" w14:paraId="0BC339E9" w14:textId="77777777" w:rsidTr="00773840">
        <w:tc>
          <w:tcPr>
            <w:cnfStyle w:val="001000000000" w:firstRow="0" w:lastRow="0" w:firstColumn="1" w:lastColumn="0" w:oddVBand="0" w:evenVBand="0" w:oddHBand="0" w:evenHBand="0" w:firstRowFirstColumn="0" w:firstRowLastColumn="0" w:lastRowFirstColumn="0" w:lastRowLastColumn="0"/>
            <w:tcW w:w="2603" w:type="pct"/>
            <w:tcBorders>
              <w:top w:val="single" w:sz="4" w:space="0" w:color="auto"/>
            </w:tcBorders>
            <w:vAlign w:val="top"/>
          </w:tcPr>
          <w:p w14:paraId="3B19A7A2" w14:textId="15D885F4" w:rsidR="00773840" w:rsidRPr="00773840" w:rsidRDefault="00773840" w:rsidP="008B2B6E">
            <w:pPr>
              <w:pStyle w:val="TableBodyText"/>
              <w:rPr>
                <w:rStyle w:val="Bold"/>
              </w:rPr>
            </w:pPr>
            <w:r w:rsidRPr="00773840">
              <w:rPr>
                <w:rStyle w:val="Bold"/>
              </w:rPr>
              <w:t>Total depreciation</w:t>
            </w:r>
          </w:p>
        </w:tc>
        <w:tc>
          <w:tcPr>
            <w:tcW w:w="799" w:type="pct"/>
            <w:tcBorders>
              <w:top w:val="single" w:sz="4" w:space="0" w:color="auto"/>
            </w:tcBorders>
            <w:vAlign w:val="top"/>
          </w:tcPr>
          <w:p w14:paraId="6240B98E" w14:textId="2EB5EFF4"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99" w:type="pct"/>
            <w:tcBorders>
              <w:top w:val="single" w:sz="4" w:space="0" w:color="auto"/>
            </w:tcBorders>
            <w:vAlign w:val="top"/>
          </w:tcPr>
          <w:p w14:paraId="681B7644" w14:textId="073DA892" w:rsidR="00773840" w:rsidRPr="00773840" w:rsidRDefault="00773840"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73840">
              <w:rPr>
                <w:rStyle w:val="Bold"/>
              </w:rPr>
              <w:t>425,816</w:t>
            </w:r>
          </w:p>
        </w:tc>
        <w:tc>
          <w:tcPr>
            <w:tcW w:w="799" w:type="pct"/>
            <w:tcBorders>
              <w:top w:val="single" w:sz="4" w:space="0" w:color="auto"/>
            </w:tcBorders>
            <w:vAlign w:val="top"/>
          </w:tcPr>
          <w:p w14:paraId="00950E4F" w14:textId="0E3153EE" w:rsidR="00773840" w:rsidRPr="00773840" w:rsidRDefault="00773840"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73840">
              <w:rPr>
                <w:rStyle w:val="Bold"/>
              </w:rPr>
              <w:t>413,228</w:t>
            </w:r>
          </w:p>
        </w:tc>
      </w:tr>
      <w:tr w:rsidR="00773840" w:rsidRPr="0076797F" w14:paraId="584EA256" w14:textId="77777777" w:rsidTr="00773840">
        <w:tc>
          <w:tcPr>
            <w:cnfStyle w:val="001000000000" w:firstRow="0" w:lastRow="0" w:firstColumn="1" w:lastColumn="0" w:oddVBand="0" w:evenVBand="0" w:oddHBand="0" w:evenHBand="0" w:firstRowFirstColumn="0" w:firstRowLastColumn="0" w:lastRowFirstColumn="0" w:lastRowLastColumn="0"/>
            <w:tcW w:w="2603" w:type="pct"/>
            <w:vAlign w:val="top"/>
          </w:tcPr>
          <w:p w14:paraId="5B91501F" w14:textId="4DD4AC4C" w:rsidR="00773840" w:rsidRPr="00773840" w:rsidRDefault="00773840" w:rsidP="008B2B6E">
            <w:pPr>
              <w:pStyle w:val="TableBodyText"/>
              <w:rPr>
                <w:rStyle w:val="Bold"/>
              </w:rPr>
            </w:pPr>
            <w:r w:rsidRPr="00773840">
              <w:rPr>
                <w:rStyle w:val="Bold"/>
              </w:rPr>
              <w:t>Amortisation</w:t>
            </w:r>
          </w:p>
        </w:tc>
        <w:tc>
          <w:tcPr>
            <w:tcW w:w="799" w:type="pct"/>
            <w:vAlign w:val="top"/>
          </w:tcPr>
          <w:p w14:paraId="70BBA31B" w14:textId="5C0728A2"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99" w:type="pct"/>
            <w:vAlign w:val="top"/>
          </w:tcPr>
          <w:p w14:paraId="696D2796" w14:textId="77777777"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99" w:type="pct"/>
            <w:vAlign w:val="top"/>
          </w:tcPr>
          <w:p w14:paraId="1B948B2C" w14:textId="77777777"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r>
      <w:tr w:rsidR="00773840" w:rsidRPr="0076797F" w14:paraId="2AC164F1" w14:textId="77777777" w:rsidTr="00773840">
        <w:tc>
          <w:tcPr>
            <w:cnfStyle w:val="001000000000" w:firstRow="0" w:lastRow="0" w:firstColumn="1" w:lastColumn="0" w:oddVBand="0" w:evenVBand="0" w:oddHBand="0" w:evenHBand="0" w:firstRowFirstColumn="0" w:firstRowLastColumn="0" w:lastRowFirstColumn="0" w:lastRowLastColumn="0"/>
            <w:tcW w:w="2603" w:type="pct"/>
            <w:tcBorders>
              <w:bottom w:val="single" w:sz="4" w:space="0" w:color="auto"/>
            </w:tcBorders>
            <w:vAlign w:val="top"/>
          </w:tcPr>
          <w:p w14:paraId="5BB6A04C" w14:textId="4B7AFA6C" w:rsidR="00773840" w:rsidRPr="0076797F" w:rsidRDefault="00773840" w:rsidP="008B2B6E">
            <w:pPr>
              <w:pStyle w:val="TableBodyText"/>
            </w:pPr>
            <w:r>
              <w:t>Intangible assets</w:t>
            </w:r>
          </w:p>
        </w:tc>
        <w:tc>
          <w:tcPr>
            <w:tcW w:w="799" w:type="pct"/>
            <w:tcBorders>
              <w:bottom w:val="single" w:sz="4" w:space="0" w:color="auto"/>
            </w:tcBorders>
            <w:vAlign w:val="top"/>
          </w:tcPr>
          <w:p w14:paraId="08306266" w14:textId="5CCC9D22" w:rsidR="00773840" w:rsidRPr="0076797F" w:rsidRDefault="002B0B65" w:rsidP="008B2B6E">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Note42 \h </w:instrText>
            </w:r>
            <w:r>
              <w:fldChar w:fldCharType="separate"/>
            </w:r>
            <w:r w:rsidR="00472151">
              <w:t xml:space="preserve">4.2 </w:t>
            </w:r>
            <w:r>
              <w:fldChar w:fldCharType="end"/>
            </w:r>
          </w:p>
        </w:tc>
        <w:tc>
          <w:tcPr>
            <w:tcW w:w="799" w:type="pct"/>
            <w:tcBorders>
              <w:bottom w:val="single" w:sz="4" w:space="0" w:color="auto"/>
            </w:tcBorders>
            <w:vAlign w:val="top"/>
          </w:tcPr>
          <w:p w14:paraId="433B8DEA" w14:textId="62E9E994"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24,330</w:t>
            </w:r>
          </w:p>
        </w:tc>
        <w:tc>
          <w:tcPr>
            <w:tcW w:w="799" w:type="pct"/>
            <w:tcBorders>
              <w:bottom w:val="single" w:sz="4" w:space="0" w:color="auto"/>
            </w:tcBorders>
            <w:vAlign w:val="top"/>
          </w:tcPr>
          <w:p w14:paraId="5EC01FF3" w14:textId="705B18BA"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21,459</w:t>
            </w:r>
          </w:p>
        </w:tc>
      </w:tr>
      <w:tr w:rsidR="00773840" w:rsidRPr="0076797F" w14:paraId="6DB59A47" w14:textId="77777777" w:rsidTr="00773840">
        <w:tc>
          <w:tcPr>
            <w:cnfStyle w:val="001000000000" w:firstRow="0" w:lastRow="0" w:firstColumn="1" w:lastColumn="0" w:oddVBand="0" w:evenVBand="0" w:oddHBand="0" w:evenHBand="0" w:firstRowFirstColumn="0" w:firstRowLastColumn="0" w:lastRowFirstColumn="0" w:lastRowLastColumn="0"/>
            <w:tcW w:w="2603" w:type="pct"/>
            <w:tcBorders>
              <w:top w:val="single" w:sz="4" w:space="0" w:color="auto"/>
              <w:bottom w:val="single" w:sz="4" w:space="0" w:color="auto"/>
            </w:tcBorders>
            <w:vAlign w:val="top"/>
          </w:tcPr>
          <w:p w14:paraId="584A2C4B" w14:textId="7116EA82" w:rsidR="00773840" w:rsidRPr="00773840" w:rsidRDefault="00773840" w:rsidP="008B2B6E">
            <w:pPr>
              <w:pStyle w:val="TableBodyText"/>
              <w:rPr>
                <w:rStyle w:val="Bold"/>
              </w:rPr>
            </w:pPr>
            <w:r w:rsidRPr="00773840">
              <w:rPr>
                <w:rStyle w:val="Bold"/>
              </w:rPr>
              <w:t>Total amortisation</w:t>
            </w:r>
          </w:p>
        </w:tc>
        <w:tc>
          <w:tcPr>
            <w:tcW w:w="799" w:type="pct"/>
            <w:tcBorders>
              <w:top w:val="single" w:sz="4" w:space="0" w:color="auto"/>
              <w:bottom w:val="single" w:sz="4" w:space="0" w:color="auto"/>
            </w:tcBorders>
            <w:vAlign w:val="top"/>
          </w:tcPr>
          <w:p w14:paraId="309222AC" w14:textId="14BA93FF"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99" w:type="pct"/>
            <w:tcBorders>
              <w:top w:val="single" w:sz="4" w:space="0" w:color="auto"/>
              <w:bottom w:val="single" w:sz="4" w:space="0" w:color="auto"/>
            </w:tcBorders>
            <w:vAlign w:val="top"/>
          </w:tcPr>
          <w:p w14:paraId="7148E9C3" w14:textId="1D35FFB6" w:rsidR="00773840" w:rsidRPr="00773840" w:rsidRDefault="00773840"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73840">
              <w:rPr>
                <w:rStyle w:val="Bold"/>
              </w:rPr>
              <w:t>24,330</w:t>
            </w:r>
          </w:p>
        </w:tc>
        <w:tc>
          <w:tcPr>
            <w:tcW w:w="799" w:type="pct"/>
            <w:tcBorders>
              <w:top w:val="single" w:sz="4" w:space="0" w:color="auto"/>
              <w:bottom w:val="single" w:sz="4" w:space="0" w:color="auto"/>
            </w:tcBorders>
            <w:vAlign w:val="top"/>
          </w:tcPr>
          <w:p w14:paraId="153CD068" w14:textId="217117D8" w:rsidR="00773840" w:rsidRPr="00773840" w:rsidRDefault="00773840"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73840">
              <w:rPr>
                <w:rStyle w:val="Bold"/>
              </w:rPr>
              <w:t>21,459</w:t>
            </w:r>
          </w:p>
        </w:tc>
      </w:tr>
      <w:tr w:rsidR="00773840" w:rsidRPr="0076797F" w14:paraId="2E75E660" w14:textId="77777777" w:rsidTr="00773840">
        <w:tc>
          <w:tcPr>
            <w:cnfStyle w:val="001000000000" w:firstRow="0" w:lastRow="0" w:firstColumn="1" w:lastColumn="0" w:oddVBand="0" w:evenVBand="0" w:oddHBand="0" w:evenHBand="0" w:firstRowFirstColumn="0" w:firstRowLastColumn="0" w:lastRowFirstColumn="0" w:lastRowLastColumn="0"/>
            <w:tcW w:w="2603" w:type="pct"/>
            <w:tcBorders>
              <w:top w:val="single" w:sz="4" w:space="0" w:color="auto"/>
              <w:bottom w:val="single" w:sz="4" w:space="0" w:color="auto"/>
            </w:tcBorders>
            <w:vAlign w:val="top"/>
          </w:tcPr>
          <w:p w14:paraId="6AEC8ECD" w14:textId="008CBAE0" w:rsidR="00773840" w:rsidRPr="00773840" w:rsidRDefault="00773840" w:rsidP="008B2B6E">
            <w:pPr>
              <w:pStyle w:val="TableBodyText"/>
              <w:rPr>
                <w:rStyle w:val="Bold"/>
              </w:rPr>
            </w:pPr>
            <w:r w:rsidRPr="00773840">
              <w:rPr>
                <w:rStyle w:val="Bold"/>
              </w:rPr>
              <w:t>Total depreciation and amortisation</w:t>
            </w:r>
          </w:p>
        </w:tc>
        <w:tc>
          <w:tcPr>
            <w:tcW w:w="799" w:type="pct"/>
            <w:tcBorders>
              <w:top w:val="single" w:sz="4" w:space="0" w:color="auto"/>
              <w:bottom w:val="single" w:sz="4" w:space="0" w:color="auto"/>
            </w:tcBorders>
            <w:vAlign w:val="top"/>
          </w:tcPr>
          <w:p w14:paraId="102F35CD" w14:textId="621E6BA2" w:rsidR="00773840" w:rsidRPr="0076797F" w:rsidRDefault="00773840"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99" w:type="pct"/>
            <w:tcBorders>
              <w:top w:val="single" w:sz="4" w:space="0" w:color="auto"/>
              <w:bottom w:val="single" w:sz="4" w:space="0" w:color="auto"/>
            </w:tcBorders>
            <w:vAlign w:val="top"/>
          </w:tcPr>
          <w:p w14:paraId="7E2FBF87" w14:textId="436EFD50" w:rsidR="00773840" w:rsidRPr="00773840" w:rsidRDefault="00773840"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73840">
              <w:rPr>
                <w:rStyle w:val="Bold"/>
              </w:rPr>
              <w:t>450,146</w:t>
            </w:r>
          </w:p>
        </w:tc>
        <w:tc>
          <w:tcPr>
            <w:tcW w:w="799" w:type="pct"/>
            <w:tcBorders>
              <w:top w:val="single" w:sz="4" w:space="0" w:color="auto"/>
              <w:bottom w:val="single" w:sz="4" w:space="0" w:color="auto"/>
            </w:tcBorders>
            <w:vAlign w:val="top"/>
          </w:tcPr>
          <w:p w14:paraId="08D397E1" w14:textId="70473D04" w:rsidR="00773840" w:rsidRPr="00773840" w:rsidRDefault="00773840"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73840">
              <w:rPr>
                <w:rStyle w:val="Bold"/>
              </w:rPr>
              <w:t>434,687</w:t>
            </w:r>
          </w:p>
        </w:tc>
      </w:tr>
    </w:tbl>
    <w:p w14:paraId="232415E9" w14:textId="77777777" w:rsidR="003E54E5" w:rsidRDefault="003E54E5" w:rsidP="003E54E5">
      <w:pPr>
        <w:pStyle w:val="Heading5"/>
      </w:pPr>
      <w:r>
        <w:t>Depreciation and amortisation</w:t>
      </w:r>
    </w:p>
    <w:p w14:paraId="3042EA32" w14:textId="0AF06361" w:rsidR="003E54E5" w:rsidRDefault="003E54E5" w:rsidP="003E54E5">
      <w:pPr>
        <w:pStyle w:val="BodyText"/>
      </w:pPr>
      <w:r>
        <w:t>Where assets have separate identifiable components that have distinct useful lives and/or residual values, a separate depreciation rate is determined for each component.</w:t>
      </w:r>
    </w:p>
    <w:p w14:paraId="6DF1868A" w14:textId="2D6FE940" w:rsidR="003E54E5" w:rsidRDefault="003E54E5" w:rsidP="003E54E5">
      <w:pPr>
        <w:pStyle w:val="BodyText"/>
      </w:pPr>
      <w:r>
        <w:t>Depreciation on other assets is calculated using the straight line method to allocate their cost or revalued amounts, net of their residual values, over their estimated useful lives, commencing from the time the asset is held ready for use. The assets' residual values and useful lives are reviewed annually, and adjusted if appropriate, at the end of each reporting period.</w:t>
      </w:r>
    </w:p>
    <w:p w14:paraId="0C12FF99" w14:textId="788D97CF" w:rsidR="003E54E5" w:rsidRDefault="003E54E5" w:rsidP="003E54E5">
      <w:pPr>
        <w:pStyle w:val="BodyText"/>
      </w:pPr>
      <w:r>
        <w:t>Physical, economic and environmental factors are taken into consideration in assessing the useful lives of the assets, including but not limited to asset condition and obsolescence, technology changes, capital planning and renewals, and climate-related emerging risks.</w:t>
      </w:r>
    </w:p>
    <w:p w14:paraId="1A098B20" w14:textId="5B5E6973" w:rsidR="003E54E5" w:rsidRDefault="00DC0A06" w:rsidP="003E54E5">
      <w:pPr>
        <w:pStyle w:val="BodyText"/>
      </w:pPr>
      <w:r>
        <w:t>Victorian Desalination Plant</w:t>
      </w:r>
      <w:r w:rsidR="003E54E5">
        <w:t xml:space="preserve"> service concession assets are depreciated based on guaranteed lives per the Project Deed arrangements, which incorporate the impact of the ongoing Project Deed life cycle cost payments accounted for as expenditure. Guaranteed lives are used because life cycle costs cover repairs and maintenance and also asset replacements with shorter lives than the Project Deed.</w:t>
      </w:r>
    </w:p>
    <w:p w14:paraId="43AD49AC" w14:textId="38550B84" w:rsidR="003E54E5" w:rsidRDefault="003E54E5" w:rsidP="003E54E5">
      <w:pPr>
        <w:pStyle w:val="BodyText"/>
      </w:pPr>
      <w:r>
        <w:t>Land is not depreciated. Impacts resulting from changes in depreciation rates have been incorporated in the current year's results and have not been separately disclosed as the overall amount was not material.</w:t>
      </w:r>
    </w:p>
    <w:p w14:paraId="78A0C655" w14:textId="77777777" w:rsidR="003E54E5" w:rsidRDefault="003E54E5" w:rsidP="002B25DA">
      <w:pPr>
        <w:pStyle w:val="BodyText"/>
        <w:keepNext/>
      </w:pPr>
      <w:r>
        <w:lastRenderedPageBreak/>
        <w:t>Major depreciation and amortisation periods used are listed below:</w:t>
      </w:r>
    </w:p>
    <w:p w14:paraId="668B05B0" w14:textId="16819BA7" w:rsidR="003E54E5" w:rsidRDefault="003E54E5" w:rsidP="002B25DA">
      <w:pPr>
        <w:pStyle w:val="BodyText"/>
        <w:keepNext/>
        <w:tabs>
          <w:tab w:val="left" w:pos="4961"/>
        </w:tabs>
      </w:pPr>
      <w:r>
        <w:t>Buildings</w:t>
      </w:r>
      <w:r>
        <w:tab/>
        <w:t>5 to 150 years (2019-20: 5 to 150 years)</w:t>
      </w:r>
    </w:p>
    <w:p w14:paraId="3027B2E2" w14:textId="52AD62AD" w:rsidR="003E54E5" w:rsidRDefault="003E54E5" w:rsidP="002B25DA">
      <w:pPr>
        <w:pStyle w:val="BodyText"/>
        <w:keepNext/>
        <w:tabs>
          <w:tab w:val="left" w:pos="4961"/>
        </w:tabs>
      </w:pPr>
      <w:r>
        <w:t>Leasehold improvements</w:t>
      </w:r>
      <w:r>
        <w:tab/>
        <w:t>3 to 15 years (2019-20: 3 to 15 years)</w:t>
      </w:r>
    </w:p>
    <w:p w14:paraId="535E8973" w14:textId="545BB832" w:rsidR="003E54E5" w:rsidRDefault="003E54E5" w:rsidP="003E54E5">
      <w:pPr>
        <w:pStyle w:val="BodyText"/>
        <w:tabs>
          <w:tab w:val="left" w:pos="4961"/>
        </w:tabs>
      </w:pPr>
      <w:r>
        <w:t>Plant and equipment</w:t>
      </w:r>
      <w:r>
        <w:tab/>
        <w:t>3 to 50 years (2019-20: 3 to 50 years)</w:t>
      </w:r>
    </w:p>
    <w:p w14:paraId="65159F7B" w14:textId="25783497" w:rsidR="003E54E5" w:rsidRDefault="003E54E5" w:rsidP="003E54E5">
      <w:pPr>
        <w:pStyle w:val="BodyText"/>
        <w:tabs>
          <w:tab w:val="left" w:pos="4961"/>
        </w:tabs>
      </w:pPr>
      <w:r>
        <w:t>Infrastructure assets</w:t>
      </w:r>
      <w:r>
        <w:tab/>
        <w:t>2 to 245 years (2019-20: 2 to 245 years)</w:t>
      </w:r>
    </w:p>
    <w:p w14:paraId="11BE4C02" w14:textId="1E17BEC2" w:rsidR="003E54E5" w:rsidRDefault="003E54E5" w:rsidP="003E54E5">
      <w:pPr>
        <w:pStyle w:val="BodyText"/>
        <w:tabs>
          <w:tab w:val="left" w:pos="4961"/>
        </w:tabs>
      </w:pPr>
      <w:r>
        <w:t>Fleet vehicles</w:t>
      </w:r>
      <w:r>
        <w:tab/>
        <w:t>1 to 15 years (2019-20: 1 to 15 years)</w:t>
      </w:r>
    </w:p>
    <w:p w14:paraId="7CF18CF5" w14:textId="4A34E50F" w:rsidR="003E54E5" w:rsidRDefault="003E54E5" w:rsidP="003E54E5">
      <w:pPr>
        <w:pStyle w:val="BodyText"/>
        <w:tabs>
          <w:tab w:val="left" w:pos="4961"/>
        </w:tabs>
      </w:pPr>
      <w:r>
        <w:t>Intangible assets</w:t>
      </w:r>
      <w:r>
        <w:tab/>
        <w:t>2 to 25 years (2019-20: 2 to 25 years)</w:t>
      </w:r>
    </w:p>
    <w:p w14:paraId="3D4041CC" w14:textId="343D0C6A" w:rsidR="003E54E5" w:rsidRDefault="00DC0A06" w:rsidP="003E54E5">
      <w:pPr>
        <w:pStyle w:val="BodyText"/>
        <w:tabs>
          <w:tab w:val="left" w:pos="4961"/>
        </w:tabs>
      </w:pPr>
      <w:r>
        <w:t>Victorian Desalination Plant</w:t>
      </w:r>
      <w:r w:rsidR="003E54E5">
        <w:t xml:space="preserve"> service concession asset</w:t>
      </w:r>
      <w:r w:rsidR="003E54E5">
        <w:tab/>
        <w:t>9 to 100 years (2019-20: 9 to 100 years)</w:t>
      </w:r>
    </w:p>
    <w:p w14:paraId="31A791A8" w14:textId="761A1D71" w:rsidR="003E54E5" w:rsidRPr="00773840" w:rsidRDefault="003E54E5" w:rsidP="003E54E5">
      <w:pPr>
        <w:pStyle w:val="BodyText"/>
        <w:tabs>
          <w:tab w:val="left" w:pos="4961"/>
        </w:tabs>
      </w:pPr>
      <w:r>
        <w:t>Right of use assets</w:t>
      </w:r>
      <w:r>
        <w:tab/>
        <w:t>3 to 8 years (2019-20: 3 to 8 years).</w:t>
      </w:r>
    </w:p>
    <w:p w14:paraId="22D7A656" w14:textId="77777777" w:rsidR="003E54E5" w:rsidRDefault="003E54E5" w:rsidP="003E54E5">
      <w:pPr>
        <w:pStyle w:val="Heading5"/>
      </w:pPr>
      <w:r>
        <w:t>Indefinite life assets</w:t>
      </w:r>
    </w:p>
    <w:p w14:paraId="752276E9" w14:textId="5E07D96B" w:rsidR="000F549E" w:rsidRDefault="003E54E5" w:rsidP="003E54E5">
      <w:pPr>
        <w:pStyle w:val="BodyText"/>
      </w:pPr>
      <w:r>
        <w:t>Land, which is considered to have an indefinite life, is not depreciated. Depreciation is not recognised in respect of these assets because their service potential has not, in any material sense, been consumed during the reporting period.</w:t>
      </w:r>
    </w:p>
    <w:p w14:paraId="28900F7A" w14:textId="77777777" w:rsidR="003E54E5" w:rsidRDefault="003E54E5" w:rsidP="003E54E5">
      <w:pPr>
        <w:pStyle w:val="Heading5"/>
      </w:pPr>
      <w:r>
        <w:t>Impairment</w:t>
      </w:r>
    </w:p>
    <w:p w14:paraId="2DBA764A" w14:textId="4692D243" w:rsidR="003E54E5" w:rsidRDefault="003E54E5" w:rsidP="003E54E5">
      <w:pPr>
        <w:pStyle w:val="BodyText"/>
      </w:pPr>
      <w:r>
        <w:t>Intangible assets with indefinite useful lives (and intangible assets not yet available for use) are tested annually for impairment and whenever there is an indication that the asset may be impaired.</w:t>
      </w:r>
    </w:p>
    <w:p w14:paraId="16E63016" w14:textId="7DC7BB0C" w:rsidR="003E54E5" w:rsidRDefault="003E54E5" w:rsidP="003E54E5">
      <w:pPr>
        <w:pStyle w:val="BodyText"/>
      </w:pPr>
      <w:r>
        <w:t>All other assets are assessed annually for indications of impairment, except for:</w:t>
      </w:r>
    </w:p>
    <w:p w14:paraId="17CF770A" w14:textId="22BBAC72" w:rsidR="003E54E5" w:rsidRDefault="003E54E5" w:rsidP="003E54E5">
      <w:pPr>
        <w:pStyle w:val="ListBullet"/>
      </w:pPr>
      <w:r>
        <w:t xml:space="preserve">Inventories (refer to </w:t>
      </w:r>
      <w:r w:rsidR="00C9560B">
        <w:fldChar w:fldCharType="begin"/>
      </w:r>
      <w:r w:rsidR="00C9560B">
        <w:instrText xml:space="preserve"> REF Note311 \h </w:instrText>
      </w:r>
      <w:r w:rsidR="00C9560B">
        <w:fldChar w:fldCharType="separate"/>
      </w:r>
      <w:r w:rsidR="00472151">
        <w:t xml:space="preserve">3.11 </w:t>
      </w:r>
      <w:r w:rsidR="00C9560B">
        <w:fldChar w:fldCharType="end"/>
      </w:r>
      <w:r>
        <w:t>)</w:t>
      </w:r>
    </w:p>
    <w:p w14:paraId="0D167335" w14:textId="59E5A3B8" w:rsidR="003E54E5" w:rsidRDefault="003E54E5" w:rsidP="003E54E5">
      <w:pPr>
        <w:pStyle w:val="ListBullet"/>
      </w:pPr>
      <w:r>
        <w:t xml:space="preserve">Non-current assets held for sale (refer </w:t>
      </w:r>
      <w:r w:rsidR="003742AD">
        <w:fldChar w:fldCharType="begin"/>
      </w:r>
      <w:r w:rsidR="003742AD">
        <w:instrText xml:space="preserve"> REF Note4121 \h </w:instrText>
      </w:r>
      <w:r w:rsidR="003742AD">
        <w:fldChar w:fldCharType="separate"/>
      </w:r>
      <w:r w:rsidR="00472151">
        <w:t xml:space="preserve">4.1.2.1 </w:t>
      </w:r>
      <w:r w:rsidR="003742AD">
        <w:fldChar w:fldCharType="end"/>
      </w:r>
      <w:r>
        <w:t xml:space="preserve">and </w:t>
      </w:r>
      <w:r w:rsidR="002B0B65">
        <w:fldChar w:fldCharType="begin"/>
      </w:r>
      <w:r w:rsidR="002B0B65">
        <w:instrText xml:space="preserve"> REF Note43 \h </w:instrText>
      </w:r>
      <w:r w:rsidR="002B0B65">
        <w:fldChar w:fldCharType="separate"/>
      </w:r>
      <w:r w:rsidR="00472151" w:rsidRPr="00F82928">
        <w:t xml:space="preserve">4.3 </w:t>
      </w:r>
      <w:r w:rsidR="002B0B65">
        <w:fldChar w:fldCharType="end"/>
      </w:r>
      <w:r>
        <w:t>)</w:t>
      </w:r>
    </w:p>
    <w:p w14:paraId="091F79CC" w14:textId="0215CE97" w:rsidR="000F549E" w:rsidRDefault="003E54E5" w:rsidP="003E54E5">
      <w:pPr>
        <w:pStyle w:val="BodyText"/>
      </w:pPr>
      <w:r>
        <w:t>If there is an indication of impairment, the assets concerned are tested as to whether their carrying value exceeds their recoverable amount. Where an asset’s carrying value exceeds its recoverable amount, the difference is written off to the Statement of Profit or Loss and Other Comprehensive Income, except to the extent that the write down can be debited to an asset revaluation reserve amount applicable to that asset.</w:t>
      </w:r>
    </w:p>
    <w:p w14:paraId="19EEFD14" w14:textId="49010DFB" w:rsidR="003E54E5" w:rsidRDefault="003E54E5" w:rsidP="003E54E5">
      <w:pPr>
        <w:pStyle w:val="BodyText"/>
      </w:pPr>
      <w:r>
        <w:t xml:space="preserve">The recoverable value estimates used in the impairment of assets analysis considers forecast cash flows, growth and terminal capital expenditure assumptions. The recoverable value estimates demonstrate that assets are not impaired. While scenario planning is used to explore and help prepare for a wide range of potential future conditions (including climate change and the impacts of </w:t>
      </w:r>
      <w:r w:rsidR="0030196D">
        <w:t>COVID</w:t>
      </w:r>
      <w:r w:rsidR="0030196D">
        <w:noBreakHyphen/>
        <w:t>19</w:t>
      </w:r>
      <w:r>
        <w:t>), there is a risk that the assumptions made may not reflect the actual impact of emerging risks in the future.</w:t>
      </w:r>
    </w:p>
    <w:p w14:paraId="3C3B95EA" w14:textId="5B42A4F8" w:rsidR="003E54E5" w:rsidRDefault="003E54E5" w:rsidP="003E54E5">
      <w:pPr>
        <w:pStyle w:val="BodyText"/>
      </w:pPr>
      <w:r>
        <w:t>It is deemed that, in the event of the loss or destruction of an asset, the future economic benefits arising from the use of the asset will be replaced unless a specific decision to the contrary has been made. The recoverable amount for most assets is measured at the higher of the present value of future cash flows expected to be obtained from the asset or fair value less costs to sell.</w:t>
      </w:r>
    </w:p>
    <w:p w14:paraId="26BFA785" w14:textId="5C6D88F4" w:rsidR="003E54E5" w:rsidRDefault="003E54E5" w:rsidP="002B25DA">
      <w:pPr>
        <w:pStyle w:val="Heading3"/>
      </w:pPr>
      <w:bookmarkStart w:id="1024" w:name="Note42"/>
      <w:bookmarkStart w:id="1025" w:name="_Toc89723133"/>
      <w:bookmarkStart w:id="1026" w:name="_Ref89807111"/>
      <w:bookmarkStart w:id="1027" w:name="_Ref89807196"/>
      <w:bookmarkStart w:id="1028" w:name="_Ref89844062"/>
      <w:bookmarkStart w:id="1029" w:name="_Ref89845462"/>
      <w:bookmarkStart w:id="1030" w:name="_Toc90326078"/>
      <w:bookmarkStart w:id="1031" w:name="_Toc93659484"/>
      <w:r>
        <w:lastRenderedPageBreak/>
        <w:t xml:space="preserve">4.2 </w:t>
      </w:r>
      <w:bookmarkEnd w:id="1024"/>
      <w:r>
        <w:t>Intangible assets</w:t>
      </w:r>
      <w:bookmarkEnd w:id="1025"/>
      <w:bookmarkEnd w:id="1026"/>
      <w:bookmarkEnd w:id="1027"/>
      <w:bookmarkEnd w:id="1028"/>
      <w:bookmarkEnd w:id="1029"/>
      <w:bookmarkEnd w:id="1030"/>
      <w:bookmarkEnd w:id="1031"/>
    </w:p>
    <w:tbl>
      <w:tblPr>
        <w:tblStyle w:val="Style1"/>
        <w:tblW w:w="5000" w:type="pct"/>
        <w:tblLook w:val="04A0" w:firstRow="1" w:lastRow="0" w:firstColumn="1" w:lastColumn="0" w:noHBand="0" w:noVBand="1"/>
      </w:tblPr>
      <w:tblGrid>
        <w:gridCol w:w="6553"/>
        <w:gridCol w:w="1539"/>
        <w:gridCol w:w="1539"/>
      </w:tblGrid>
      <w:tr w:rsidR="003E54E5" w:rsidRPr="008B2B6E" w14:paraId="25ADDF4E"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pct"/>
            <w:tcBorders>
              <w:top w:val="single" w:sz="4" w:space="0" w:color="auto"/>
            </w:tcBorders>
            <w:vAlign w:val="bottom"/>
          </w:tcPr>
          <w:p w14:paraId="196C16DE" w14:textId="792C550E" w:rsidR="003E54E5" w:rsidRPr="008B2B6E" w:rsidRDefault="003E54E5" w:rsidP="002B25DA">
            <w:pPr>
              <w:keepNext/>
              <w:keepLines/>
            </w:pPr>
            <w:bookmarkStart w:id="1032" w:name="ColumnTitle_72"/>
            <w:r w:rsidRPr="008B2B6E">
              <w:t>Item</w:t>
            </w:r>
          </w:p>
        </w:tc>
        <w:tc>
          <w:tcPr>
            <w:tcW w:w="799" w:type="pct"/>
            <w:tcBorders>
              <w:top w:val="single" w:sz="4" w:space="0" w:color="auto"/>
            </w:tcBorders>
            <w:vAlign w:val="bottom"/>
          </w:tcPr>
          <w:p w14:paraId="62B60449" w14:textId="77777777" w:rsidR="003E54E5" w:rsidRPr="008B2B6E" w:rsidRDefault="003E54E5" w:rsidP="002B25DA">
            <w:pPr>
              <w:keepNext/>
              <w:keepLines/>
              <w:cnfStyle w:val="100000000000" w:firstRow="1" w:lastRow="0" w:firstColumn="0" w:lastColumn="0" w:oddVBand="0" w:evenVBand="0" w:oddHBand="0" w:evenHBand="0" w:firstRowFirstColumn="0" w:firstRowLastColumn="0" w:lastRowFirstColumn="0" w:lastRowLastColumn="0"/>
            </w:pPr>
            <w:r w:rsidRPr="008B2B6E">
              <w:t>2021</w:t>
            </w:r>
          </w:p>
          <w:p w14:paraId="7BCF42DA" w14:textId="77777777" w:rsidR="003E54E5" w:rsidRPr="008B2B6E" w:rsidRDefault="003E54E5" w:rsidP="002B25DA">
            <w:pPr>
              <w:keepNext/>
              <w:keepLines/>
              <w:cnfStyle w:val="100000000000" w:firstRow="1" w:lastRow="0" w:firstColumn="0" w:lastColumn="0" w:oddVBand="0" w:evenVBand="0" w:oddHBand="0" w:evenHBand="0" w:firstRowFirstColumn="0" w:firstRowLastColumn="0" w:lastRowFirstColumn="0" w:lastRowLastColumn="0"/>
            </w:pPr>
            <w:r w:rsidRPr="008B2B6E">
              <w:t>($ thousands)</w:t>
            </w:r>
          </w:p>
        </w:tc>
        <w:tc>
          <w:tcPr>
            <w:tcW w:w="799" w:type="pct"/>
            <w:tcBorders>
              <w:top w:val="single" w:sz="4" w:space="0" w:color="auto"/>
            </w:tcBorders>
            <w:vAlign w:val="bottom"/>
          </w:tcPr>
          <w:p w14:paraId="59449955" w14:textId="77777777" w:rsidR="003E54E5" w:rsidRPr="008B2B6E" w:rsidRDefault="003E54E5" w:rsidP="002B25DA">
            <w:pPr>
              <w:keepNext/>
              <w:keepLines/>
              <w:cnfStyle w:val="100000000000" w:firstRow="1" w:lastRow="0" w:firstColumn="0" w:lastColumn="0" w:oddVBand="0" w:evenVBand="0" w:oddHBand="0" w:evenHBand="0" w:firstRowFirstColumn="0" w:firstRowLastColumn="0" w:lastRowFirstColumn="0" w:lastRowLastColumn="0"/>
            </w:pPr>
            <w:r w:rsidRPr="008B2B6E">
              <w:t>2020</w:t>
            </w:r>
          </w:p>
          <w:p w14:paraId="37BB40B3" w14:textId="77777777" w:rsidR="003E54E5" w:rsidRPr="008B2B6E" w:rsidRDefault="003E54E5" w:rsidP="002B25DA">
            <w:pPr>
              <w:keepNext/>
              <w:keepLines/>
              <w:cnfStyle w:val="100000000000" w:firstRow="1" w:lastRow="0" w:firstColumn="0" w:lastColumn="0" w:oddVBand="0" w:evenVBand="0" w:oddHBand="0" w:evenHBand="0" w:firstRowFirstColumn="0" w:firstRowLastColumn="0" w:lastRowFirstColumn="0" w:lastRowLastColumn="0"/>
            </w:pPr>
            <w:r w:rsidRPr="008B2B6E">
              <w:t>($ thousands)</w:t>
            </w:r>
          </w:p>
        </w:tc>
      </w:tr>
      <w:bookmarkEnd w:id="1032"/>
      <w:tr w:rsidR="003E54E5" w:rsidRPr="0076797F" w14:paraId="25ECD856" w14:textId="77777777" w:rsidTr="003E54E5">
        <w:tc>
          <w:tcPr>
            <w:cnfStyle w:val="001000000000" w:firstRow="0" w:lastRow="0" w:firstColumn="1" w:lastColumn="0" w:oddVBand="0" w:evenVBand="0" w:oddHBand="0" w:evenHBand="0" w:firstRowFirstColumn="0" w:firstRowLastColumn="0" w:lastRowFirstColumn="0" w:lastRowLastColumn="0"/>
            <w:tcW w:w="3402" w:type="pct"/>
            <w:vAlign w:val="top"/>
          </w:tcPr>
          <w:p w14:paraId="6B1C8EF7" w14:textId="2B2DFB5D" w:rsidR="003E54E5" w:rsidRPr="003E54E5" w:rsidRDefault="003E54E5" w:rsidP="002B25DA">
            <w:pPr>
              <w:pStyle w:val="TableBodyText"/>
              <w:keepNext/>
              <w:keepLines/>
            </w:pPr>
            <w:r w:rsidRPr="003E54E5">
              <w:t>Intangible assets</w:t>
            </w:r>
          </w:p>
        </w:tc>
        <w:tc>
          <w:tcPr>
            <w:tcW w:w="799" w:type="pct"/>
            <w:vAlign w:val="top"/>
          </w:tcPr>
          <w:p w14:paraId="41A5973C" w14:textId="09155735" w:rsidR="003E54E5" w:rsidRPr="0076797F" w:rsidRDefault="003E54E5"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171,473</w:t>
            </w:r>
          </w:p>
        </w:tc>
        <w:tc>
          <w:tcPr>
            <w:tcW w:w="799" w:type="pct"/>
            <w:vAlign w:val="top"/>
          </w:tcPr>
          <w:p w14:paraId="08A7BC3B" w14:textId="52F48D5B" w:rsidR="003E54E5" w:rsidRPr="0076797F" w:rsidRDefault="003E54E5" w:rsidP="002B25DA">
            <w:pPr>
              <w:pStyle w:val="TableBodyText"/>
              <w:keepNext/>
              <w:keepLines/>
              <w:cnfStyle w:val="000000000000" w:firstRow="0" w:lastRow="0" w:firstColumn="0" w:lastColumn="0" w:oddVBand="0" w:evenVBand="0" w:oddHBand="0" w:evenHBand="0" w:firstRowFirstColumn="0" w:firstRowLastColumn="0" w:lastRowFirstColumn="0" w:lastRowLastColumn="0"/>
            </w:pPr>
            <w:r>
              <w:t>185,358</w:t>
            </w:r>
          </w:p>
        </w:tc>
      </w:tr>
      <w:tr w:rsidR="003E54E5" w:rsidRPr="0076797F" w14:paraId="79AEBE3D" w14:textId="77777777" w:rsidTr="003E54E5">
        <w:tc>
          <w:tcPr>
            <w:cnfStyle w:val="001000000000" w:firstRow="0" w:lastRow="0" w:firstColumn="1" w:lastColumn="0" w:oddVBand="0" w:evenVBand="0" w:oddHBand="0" w:evenHBand="0" w:firstRowFirstColumn="0" w:firstRowLastColumn="0" w:lastRowFirstColumn="0" w:lastRowLastColumn="0"/>
            <w:tcW w:w="3402" w:type="pct"/>
            <w:tcBorders>
              <w:bottom w:val="single" w:sz="4" w:space="0" w:color="auto"/>
            </w:tcBorders>
            <w:vAlign w:val="top"/>
          </w:tcPr>
          <w:p w14:paraId="12FF116D" w14:textId="6FE57A49" w:rsidR="003E54E5" w:rsidRDefault="003E54E5" w:rsidP="008B2B6E">
            <w:pPr>
              <w:pStyle w:val="TableBodyText"/>
            </w:pPr>
            <w:r>
              <w:t>Less: accumulated amortisation and impairment</w:t>
            </w:r>
          </w:p>
        </w:tc>
        <w:tc>
          <w:tcPr>
            <w:tcW w:w="799" w:type="pct"/>
            <w:tcBorders>
              <w:bottom w:val="single" w:sz="4" w:space="0" w:color="auto"/>
            </w:tcBorders>
            <w:vAlign w:val="top"/>
          </w:tcPr>
          <w:p w14:paraId="5E4C4DC0" w14:textId="14AFAD67" w:rsidR="003E54E5" w:rsidRDefault="003E54E5" w:rsidP="008B2B6E">
            <w:pPr>
              <w:pStyle w:val="TableBodyText"/>
              <w:cnfStyle w:val="000000000000" w:firstRow="0" w:lastRow="0" w:firstColumn="0" w:lastColumn="0" w:oddVBand="0" w:evenVBand="0" w:oddHBand="0" w:evenHBand="0" w:firstRowFirstColumn="0" w:firstRowLastColumn="0" w:lastRowFirstColumn="0" w:lastRowLastColumn="0"/>
            </w:pPr>
            <w:r>
              <w:t>(122,404)</w:t>
            </w:r>
          </w:p>
        </w:tc>
        <w:tc>
          <w:tcPr>
            <w:tcW w:w="799" w:type="pct"/>
            <w:tcBorders>
              <w:bottom w:val="single" w:sz="4" w:space="0" w:color="auto"/>
            </w:tcBorders>
            <w:vAlign w:val="top"/>
          </w:tcPr>
          <w:p w14:paraId="304F9FB5" w14:textId="37843ADD" w:rsidR="003E54E5" w:rsidRDefault="003E54E5" w:rsidP="008B2B6E">
            <w:pPr>
              <w:pStyle w:val="TableBodyText"/>
              <w:cnfStyle w:val="000000000000" w:firstRow="0" w:lastRow="0" w:firstColumn="0" w:lastColumn="0" w:oddVBand="0" w:evenVBand="0" w:oddHBand="0" w:evenHBand="0" w:firstRowFirstColumn="0" w:firstRowLastColumn="0" w:lastRowFirstColumn="0" w:lastRowLastColumn="0"/>
            </w:pPr>
            <w:r>
              <w:t>(133,952)</w:t>
            </w:r>
          </w:p>
        </w:tc>
      </w:tr>
      <w:tr w:rsidR="003E54E5" w:rsidRPr="003E54E5" w14:paraId="09E1523D" w14:textId="77777777" w:rsidTr="003E54E5">
        <w:tc>
          <w:tcPr>
            <w:cnfStyle w:val="001000000000" w:firstRow="0" w:lastRow="0" w:firstColumn="1" w:lastColumn="0" w:oddVBand="0" w:evenVBand="0" w:oddHBand="0" w:evenHBand="0" w:firstRowFirstColumn="0" w:firstRowLastColumn="0" w:lastRowFirstColumn="0" w:lastRowLastColumn="0"/>
            <w:tcW w:w="3402" w:type="pct"/>
            <w:tcBorders>
              <w:top w:val="single" w:sz="4" w:space="0" w:color="auto"/>
              <w:bottom w:val="single" w:sz="4" w:space="0" w:color="auto"/>
            </w:tcBorders>
            <w:vAlign w:val="top"/>
          </w:tcPr>
          <w:p w14:paraId="0017DD37" w14:textId="45EF0484" w:rsidR="003E54E5" w:rsidRPr="003E54E5" w:rsidRDefault="003E54E5" w:rsidP="008B2B6E">
            <w:pPr>
              <w:pStyle w:val="TableBodyText"/>
              <w:rPr>
                <w:rStyle w:val="Bold"/>
              </w:rPr>
            </w:pPr>
            <w:r w:rsidRPr="003E54E5">
              <w:rPr>
                <w:rStyle w:val="Bold"/>
              </w:rPr>
              <w:t>Total intangible assets</w:t>
            </w:r>
          </w:p>
        </w:tc>
        <w:tc>
          <w:tcPr>
            <w:tcW w:w="799" w:type="pct"/>
            <w:tcBorders>
              <w:top w:val="single" w:sz="4" w:space="0" w:color="auto"/>
              <w:bottom w:val="single" w:sz="4" w:space="0" w:color="auto"/>
            </w:tcBorders>
            <w:vAlign w:val="top"/>
          </w:tcPr>
          <w:p w14:paraId="2E8E3DFB" w14:textId="5B36B2C4" w:rsidR="003E54E5" w:rsidRPr="003E54E5" w:rsidRDefault="003E54E5"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E54E5">
              <w:rPr>
                <w:rStyle w:val="Bold"/>
              </w:rPr>
              <w:t>49,069</w:t>
            </w:r>
          </w:p>
        </w:tc>
        <w:tc>
          <w:tcPr>
            <w:tcW w:w="799" w:type="pct"/>
            <w:tcBorders>
              <w:top w:val="single" w:sz="4" w:space="0" w:color="auto"/>
              <w:bottom w:val="single" w:sz="4" w:space="0" w:color="auto"/>
            </w:tcBorders>
            <w:vAlign w:val="top"/>
          </w:tcPr>
          <w:p w14:paraId="21EC861A" w14:textId="0718FF99" w:rsidR="003E54E5" w:rsidRPr="003E54E5" w:rsidRDefault="003E54E5"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E54E5">
              <w:rPr>
                <w:rStyle w:val="Bold"/>
              </w:rPr>
              <w:t>51,406</w:t>
            </w:r>
          </w:p>
        </w:tc>
      </w:tr>
    </w:tbl>
    <w:p w14:paraId="54F3101E" w14:textId="0559A622" w:rsidR="003E54E5" w:rsidRDefault="003E54E5" w:rsidP="003E54E5">
      <w:pPr>
        <w:pStyle w:val="Heading4"/>
      </w:pPr>
      <w:r w:rsidRPr="003E54E5">
        <w:t>Reconciliation of movements in intangible assets</w:t>
      </w:r>
    </w:p>
    <w:tbl>
      <w:tblPr>
        <w:tblStyle w:val="Style1"/>
        <w:tblW w:w="5000" w:type="pct"/>
        <w:tblLook w:val="04A0" w:firstRow="1" w:lastRow="0" w:firstColumn="1" w:lastColumn="0" w:noHBand="0" w:noVBand="1"/>
      </w:tblPr>
      <w:tblGrid>
        <w:gridCol w:w="5387"/>
        <w:gridCol w:w="1416"/>
        <w:gridCol w:w="1420"/>
        <w:gridCol w:w="1408"/>
      </w:tblGrid>
      <w:tr w:rsidR="00601C34" w:rsidRPr="008B2B6E" w14:paraId="722B3406" w14:textId="77777777" w:rsidTr="002B25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tcBorders>
            <w:vAlign w:val="bottom"/>
          </w:tcPr>
          <w:p w14:paraId="06EA9FA7" w14:textId="77777777" w:rsidR="00601C34" w:rsidRPr="008B2B6E" w:rsidRDefault="00601C34" w:rsidP="008B2B6E">
            <w:bookmarkStart w:id="1033" w:name="ColumnTitle_73"/>
            <w:r w:rsidRPr="008B2B6E">
              <w:t>Item</w:t>
            </w:r>
          </w:p>
        </w:tc>
        <w:tc>
          <w:tcPr>
            <w:tcW w:w="735" w:type="pct"/>
            <w:tcBorders>
              <w:top w:val="single" w:sz="4" w:space="0" w:color="auto"/>
            </w:tcBorders>
            <w:vAlign w:val="bottom"/>
          </w:tcPr>
          <w:p w14:paraId="75363B8C" w14:textId="77777777" w:rsidR="00601C34" w:rsidRPr="008B2B6E" w:rsidRDefault="00601C34" w:rsidP="002B25DA">
            <w:pPr>
              <w:cnfStyle w:val="100000000000" w:firstRow="1" w:lastRow="0" w:firstColumn="0" w:lastColumn="0" w:oddVBand="0" w:evenVBand="0" w:oddHBand="0" w:evenHBand="0" w:firstRowFirstColumn="0" w:firstRowLastColumn="0" w:lastRowFirstColumn="0" w:lastRowLastColumn="0"/>
            </w:pPr>
            <w:r w:rsidRPr="008B2B6E">
              <w:t>Total</w:t>
            </w:r>
          </w:p>
          <w:p w14:paraId="447A0EE3" w14:textId="2195CB23" w:rsidR="00601C34" w:rsidRPr="008B2B6E" w:rsidRDefault="00601C34" w:rsidP="002B25DA">
            <w:pPr>
              <w:cnfStyle w:val="100000000000" w:firstRow="1" w:lastRow="0" w:firstColumn="0" w:lastColumn="0" w:oddVBand="0" w:evenVBand="0" w:oddHBand="0" w:evenHBand="0" w:firstRowFirstColumn="0" w:firstRowLastColumn="0" w:lastRowFirstColumn="0" w:lastRowLastColumn="0"/>
            </w:pPr>
            <w:r w:rsidRPr="008B2B6E">
              <w:t>($ thousands)</w:t>
            </w:r>
          </w:p>
        </w:tc>
        <w:tc>
          <w:tcPr>
            <w:tcW w:w="737" w:type="pct"/>
            <w:tcBorders>
              <w:top w:val="single" w:sz="4" w:space="0" w:color="auto"/>
            </w:tcBorders>
            <w:vAlign w:val="bottom"/>
          </w:tcPr>
          <w:p w14:paraId="0433093C" w14:textId="12533986" w:rsidR="00601C34" w:rsidRPr="008B2B6E" w:rsidRDefault="00A52F94" w:rsidP="008B2B6E">
            <w:pPr>
              <w:cnfStyle w:val="100000000000" w:firstRow="1" w:lastRow="0" w:firstColumn="0" w:lastColumn="0" w:oddVBand="0" w:evenVBand="0" w:oddHBand="0" w:evenHBand="0" w:firstRowFirstColumn="0" w:firstRowLastColumn="0" w:lastRowFirstColumn="0" w:lastRowLastColumn="0"/>
            </w:pPr>
            <w:r>
              <w:t>Renewable Energy Certificates</w:t>
            </w:r>
          </w:p>
          <w:p w14:paraId="28E01733" w14:textId="39AA3E58" w:rsidR="00A8145A" w:rsidRPr="008B2B6E" w:rsidRDefault="00926282" w:rsidP="008B2B6E">
            <w:pPr>
              <w:cnfStyle w:val="100000000000" w:firstRow="1" w:lastRow="0" w:firstColumn="0" w:lastColumn="0" w:oddVBand="0" w:evenVBand="0" w:oddHBand="0" w:evenHBand="0" w:firstRowFirstColumn="0" w:firstRowLastColumn="0" w:lastRowFirstColumn="0" w:lastRowLastColumn="0"/>
            </w:pPr>
            <w:hyperlink w:anchor="NotebTable42" w:history="1">
              <w:r w:rsidR="00A8145A" w:rsidRPr="008B2B6E">
                <w:rPr>
                  <w:rStyle w:val="Hyperlink"/>
                </w:rPr>
                <w:t>refer note b</w:t>
              </w:r>
            </w:hyperlink>
          </w:p>
          <w:p w14:paraId="574A8E21" w14:textId="00506FDD" w:rsidR="00601C34" w:rsidRPr="008B2B6E" w:rsidRDefault="00601C34" w:rsidP="008B2B6E">
            <w:pPr>
              <w:cnfStyle w:val="100000000000" w:firstRow="1" w:lastRow="0" w:firstColumn="0" w:lastColumn="0" w:oddVBand="0" w:evenVBand="0" w:oddHBand="0" w:evenHBand="0" w:firstRowFirstColumn="0" w:firstRowLastColumn="0" w:lastRowFirstColumn="0" w:lastRowLastColumn="0"/>
            </w:pPr>
            <w:r w:rsidRPr="008B2B6E">
              <w:t>($ thousands)</w:t>
            </w:r>
          </w:p>
        </w:tc>
        <w:tc>
          <w:tcPr>
            <w:tcW w:w="731" w:type="pct"/>
            <w:tcBorders>
              <w:top w:val="single" w:sz="4" w:space="0" w:color="auto"/>
            </w:tcBorders>
            <w:vAlign w:val="bottom"/>
          </w:tcPr>
          <w:p w14:paraId="5AD52325" w14:textId="76AAAEF8" w:rsidR="00601C34" w:rsidRPr="008B2B6E" w:rsidRDefault="00965CBF" w:rsidP="008B2B6E">
            <w:pPr>
              <w:cnfStyle w:val="100000000000" w:firstRow="1" w:lastRow="0" w:firstColumn="0" w:lastColumn="0" w:oddVBand="0" w:evenVBand="0" w:oddHBand="0" w:evenHBand="0" w:firstRowFirstColumn="0" w:firstRowLastColumn="0" w:lastRowFirstColumn="0" w:lastRowLastColumn="0"/>
            </w:pPr>
            <w:r>
              <w:t>Information Technology</w:t>
            </w:r>
          </w:p>
          <w:p w14:paraId="313EBA42" w14:textId="532695A7" w:rsidR="00A8145A" w:rsidRPr="008B2B6E" w:rsidRDefault="00926282" w:rsidP="008B2B6E">
            <w:pPr>
              <w:cnfStyle w:val="100000000000" w:firstRow="1" w:lastRow="0" w:firstColumn="0" w:lastColumn="0" w:oddVBand="0" w:evenVBand="0" w:oddHBand="0" w:evenHBand="0" w:firstRowFirstColumn="0" w:firstRowLastColumn="0" w:lastRowFirstColumn="0" w:lastRowLastColumn="0"/>
            </w:pPr>
            <w:hyperlink w:anchor="NotedTable42" w:history="1">
              <w:r w:rsidR="00A8145A" w:rsidRPr="008B2B6E">
                <w:rPr>
                  <w:rStyle w:val="Hyperlink"/>
                </w:rPr>
                <w:t>refer note c</w:t>
              </w:r>
            </w:hyperlink>
          </w:p>
          <w:p w14:paraId="1EDF28C1" w14:textId="659C7019" w:rsidR="00601C34" w:rsidRPr="008B2B6E" w:rsidRDefault="00601C34" w:rsidP="008B2B6E">
            <w:pPr>
              <w:cnfStyle w:val="100000000000" w:firstRow="1" w:lastRow="0" w:firstColumn="0" w:lastColumn="0" w:oddVBand="0" w:evenVBand="0" w:oddHBand="0" w:evenHBand="0" w:firstRowFirstColumn="0" w:firstRowLastColumn="0" w:lastRowFirstColumn="0" w:lastRowLastColumn="0"/>
            </w:pPr>
            <w:r w:rsidRPr="008B2B6E">
              <w:t>($ thousands)</w:t>
            </w:r>
          </w:p>
        </w:tc>
      </w:tr>
      <w:bookmarkEnd w:id="1033"/>
      <w:tr w:rsidR="00601C34" w:rsidRPr="0076797F" w14:paraId="652BE919"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7E77C80E" w14:textId="7AC023FB" w:rsidR="00601C34" w:rsidRPr="00601C34" w:rsidRDefault="00601C34" w:rsidP="008B2B6E">
            <w:pPr>
              <w:pStyle w:val="TableBodyText"/>
              <w:rPr>
                <w:rStyle w:val="Bold"/>
              </w:rPr>
            </w:pPr>
            <w:r w:rsidRPr="00601C34">
              <w:rPr>
                <w:rStyle w:val="Bold"/>
              </w:rPr>
              <w:t>Carrying amount at 1 July 2020</w:t>
            </w:r>
          </w:p>
        </w:tc>
        <w:tc>
          <w:tcPr>
            <w:tcW w:w="735" w:type="pct"/>
          </w:tcPr>
          <w:p w14:paraId="002F9670" w14:textId="35D5EDFE" w:rsid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t>51,406</w:t>
            </w:r>
          </w:p>
        </w:tc>
        <w:tc>
          <w:tcPr>
            <w:tcW w:w="737" w:type="pct"/>
            <w:vAlign w:val="top"/>
          </w:tcPr>
          <w:p w14:paraId="5442C748" w14:textId="6ED4B486" w:rsidR="00601C34" w:rsidRPr="0076797F"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t>1,758</w:t>
            </w:r>
          </w:p>
        </w:tc>
        <w:tc>
          <w:tcPr>
            <w:tcW w:w="731" w:type="pct"/>
            <w:vAlign w:val="top"/>
          </w:tcPr>
          <w:p w14:paraId="20E3FB49" w14:textId="38D67FB2" w:rsidR="00601C34" w:rsidRPr="0076797F" w:rsidRDefault="008B2B6E" w:rsidP="008B2B6E">
            <w:pPr>
              <w:pStyle w:val="TableBodyText"/>
              <w:cnfStyle w:val="000000000000" w:firstRow="0" w:lastRow="0" w:firstColumn="0" w:lastColumn="0" w:oddVBand="0" w:evenVBand="0" w:oddHBand="0" w:evenHBand="0" w:firstRowFirstColumn="0" w:firstRowLastColumn="0" w:lastRowFirstColumn="0" w:lastRowLastColumn="0"/>
            </w:pPr>
            <w:r>
              <w:t>49,648</w:t>
            </w:r>
          </w:p>
        </w:tc>
      </w:tr>
      <w:tr w:rsidR="00601C34" w:rsidRPr="0076797F" w14:paraId="08092FC2"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1C4569E2" w14:textId="7D39B0F9" w:rsidR="00601C34" w:rsidRPr="00601C34" w:rsidRDefault="00601C34" w:rsidP="008B2B6E">
            <w:pPr>
              <w:pStyle w:val="TableBodyText"/>
            </w:pPr>
            <w:r w:rsidRPr="00601C34">
              <w:t>Additions</w:t>
            </w:r>
          </w:p>
        </w:tc>
        <w:tc>
          <w:tcPr>
            <w:tcW w:w="735" w:type="pct"/>
          </w:tcPr>
          <w:p w14:paraId="2DFBBDB2" w14:textId="65523E80" w:rsid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t>7,043</w:t>
            </w:r>
          </w:p>
        </w:tc>
        <w:tc>
          <w:tcPr>
            <w:tcW w:w="737" w:type="pct"/>
            <w:vAlign w:val="top"/>
          </w:tcPr>
          <w:p w14:paraId="2DA93127" w14:textId="693D1913" w:rsidR="00A8145A"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t>7,043</w:t>
            </w:r>
          </w:p>
        </w:tc>
        <w:tc>
          <w:tcPr>
            <w:tcW w:w="731" w:type="pct"/>
            <w:vAlign w:val="top"/>
          </w:tcPr>
          <w:p w14:paraId="4ECF76B0" w14:textId="00D44332" w:rsid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t>N/A</w:t>
            </w:r>
          </w:p>
        </w:tc>
      </w:tr>
      <w:tr w:rsidR="00601C34" w:rsidRPr="00601C34" w14:paraId="2DBFB6E1"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3826A77B" w14:textId="47A039DB" w:rsidR="00601C34" w:rsidRPr="00601C34" w:rsidRDefault="00601C34" w:rsidP="008B2B6E">
            <w:pPr>
              <w:pStyle w:val="TableBodyText"/>
            </w:pPr>
            <w:r w:rsidRPr="00601C34">
              <w:t>Disposals</w:t>
            </w:r>
          </w:p>
        </w:tc>
        <w:tc>
          <w:tcPr>
            <w:tcW w:w="735" w:type="pct"/>
          </w:tcPr>
          <w:p w14:paraId="3DF3DF71" w14:textId="72E9BB72"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(5,176)</w:t>
            </w:r>
          </w:p>
        </w:tc>
        <w:tc>
          <w:tcPr>
            <w:tcW w:w="737" w:type="pct"/>
            <w:vAlign w:val="top"/>
          </w:tcPr>
          <w:p w14:paraId="4FCFD003" w14:textId="40135A06"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(5,176)</w:t>
            </w:r>
          </w:p>
        </w:tc>
        <w:tc>
          <w:tcPr>
            <w:tcW w:w="731" w:type="pct"/>
            <w:vAlign w:val="top"/>
          </w:tcPr>
          <w:p w14:paraId="726BD462" w14:textId="0836620E"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r>
      <w:tr w:rsidR="00601C34" w:rsidRPr="00601C34" w14:paraId="1D5F3880"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04CD6FF6" w14:textId="0A3FC35F" w:rsidR="00601C34" w:rsidRPr="00601C34" w:rsidRDefault="00601C34" w:rsidP="008B2B6E">
            <w:pPr>
              <w:pStyle w:val="TableBodyText"/>
            </w:pPr>
            <w:r w:rsidRPr="00601C34">
              <w:t>Amortisation</w:t>
            </w:r>
          </w:p>
        </w:tc>
        <w:tc>
          <w:tcPr>
            <w:tcW w:w="735" w:type="pct"/>
          </w:tcPr>
          <w:p w14:paraId="584CD5AE" w14:textId="1241E779"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(24,330)</w:t>
            </w:r>
          </w:p>
        </w:tc>
        <w:tc>
          <w:tcPr>
            <w:tcW w:w="737" w:type="pct"/>
            <w:vAlign w:val="top"/>
          </w:tcPr>
          <w:p w14:paraId="16AE5F96" w14:textId="03DF594E"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c>
          <w:tcPr>
            <w:tcW w:w="731" w:type="pct"/>
            <w:vAlign w:val="top"/>
          </w:tcPr>
          <w:p w14:paraId="3A95BC22" w14:textId="158B07B3"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(24,330)</w:t>
            </w:r>
          </w:p>
        </w:tc>
      </w:tr>
      <w:tr w:rsidR="00601C34" w:rsidRPr="00601C34" w14:paraId="232A1FF0"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3109D899" w14:textId="0A47FFCA" w:rsidR="00601C34" w:rsidRPr="00601C34" w:rsidRDefault="00601C34" w:rsidP="008B2B6E">
            <w:pPr>
              <w:pStyle w:val="TableBodyText"/>
            </w:pPr>
            <w:r w:rsidRPr="00601C34">
              <w:t>Transfers between classes</w:t>
            </w:r>
            <w:r w:rsidR="00A8145A">
              <w:t xml:space="preserve"> </w:t>
            </w:r>
            <w:hyperlink w:anchor="NoteaTable42" w:history="1">
              <w:r w:rsidR="00A8145A" w:rsidRPr="00A8145A">
                <w:rPr>
                  <w:rStyle w:val="Hyperlink"/>
                </w:rPr>
                <w:t>refer note a</w:t>
              </w:r>
            </w:hyperlink>
          </w:p>
        </w:tc>
        <w:tc>
          <w:tcPr>
            <w:tcW w:w="735" w:type="pct"/>
          </w:tcPr>
          <w:p w14:paraId="61C72A70" w14:textId="70D613BA"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(8)</w:t>
            </w:r>
          </w:p>
        </w:tc>
        <w:tc>
          <w:tcPr>
            <w:tcW w:w="737" w:type="pct"/>
            <w:vAlign w:val="top"/>
          </w:tcPr>
          <w:p w14:paraId="30B4081E" w14:textId="490CEBC8"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c>
          <w:tcPr>
            <w:tcW w:w="731" w:type="pct"/>
            <w:vAlign w:val="top"/>
          </w:tcPr>
          <w:p w14:paraId="05A8434A" w14:textId="6F523CD1"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(8)</w:t>
            </w:r>
          </w:p>
        </w:tc>
      </w:tr>
      <w:tr w:rsidR="00601C34" w:rsidRPr="00601C34" w14:paraId="01B38586"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1A924AA5" w14:textId="072C8CE0" w:rsidR="00601C34" w:rsidRPr="00601C34" w:rsidRDefault="00601C34" w:rsidP="008B2B6E">
            <w:pPr>
              <w:pStyle w:val="TableBodyText"/>
            </w:pPr>
            <w:r w:rsidRPr="00601C34">
              <w:t>Impairment</w:t>
            </w:r>
            <w:r w:rsidR="00A8145A">
              <w:t xml:space="preserve"> </w:t>
            </w:r>
            <w:hyperlink w:anchor="NotedTable42" w:history="1">
              <w:r w:rsidR="00A8145A" w:rsidRPr="00A8145A">
                <w:rPr>
                  <w:rStyle w:val="Hyperlink"/>
                </w:rPr>
                <w:t>refer note d</w:t>
              </w:r>
            </w:hyperlink>
          </w:p>
        </w:tc>
        <w:tc>
          <w:tcPr>
            <w:tcW w:w="735" w:type="pct"/>
          </w:tcPr>
          <w:p w14:paraId="79466ECF" w14:textId="7F01A391"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(21)</w:t>
            </w:r>
          </w:p>
        </w:tc>
        <w:tc>
          <w:tcPr>
            <w:tcW w:w="737" w:type="pct"/>
            <w:vAlign w:val="top"/>
          </w:tcPr>
          <w:p w14:paraId="1E15F75C" w14:textId="22A064C4"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(21)</w:t>
            </w:r>
          </w:p>
        </w:tc>
        <w:tc>
          <w:tcPr>
            <w:tcW w:w="731" w:type="pct"/>
            <w:vAlign w:val="top"/>
          </w:tcPr>
          <w:p w14:paraId="4BBF3726" w14:textId="2CF57C49"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r>
      <w:tr w:rsidR="00601C34" w:rsidRPr="00601C34" w14:paraId="14218FE1" w14:textId="77777777" w:rsidTr="008B2B6E">
        <w:tc>
          <w:tcPr>
            <w:cnfStyle w:val="001000000000" w:firstRow="0" w:lastRow="0" w:firstColumn="1" w:lastColumn="0" w:oddVBand="0" w:evenVBand="0" w:oddHBand="0" w:evenHBand="0" w:firstRowFirstColumn="0" w:firstRowLastColumn="0" w:lastRowFirstColumn="0" w:lastRowLastColumn="0"/>
            <w:tcW w:w="2797" w:type="pct"/>
            <w:tcBorders>
              <w:bottom w:val="single" w:sz="4" w:space="0" w:color="auto"/>
            </w:tcBorders>
            <w:vAlign w:val="top"/>
          </w:tcPr>
          <w:p w14:paraId="6FE6691A" w14:textId="5FA4C40A" w:rsidR="00601C34" w:rsidRPr="00601C34" w:rsidRDefault="00601C34" w:rsidP="008B2B6E">
            <w:pPr>
              <w:pStyle w:val="TableBodyText"/>
            </w:pPr>
            <w:r w:rsidRPr="00601C34">
              <w:t>Capital expenditure</w:t>
            </w:r>
          </w:p>
        </w:tc>
        <w:tc>
          <w:tcPr>
            <w:tcW w:w="735" w:type="pct"/>
            <w:tcBorders>
              <w:bottom w:val="single" w:sz="4" w:space="0" w:color="auto"/>
            </w:tcBorders>
          </w:tcPr>
          <w:p w14:paraId="755B0C98" w14:textId="21AF8709"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20,155</w:t>
            </w:r>
          </w:p>
        </w:tc>
        <w:tc>
          <w:tcPr>
            <w:tcW w:w="737" w:type="pct"/>
            <w:tcBorders>
              <w:bottom w:val="single" w:sz="4" w:space="0" w:color="auto"/>
            </w:tcBorders>
            <w:vAlign w:val="top"/>
          </w:tcPr>
          <w:p w14:paraId="40FF10B0" w14:textId="119E8E57"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c>
          <w:tcPr>
            <w:tcW w:w="731" w:type="pct"/>
            <w:tcBorders>
              <w:bottom w:val="single" w:sz="4" w:space="0" w:color="auto"/>
            </w:tcBorders>
            <w:vAlign w:val="top"/>
          </w:tcPr>
          <w:p w14:paraId="14301851" w14:textId="4F973343"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20,155</w:t>
            </w:r>
          </w:p>
        </w:tc>
      </w:tr>
      <w:tr w:rsidR="00601C34" w:rsidRPr="00601C34" w14:paraId="25C89124" w14:textId="77777777" w:rsidTr="008B2B6E">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vAlign w:val="top"/>
          </w:tcPr>
          <w:p w14:paraId="6C78554A" w14:textId="34DE3FD2" w:rsidR="00601C34" w:rsidRPr="00601C34" w:rsidRDefault="00601C34" w:rsidP="008B2B6E">
            <w:pPr>
              <w:pStyle w:val="TableBodyText"/>
              <w:rPr>
                <w:rStyle w:val="Bold"/>
              </w:rPr>
            </w:pPr>
            <w:r w:rsidRPr="00601C34">
              <w:rPr>
                <w:rStyle w:val="Bold"/>
              </w:rPr>
              <w:t>Carrying amount at 30 June 2021</w:t>
            </w:r>
          </w:p>
        </w:tc>
        <w:tc>
          <w:tcPr>
            <w:tcW w:w="735" w:type="pct"/>
            <w:tcBorders>
              <w:top w:val="single" w:sz="4" w:space="0" w:color="auto"/>
              <w:bottom w:val="single" w:sz="4" w:space="0" w:color="auto"/>
            </w:tcBorders>
          </w:tcPr>
          <w:p w14:paraId="5F6CF6F6" w14:textId="3E36638E"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1C34">
              <w:rPr>
                <w:rStyle w:val="Bold"/>
              </w:rPr>
              <w:t>49,069</w:t>
            </w:r>
          </w:p>
        </w:tc>
        <w:tc>
          <w:tcPr>
            <w:tcW w:w="737" w:type="pct"/>
            <w:tcBorders>
              <w:top w:val="single" w:sz="4" w:space="0" w:color="auto"/>
              <w:bottom w:val="single" w:sz="4" w:space="0" w:color="auto"/>
            </w:tcBorders>
            <w:vAlign w:val="top"/>
          </w:tcPr>
          <w:p w14:paraId="724B179A" w14:textId="11A3ED54"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1C34">
              <w:rPr>
                <w:rStyle w:val="Bold"/>
              </w:rPr>
              <w:t>3,604</w:t>
            </w:r>
          </w:p>
        </w:tc>
        <w:tc>
          <w:tcPr>
            <w:tcW w:w="731" w:type="pct"/>
            <w:tcBorders>
              <w:top w:val="single" w:sz="4" w:space="0" w:color="auto"/>
              <w:bottom w:val="single" w:sz="4" w:space="0" w:color="auto"/>
            </w:tcBorders>
            <w:vAlign w:val="top"/>
          </w:tcPr>
          <w:p w14:paraId="45D55FCA" w14:textId="3D350482"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1C34">
              <w:rPr>
                <w:rStyle w:val="Bold"/>
              </w:rPr>
              <w:t>45,465</w:t>
            </w:r>
          </w:p>
        </w:tc>
      </w:tr>
      <w:tr w:rsidR="00601C34" w:rsidRPr="00601C34" w14:paraId="2158EE95" w14:textId="77777777" w:rsidTr="008B2B6E">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tcBorders>
            <w:vAlign w:val="top"/>
          </w:tcPr>
          <w:p w14:paraId="628B5B92" w14:textId="40B36C43" w:rsidR="00601C34" w:rsidRPr="00601C34" w:rsidRDefault="00601C34" w:rsidP="008B2B6E">
            <w:pPr>
              <w:pStyle w:val="TableBodyText"/>
              <w:rPr>
                <w:rStyle w:val="Bold"/>
              </w:rPr>
            </w:pPr>
            <w:r w:rsidRPr="00601C34">
              <w:rPr>
                <w:rStyle w:val="Bold"/>
              </w:rPr>
              <w:t>Carrying amount at 1 July 2019</w:t>
            </w:r>
          </w:p>
        </w:tc>
        <w:tc>
          <w:tcPr>
            <w:tcW w:w="735" w:type="pct"/>
            <w:tcBorders>
              <w:top w:val="single" w:sz="4" w:space="0" w:color="auto"/>
            </w:tcBorders>
          </w:tcPr>
          <w:p w14:paraId="1744DF29" w14:textId="0942F628"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57,021</w:t>
            </w:r>
          </w:p>
        </w:tc>
        <w:tc>
          <w:tcPr>
            <w:tcW w:w="737" w:type="pct"/>
            <w:tcBorders>
              <w:top w:val="single" w:sz="4" w:space="0" w:color="auto"/>
            </w:tcBorders>
            <w:vAlign w:val="top"/>
          </w:tcPr>
          <w:p w14:paraId="4831E9AE" w14:textId="31EFF18A"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3,428</w:t>
            </w:r>
          </w:p>
        </w:tc>
        <w:tc>
          <w:tcPr>
            <w:tcW w:w="731" w:type="pct"/>
            <w:tcBorders>
              <w:top w:val="single" w:sz="4" w:space="0" w:color="auto"/>
            </w:tcBorders>
            <w:vAlign w:val="top"/>
          </w:tcPr>
          <w:p w14:paraId="3DDEA47C" w14:textId="38D9F63D"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53,593</w:t>
            </w:r>
          </w:p>
        </w:tc>
      </w:tr>
      <w:tr w:rsidR="00601C34" w:rsidRPr="00601C34" w14:paraId="75C3692B"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7311FB2E" w14:textId="5550C3BF" w:rsidR="00601C34" w:rsidRPr="00601C34" w:rsidRDefault="00601C34" w:rsidP="008B2B6E">
            <w:pPr>
              <w:pStyle w:val="TableBodyText"/>
            </w:pPr>
            <w:r w:rsidRPr="00601C34">
              <w:t>Additions</w:t>
            </w:r>
          </w:p>
        </w:tc>
        <w:tc>
          <w:tcPr>
            <w:tcW w:w="735" w:type="pct"/>
          </w:tcPr>
          <w:p w14:paraId="13DDF665" w14:textId="2FB75DDF"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7,389</w:t>
            </w:r>
          </w:p>
        </w:tc>
        <w:tc>
          <w:tcPr>
            <w:tcW w:w="737" w:type="pct"/>
            <w:vAlign w:val="top"/>
          </w:tcPr>
          <w:p w14:paraId="45423CB5" w14:textId="6888E183"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7,389</w:t>
            </w:r>
          </w:p>
        </w:tc>
        <w:tc>
          <w:tcPr>
            <w:tcW w:w="731" w:type="pct"/>
            <w:vAlign w:val="top"/>
          </w:tcPr>
          <w:p w14:paraId="191FD88D" w14:textId="2CCD4188"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r>
      <w:tr w:rsidR="00601C34" w:rsidRPr="00601C34" w14:paraId="49B8824B"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662DE5C5" w14:textId="7A3DB59E" w:rsidR="00601C34" w:rsidRPr="00601C34" w:rsidRDefault="00601C34" w:rsidP="008B2B6E">
            <w:pPr>
              <w:pStyle w:val="TableBodyText"/>
            </w:pPr>
            <w:r w:rsidRPr="00601C34">
              <w:t>Disposals</w:t>
            </w:r>
          </w:p>
        </w:tc>
        <w:tc>
          <w:tcPr>
            <w:tcW w:w="735" w:type="pct"/>
          </w:tcPr>
          <w:p w14:paraId="09D49222" w14:textId="18C5413D"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(10,104)</w:t>
            </w:r>
          </w:p>
        </w:tc>
        <w:tc>
          <w:tcPr>
            <w:tcW w:w="737" w:type="pct"/>
            <w:vAlign w:val="top"/>
          </w:tcPr>
          <w:p w14:paraId="3AF6D47B" w14:textId="779EFBAB"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(8,965)</w:t>
            </w:r>
          </w:p>
        </w:tc>
        <w:tc>
          <w:tcPr>
            <w:tcW w:w="731" w:type="pct"/>
            <w:vAlign w:val="top"/>
          </w:tcPr>
          <w:p w14:paraId="2A423A04" w14:textId="43F6897F"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(1,139)</w:t>
            </w:r>
          </w:p>
        </w:tc>
      </w:tr>
      <w:tr w:rsidR="00601C34" w:rsidRPr="00601C34" w14:paraId="6A0E140B"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02F4931C" w14:textId="368B3A02" w:rsidR="00601C34" w:rsidRPr="00601C34" w:rsidRDefault="00601C34" w:rsidP="008B2B6E">
            <w:pPr>
              <w:pStyle w:val="TableBodyText"/>
            </w:pPr>
            <w:r w:rsidRPr="00601C34">
              <w:t>Amortisation</w:t>
            </w:r>
          </w:p>
        </w:tc>
        <w:tc>
          <w:tcPr>
            <w:tcW w:w="735" w:type="pct"/>
          </w:tcPr>
          <w:p w14:paraId="7BBC52F0" w14:textId="7C4B2743"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(21,459)</w:t>
            </w:r>
          </w:p>
        </w:tc>
        <w:tc>
          <w:tcPr>
            <w:tcW w:w="737" w:type="pct"/>
            <w:vAlign w:val="top"/>
          </w:tcPr>
          <w:p w14:paraId="02C6C31F" w14:textId="7FA6526F"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c>
          <w:tcPr>
            <w:tcW w:w="731" w:type="pct"/>
            <w:vAlign w:val="top"/>
          </w:tcPr>
          <w:p w14:paraId="1E381F1B" w14:textId="1FBA351B"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(21,459)</w:t>
            </w:r>
          </w:p>
        </w:tc>
      </w:tr>
      <w:tr w:rsidR="00601C34" w:rsidRPr="00601C34" w14:paraId="32C1C43E"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39716748" w14:textId="53253275" w:rsidR="00A8145A" w:rsidRPr="00601C34" w:rsidRDefault="00601C34" w:rsidP="008B2B6E">
            <w:pPr>
              <w:pStyle w:val="TableBodyText"/>
            </w:pPr>
            <w:r w:rsidRPr="00601C34">
              <w:t>Transfers between classes</w:t>
            </w:r>
            <w:r w:rsidR="00A8145A">
              <w:t xml:space="preserve"> </w:t>
            </w:r>
            <w:hyperlink w:anchor="NoteaTable42" w:history="1">
              <w:r w:rsidR="00A8145A" w:rsidRPr="00A8145A">
                <w:rPr>
                  <w:rStyle w:val="Hyperlink"/>
                </w:rPr>
                <w:t>refer note a</w:t>
              </w:r>
            </w:hyperlink>
          </w:p>
        </w:tc>
        <w:tc>
          <w:tcPr>
            <w:tcW w:w="735" w:type="pct"/>
          </w:tcPr>
          <w:p w14:paraId="4E940B2C" w14:textId="269EDF28"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c>
          <w:tcPr>
            <w:tcW w:w="737" w:type="pct"/>
            <w:vAlign w:val="top"/>
          </w:tcPr>
          <w:p w14:paraId="207D84E8" w14:textId="3B652C6A"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c>
          <w:tcPr>
            <w:tcW w:w="731" w:type="pct"/>
            <w:vAlign w:val="top"/>
          </w:tcPr>
          <w:p w14:paraId="0A607DAB" w14:textId="5FD4058D"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r>
      <w:tr w:rsidR="00601C34" w:rsidRPr="00601C34" w14:paraId="0C118438" w14:textId="77777777" w:rsidTr="008B2B6E">
        <w:tc>
          <w:tcPr>
            <w:cnfStyle w:val="001000000000" w:firstRow="0" w:lastRow="0" w:firstColumn="1" w:lastColumn="0" w:oddVBand="0" w:evenVBand="0" w:oddHBand="0" w:evenHBand="0" w:firstRowFirstColumn="0" w:firstRowLastColumn="0" w:lastRowFirstColumn="0" w:lastRowLastColumn="0"/>
            <w:tcW w:w="2797" w:type="pct"/>
            <w:vAlign w:val="top"/>
          </w:tcPr>
          <w:p w14:paraId="0DFEFE5F" w14:textId="550D9E7A" w:rsidR="00A8145A" w:rsidRPr="00601C34" w:rsidRDefault="00601C34" w:rsidP="008B2B6E">
            <w:pPr>
              <w:pStyle w:val="TableBodyText"/>
            </w:pPr>
            <w:r w:rsidRPr="00601C34">
              <w:t>Impairment</w:t>
            </w:r>
            <w:r w:rsidR="00A8145A">
              <w:t xml:space="preserve"> </w:t>
            </w:r>
            <w:hyperlink w:anchor="NotecTable42" w:history="1">
              <w:r w:rsidR="00A8145A" w:rsidRPr="00A8145A">
                <w:rPr>
                  <w:rStyle w:val="Hyperlink"/>
                </w:rPr>
                <w:t>refer note c</w:t>
              </w:r>
            </w:hyperlink>
          </w:p>
        </w:tc>
        <w:tc>
          <w:tcPr>
            <w:tcW w:w="735" w:type="pct"/>
          </w:tcPr>
          <w:p w14:paraId="0A7142CE" w14:textId="105D9F1C"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(94)</w:t>
            </w:r>
          </w:p>
        </w:tc>
        <w:tc>
          <w:tcPr>
            <w:tcW w:w="737" w:type="pct"/>
            <w:vAlign w:val="top"/>
          </w:tcPr>
          <w:p w14:paraId="361C8678" w14:textId="6F341D70"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(94)</w:t>
            </w:r>
          </w:p>
        </w:tc>
        <w:tc>
          <w:tcPr>
            <w:tcW w:w="731" w:type="pct"/>
            <w:vAlign w:val="top"/>
          </w:tcPr>
          <w:p w14:paraId="7F5F74D1" w14:textId="4D44DBE9"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r>
      <w:tr w:rsidR="00601C34" w:rsidRPr="00601C34" w14:paraId="51E2980C" w14:textId="77777777" w:rsidTr="008B2B6E">
        <w:tc>
          <w:tcPr>
            <w:cnfStyle w:val="001000000000" w:firstRow="0" w:lastRow="0" w:firstColumn="1" w:lastColumn="0" w:oddVBand="0" w:evenVBand="0" w:oddHBand="0" w:evenHBand="0" w:firstRowFirstColumn="0" w:firstRowLastColumn="0" w:lastRowFirstColumn="0" w:lastRowLastColumn="0"/>
            <w:tcW w:w="2797" w:type="pct"/>
            <w:tcBorders>
              <w:bottom w:val="single" w:sz="4" w:space="0" w:color="auto"/>
            </w:tcBorders>
            <w:vAlign w:val="top"/>
          </w:tcPr>
          <w:p w14:paraId="77A5BB09" w14:textId="39C0635D" w:rsidR="00601C34" w:rsidRPr="00601C34" w:rsidRDefault="00601C34" w:rsidP="008B2B6E">
            <w:pPr>
              <w:pStyle w:val="TableBodyText"/>
            </w:pPr>
            <w:r w:rsidRPr="00601C34">
              <w:t>Capital expenditure</w:t>
            </w:r>
          </w:p>
        </w:tc>
        <w:tc>
          <w:tcPr>
            <w:tcW w:w="735" w:type="pct"/>
            <w:tcBorders>
              <w:bottom w:val="single" w:sz="4" w:space="0" w:color="auto"/>
            </w:tcBorders>
          </w:tcPr>
          <w:p w14:paraId="2C053A76" w14:textId="0C22F856"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18,653</w:t>
            </w:r>
          </w:p>
        </w:tc>
        <w:tc>
          <w:tcPr>
            <w:tcW w:w="737" w:type="pct"/>
            <w:tcBorders>
              <w:bottom w:val="single" w:sz="4" w:space="0" w:color="auto"/>
            </w:tcBorders>
            <w:vAlign w:val="top"/>
          </w:tcPr>
          <w:p w14:paraId="5FA093D0" w14:textId="615C4B30"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c>
          <w:tcPr>
            <w:tcW w:w="731" w:type="pct"/>
            <w:tcBorders>
              <w:bottom w:val="single" w:sz="4" w:space="0" w:color="auto"/>
            </w:tcBorders>
            <w:vAlign w:val="top"/>
          </w:tcPr>
          <w:p w14:paraId="2E536F53" w14:textId="34630276"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pPr>
            <w:r w:rsidRPr="00601C34">
              <w:t>18,653</w:t>
            </w:r>
          </w:p>
        </w:tc>
      </w:tr>
      <w:tr w:rsidR="00601C34" w:rsidRPr="00601C34" w14:paraId="79A80C77" w14:textId="77777777" w:rsidTr="008B2B6E">
        <w:tc>
          <w:tcPr>
            <w:cnfStyle w:val="001000000000" w:firstRow="0" w:lastRow="0" w:firstColumn="1" w:lastColumn="0" w:oddVBand="0" w:evenVBand="0" w:oddHBand="0" w:evenHBand="0" w:firstRowFirstColumn="0" w:firstRowLastColumn="0" w:lastRowFirstColumn="0" w:lastRowLastColumn="0"/>
            <w:tcW w:w="2797" w:type="pct"/>
            <w:tcBorders>
              <w:top w:val="single" w:sz="4" w:space="0" w:color="auto"/>
              <w:bottom w:val="single" w:sz="4" w:space="0" w:color="auto"/>
            </w:tcBorders>
            <w:vAlign w:val="top"/>
          </w:tcPr>
          <w:p w14:paraId="3CFDAE3E" w14:textId="3FF3D629" w:rsidR="00601C34" w:rsidRPr="00601C34" w:rsidRDefault="00601C34" w:rsidP="008B2B6E">
            <w:pPr>
              <w:pStyle w:val="TableBodyText"/>
              <w:rPr>
                <w:rStyle w:val="Bold"/>
              </w:rPr>
            </w:pPr>
            <w:r w:rsidRPr="00601C34">
              <w:rPr>
                <w:rStyle w:val="Bold"/>
              </w:rPr>
              <w:t>Carrying amount at 30 June 2020</w:t>
            </w:r>
          </w:p>
        </w:tc>
        <w:tc>
          <w:tcPr>
            <w:tcW w:w="735" w:type="pct"/>
            <w:tcBorders>
              <w:top w:val="single" w:sz="4" w:space="0" w:color="auto"/>
              <w:bottom w:val="single" w:sz="4" w:space="0" w:color="auto"/>
            </w:tcBorders>
          </w:tcPr>
          <w:p w14:paraId="6B126826" w14:textId="2D2AF9A6"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1C34">
              <w:rPr>
                <w:rStyle w:val="Bold"/>
              </w:rPr>
              <w:t>51,406</w:t>
            </w:r>
          </w:p>
        </w:tc>
        <w:tc>
          <w:tcPr>
            <w:tcW w:w="737" w:type="pct"/>
            <w:tcBorders>
              <w:top w:val="single" w:sz="4" w:space="0" w:color="auto"/>
              <w:bottom w:val="single" w:sz="4" w:space="0" w:color="auto"/>
            </w:tcBorders>
            <w:vAlign w:val="top"/>
          </w:tcPr>
          <w:p w14:paraId="3C325BA9" w14:textId="254FEAFD"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1C34">
              <w:rPr>
                <w:rStyle w:val="Bold"/>
              </w:rPr>
              <w:t>1,758</w:t>
            </w:r>
          </w:p>
        </w:tc>
        <w:tc>
          <w:tcPr>
            <w:tcW w:w="731" w:type="pct"/>
            <w:tcBorders>
              <w:top w:val="single" w:sz="4" w:space="0" w:color="auto"/>
              <w:bottom w:val="single" w:sz="4" w:space="0" w:color="auto"/>
            </w:tcBorders>
            <w:vAlign w:val="top"/>
          </w:tcPr>
          <w:p w14:paraId="72F344EC" w14:textId="5EAF2ED0" w:rsidR="00601C34" w:rsidRPr="00601C34" w:rsidRDefault="00601C34"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1C34">
              <w:rPr>
                <w:rStyle w:val="Bold"/>
              </w:rPr>
              <w:t>49,648</w:t>
            </w:r>
          </w:p>
        </w:tc>
      </w:tr>
    </w:tbl>
    <w:p w14:paraId="328D49BD" w14:textId="77777777" w:rsidR="00601C34" w:rsidRDefault="00601C34" w:rsidP="00601C34">
      <w:pPr>
        <w:pStyle w:val="BodyText"/>
      </w:pPr>
      <w:r>
        <w:t>Note:</w:t>
      </w:r>
    </w:p>
    <w:p w14:paraId="7152A97B" w14:textId="6014653E" w:rsidR="00601C34" w:rsidRDefault="00601C34" w:rsidP="00601C34">
      <w:pPr>
        <w:pStyle w:val="BodyText"/>
      </w:pPr>
      <w:bookmarkStart w:id="1034" w:name="NoteaTable42"/>
      <w:r>
        <w:t xml:space="preserve">(a) </w:t>
      </w:r>
      <w:bookmarkEnd w:id="1034"/>
      <w:r>
        <w:t xml:space="preserve">Includes transfers to physical assets, refer to </w:t>
      </w:r>
      <w:r w:rsidR="00345013">
        <w:fldChar w:fldCharType="begin"/>
      </w:r>
      <w:r w:rsidR="00345013">
        <w:instrText xml:space="preserve"> REF Note411 \h </w:instrText>
      </w:r>
      <w:r w:rsidR="00345013">
        <w:fldChar w:fldCharType="separate"/>
      </w:r>
      <w:r w:rsidR="00472151">
        <w:t xml:space="preserve">4.1.1 </w:t>
      </w:r>
      <w:r w:rsidR="00345013">
        <w:fldChar w:fldCharType="end"/>
      </w:r>
      <w:r>
        <w:t>.</w:t>
      </w:r>
    </w:p>
    <w:p w14:paraId="0B3CBB03" w14:textId="77777777" w:rsidR="00601C34" w:rsidRDefault="00601C34" w:rsidP="00601C34">
      <w:pPr>
        <w:pStyle w:val="BodyText"/>
      </w:pPr>
      <w:bookmarkStart w:id="1035" w:name="NotebTable42"/>
      <w:r>
        <w:t xml:space="preserve">(b) </w:t>
      </w:r>
      <w:bookmarkEnd w:id="1035"/>
      <w:r>
        <w:t>Renewable Energy Certificates (RECs).</w:t>
      </w:r>
    </w:p>
    <w:p w14:paraId="33DF2826" w14:textId="77777777" w:rsidR="00601C34" w:rsidRDefault="00601C34" w:rsidP="00601C34">
      <w:pPr>
        <w:pStyle w:val="BodyText"/>
      </w:pPr>
      <w:bookmarkStart w:id="1036" w:name="NotecTable42"/>
      <w:r>
        <w:t xml:space="preserve">(c) </w:t>
      </w:r>
      <w:bookmarkEnd w:id="1036"/>
      <w:r>
        <w:t>Information Technology.</w:t>
      </w:r>
    </w:p>
    <w:p w14:paraId="19A31BB9" w14:textId="13140D47" w:rsidR="003E54E5" w:rsidRDefault="00601C34" w:rsidP="00601C34">
      <w:pPr>
        <w:pStyle w:val="BodyText"/>
      </w:pPr>
      <w:bookmarkStart w:id="1037" w:name="NotedTable42"/>
      <w:r>
        <w:t>(d)</w:t>
      </w:r>
      <w:bookmarkEnd w:id="1037"/>
      <w:r>
        <w:t xml:space="preserve"> Impairment recognised in the income statement as other expenses $0.02 million (2019-20 :$0.1 million).</w:t>
      </w:r>
    </w:p>
    <w:p w14:paraId="1127950F" w14:textId="27CAA202" w:rsidR="000F549E" w:rsidRDefault="00A8145A" w:rsidP="002B25DA">
      <w:pPr>
        <w:pStyle w:val="BodyText"/>
        <w:keepLines/>
      </w:pPr>
      <w:r w:rsidRPr="00A8145A">
        <w:rPr>
          <w:rStyle w:val="Bold"/>
        </w:rPr>
        <w:lastRenderedPageBreak/>
        <w:t>Intangible assets</w:t>
      </w:r>
      <w:r>
        <w:t xml:space="preserve"> consist primarily of information technology software and </w:t>
      </w:r>
      <w:r w:rsidR="00A52F94">
        <w:t>Renewable Energy Certificates</w:t>
      </w:r>
      <w:r>
        <w:t>. They represent identifiable non-monetary assets without physical substance. Intangible assets are measured at cost less accumulated amortisation (</w:t>
      </w:r>
      <w:r w:rsidR="00A52F94">
        <w:t>Renewable Energy Certificates</w:t>
      </w:r>
      <w:r>
        <w:t xml:space="preserve"> are not amortised) and impairment. Costs incurred subsequent to initial acquisition are capitalised when it is expected that additional future economic benefits will flow to the Corporation. Directly attributable costs incurred associated with acquisition of software as a service arrangement are capitalised where they meet the recognition criteria of intangible assets, otherwise are expensed.</w:t>
      </w:r>
    </w:p>
    <w:p w14:paraId="722DE549" w14:textId="022D3E43" w:rsidR="00A8145A" w:rsidRDefault="00A8145A" w:rsidP="00A8145A">
      <w:pPr>
        <w:pStyle w:val="BodyText"/>
      </w:pPr>
      <w:r>
        <w:t>The Corporation amortises intangible assets with a limited useful life using the straight line method over the estimated useful lives. Amortisation begins when the asset is available for use, that is, when it is in the location and condition necessary for it to be capable of operating in the manner intended by management. The useful life and amortisation method is reviewed at the end of each annual reporting period. In addition, an assessment is made at the end of each reporting period to determine whether there are indicators that the intangible asset concerned is impaired. If so, the assets concerned are tested as to whether their carrying value exceeds their recoverable amount.</w:t>
      </w:r>
    </w:p>
    <w:p w14:paraId="1CBA2EB0" w14:textId="2C45750A" w:rsidR="00A8145A" w:rsidRDefault="00F82928" w:rsidP="00F82928">
      <w:pPr>
        <w:pStyle w:val="Heading3"/>
      </w:pPr>
      <w:bookmarkStart w:id="1038" w:name="Note43"/>
      <w:bookmarkStart w:id="1039" w:name="_Toc89723134"/>
      <w:bookmarkStart w:id="1040" w:name="_Ref89844073"/>
      <w:bookmarkStart w:id="1041" w:name="_Ref89845466"/>
      <w:bookmarkStart w:id="1042" w:name="_Toc90326079"/>
      <w:bookmarkStart w:id="1043" w:name="_Toc93659485"/>
      <w:r w:rsidRPr="00F82928">
        <w:t xml:space="preserve">4.3 </w:t>
      </w:r>
      <w:bookmarkEnd w:id="1038"/>
      <w:r w:rsidRPr="00F82928">
        <w:t>Non-current assets held for sale</w:t>
      </w:r>
      <w:bookmarkEnd w:id="1039"/>
      <w:bookmarkEnd w:id="1040"/>
      <w:bookmarkEnd w:id="1041"/>
      <w:bookmarkEnd w:id="1042"/>
      <w:bookmarkEnd w:id="1043"/>
    </w:p>
    <w:tbl>
      <w:tblPr>
        <w:tblStyle w:val="Style1"/>
        <w:tblW w:w="5000" w:type="pct"/>
        <w:tblLook w:val="04A0" w:firstRow="1" w:lastRow="0" w:firstColumn="1" w:lastColumn="0" w:noHBand="0" w:noVBand="1"/>
      </w:tblPr>
      <w:tblGrid>
        <w:gridCol w:w="6522"/>
        <w:gridCol w:w="1558"/>
        <w:gridCol w:w="1551"/>
      </w:tblGrid>
      <w:tr w:rsidR="00F82928" w:rsidRPr="008B2B6E" w14:paraId="4ABFD41B"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2CEA060E" w14:textId="77777777" w:rsidR="00F82928" w:rsidRPr="008B2B6E" w:rsidRDefault="00F82928" w:rsidP="008B2B6E">
            <w:bookmarkStart w:id="1044" w:name="ColumnTitle_74"/>
            <w:r w:rsidRPr="008B2B6E">
              <w:t>Item</w:t>
            </w:r>
          </w:p>
        </w:tc>
        <w:tc>
          <w:tcPr>
            <w:tcW w:w="809" w:type="pct"/>
            <w:tcBorders>
              <w:top w:val="single" w:sz="4" w:space="0" w:color="auto"/>
            </w:tcBorders>
            <w:vAlign w:val="bottom"/>
          </w:tcPr>
          <w:p w14:paraId="40B7AD77" w14:textId="4BE70291" w:rsidR="00F82928" w:rsidRPr="008B2B6E" w:rsidRDefault="00F82928" w:rsidP="008B2B6E">
            <w:pPr>
              <w:cnfStyle w:val="100000000000" w:firstRow="1" w:lastRow="0" w:firstColumn="0" w:lastColumn="0" w:oddVBand="0" w:evenVBand="0" w:oddHBand="0" w:evenHBand="0" w:firstRowFirstColumn="0" w:firstRowLastColumn="0" w:lastRowFirstColumn="0" w:lastRowLastColumn="0"/>
            </w:pPr>
            <w:r w:rsidRPr="008B2B6E">
              <w:t xml:space="preserve">2021 </w:t>
            </w:r>
          </w:p>
          <w:p w14:paraId="61867E7A" w14:textId="77777777" w:rsidR="00F82928" w:rsidRPr="008B2B6E" w:rsidRDefault="00F82928" w:rsidP="008B2B6E">
            <w:pPr>
              <w:cnfStyle w:val="100000000000" w:firstRow="1" w:lastRow="0" w:firstColumn="0" w:lastColumn="0" w:oddVBand="0" w:evenVBand="0" w:oddHBand="0" w:evenHBand="0" w:firstRowFirstColumn="0" w:firstRowLastColumn="0" w:lastRowFirstColumn="0" w:lastRowLastColumn="0"/>
            </w:pPr>
            <w:r w:rsidRPr="008B2B6E">
              <w:t>($ thousands)</w:t>
            </w:r>
          </w:p>
        </w:tc>
        <w:tc>
          <w:tcPr>
            <w:tcW w:w="805" w:type="pct"/>
            <w:tcBorders>
              <w:top w:val="single" w:sz="4" w:space="0" w:color="auto"/>
            </w:tcBorders>
            <w:vAlign w:val="bottom"/>
          </w:tcPr>
          <w:p w14:paraId="7723BB00" w14:textId="35DBB66E" w:rsidR="00F82928" w:rsidRPr="008B2B6E" w:rsidRDefault="00F82928" w:rsidP="008B2B6E">
            <w:pPr>
              <w:cnfStyle w:val="100000000000" w:firstRow="1" w:lastRow="0" w:firstColumn="0" w:lastColumn="0" w:oddVBand="0" w:evenVBand="0" w:oddHBand="0" w:evenHBand="0" w:firstRowFirstColumn="0" w:firstRowLastColumn="0" w:lastRowFirstColumn="0" w:lastRowLastColumn="0"/>
            </w:pPr>
            <w:r w:rsidRPr="008B2B6E">
              <w:t xml:space="preserve">2020 </w:t>
            </w:r>
          </w:p>
          <w:p w14:paraId="30C9DA13" w14:textId="77777777" w:rsidR="00F82928" w:rsidRPr="008B2B6E" w:rsidRDefault="00F82928" w:rsidP="008B2B6E">
            <w:pPr>
              <w:cnfStyle w:val="100000000000" w:firstRow="1" w:lastRow="0" w:firstColumn="0" w:lastColumn="0" w:oddVBand="0" w:evenVBand="0" w:oddHBand="0" w:evenHBand="0" w:firstRowFirstColumn="0" w:firstRowLastColumn="0" w:lastRowFirstColumn="0" w:lastRowLastColumn="0"/>
            </w:pPr>
            <w:r w:rsidRPr="008B2B6E">
              <w:t>($ thousands)</w:t>
            </w:r>
          </w:p>
        </w:tc>
      </w:tr>
      <w:bookmarkEnd w:id="1044"/>
      <w:tr w:rsidR="00F82928" w:rsidRPr="0076797F" w14:paraId="493717EA" w14:textId="77777777" w:rsidTr="008B2B6E">
        <w:tc>
          <w:tcPr>
            <w:cnfStyle w:val="001000000000" w:firstRow="0" w:lastRow="0" w:firstColumn="1" w:lastColumn="0" w:oddVBand="0" w:evenVBand="0" w:oddHBand="0" w:evenHBand="0" w:firstRowFirstColumn="0" w:firstRowLastColumn="0" w:lastRowFirstColumn="0" w:lastRowLastColumn="0"/>
            <w:tcW w:w="3385" w:type="pct"/>
            <w:vAlign w:val="top"/>
          </w:tcPr>
          <w:p w14:paraId="41AEF04B" w14:textId="64EA5531" w:rsidR="00F82928" w:rsidRPr="00601C34" w:rsidRDefault="00F82928" w:rsidP="008B2B6E">
            <w:pPr>
              <w:pStyle w:val="TableBodyText"/>
            </w:pPr>
            <w:r>
              <w:t>Land</w:t>
            </w:r>
          </w:p>
        </w:tc>
        <w:tc>
          <w:tcPr>
            <w:tcW w:w="809" w:type="pct"/>
            <w:vAlign w:val="top"/>
          </w:tcPr>
          <w:p w14:paraId="4E7D3768" w14:textId="250BD7BD" w:rsidR="00F82928" w:rsidRDefault="00F82928" w:rsidP="008B2B6E">
            <w:pPr>
              <w:pStyle w:val="TableBodyText"/>
              <w:cnfStyle w:val="000000000000" w:firstRow="0" w:lastRow="0" w:firstColumn="0" w:lastColumn="0" w:oddVBand="0" w:evenVBand="0" w:oddHBand="0" w:evenHBand="0" w:firstRowFirstColumn="0" w:firstRowLastColumn="0" w:lastRowFirstColumn="0" w:lastRowLastColumn="0"/>
            </w:pPr>
            <w:r>
              <w:t>19,555</w:t>
            </w:r>
          </w:p>
        </w:tc>
        <w:tc>
          <w:tcPr>
            <w:tcW w:w="805" w:type="pct"/>
            <w:vAlign w:val="top"/>
          </w:tcPr>
          <w:p w14:paraId="34C3739D" w14:textId="4D5DF50D" w:rsidR="00F82928" w:rsidRDefault="00F82928" w:rsidP="008B2B6E">
            <w:pPr>
              <w:pStyle w:val="TableBodyText"/>
              <w:cnfStyle w:val="000000000000" w:firstRow="0" w:lastRow="0" w:firstColumn="0" w:lastColumn="0" w:oddVBand="0" w:evenVBand="0" w:oddHBand="0" w:evenHBand="0" w:firstRowFirstColumn="0" w:firstRowLastColumn="0" w:lastRowFirstColumn="0" w:lastRowLastColumn="0"/>
            </w:pPr>
            <w:r>
              <w:t>9,086</w:t>
            </w:r>
          </w:p>
        </w:tc>
      </w:tr>
      <w:tr w:rsidR="00F82928" w:rsidRPr="00601C34" w14:paraId="63DEB475" w14:textId="77777777" w:rsidTr="008B2B6E">
        <w:tc>
          <w:tcPr>
            <w:cnfStyle w:val="001000000000" w:firstRow="0" w:lastRow="0" w:firstColumn="1" w:lastColumn="0" w:oddVBand="0" w:evenVBand="0" w:oddHBand="0" w:evenHBand="0" w:firstRowFirstColumn="0" w:firstRowLastColumn="0" w:lastRowFirstColumn="0" w:lastRowLastColumn="0"/>
            <w:tcW w:w="3385" w:type="pct"/>
            <w:vAlign w:val="top"/>
          </w:tcPr>
          <w:p w14:paraId="619D4997" w14:textId="06545D69" w:rsidR="00F82928" w:rsidRPr="00601C34" w:rsidRDefault="00F82928" w:rsidP="008B2B6E">
            <w:pPr>
              <w:pStyle w:val="TableBodyText"/>
            </w:pPr>
            <w:r>
              <w:t>Buildings</w:t>
            </w:r>
          </w:p>
        </w:tc>
        <w:tc>
          <w:tcPr>
            <w:tcW w:w="809" w:type="pct"/>
            <w:vAlign w:val="top"/>
          </w:tcPr>
          <w:p w14:paraId="7A8947C8" w14:textId="72084910" w:rsidR="00F82928" w:rsidRPr="00601C34" w:rsidRDefault="00F82928" w:rsidP="008B2B6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7F93CAF9" w14:textId="77777777" w:rsidR="00F82928" w:rsidRPr="00601C34" w:rsidRDefault="00F82928" w:rsidP="008B2B6E">
            <w:pPr>
              <w:pStyle w:val="TableBodyText"/>
              <w:cnfStyle w:val="000000000000" w:firstRow="0" w:lastRow="0" w:firstColumn="0" w:lastColumn="0" w:oddVBand="0" w:evenVBand="0" w:oddHBand="0" w:evenHBand="0" w:firstRowFirstColumn="0" w:firstRowLastColumn="0" w:lastRowFirstColumn="0" w:lastRowLastColumn="0"/>
            </w:pPr>
            <w:r w:rsidRPr="00601C34">
              <w:t>N/A</w:t>
            </w:r>
          </w:p>
        </w:tc>
      </w:tr>
      <w:tr w:rsidR="00F82928" w:rsidRPr="00601C34" w14:paraId="1D7ABCA2" w14:textId="77777777" w:rsidTr="008B2B6E">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4A6BF733" w14:textId="5DA7E773" w:rsidR="00F82928" w:rsidRPr="00601C34" w:rsidRDefault="00F82928" w:rsidP="008B2B6E">
            <w:pPr>
              <w:pStyle w:val="TableBodyText"/>
              <w:rPr>
                <w:rStyle w:val="Bold"/>
              </w:rPr>
            </w:pPr>
            <w:r>
              <w:rPr>
                <w:rStyle w:val="Bold"/>
              </w:rPr>
              <w:t>Total non-current assets held for sale</w:t>
            </w:r>
          </w:p>
        </w:tc>
        <w:tc>
          <w:tcPr>
            <w:tcW w:w="809" w:type="pct"/>
            <w:tcBorders>
              <w:top w:val="single" w:sz="4" w:space="0" w:color="auto"/>
              <w:bottom w:val="single" w:sz="4" w:space="0" w:color="auto"/>
            </w:tcBorders>
            <w:vAlign w:val="top"/>
          </w:tcPr>
          <w:p w14:paraId="67BA0FD4" w14:textId="20878A7C" w:rsidR="00F82928" w:rsidRPr="00601C34" w:rsidRDefault="00F82928"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19,555</w:t>
            </w:r>
          </w:p>
        </w:tc>
        <w:tc>
          <w:tcPr>
            <w:tcW w:w="805" w:type="pct"/>
            <w:tcBorders>
              <w:top w:val="single" w:sz="4" w:space="0" w:color="auto"/>
              <w:bottom w:val="single" w:sz="4" w:space="0" w:color="auto"/>
            </w:tcBorders>
            <w:vAlign w:val="top"/>
          </w:tcPr>
          <w:p w14:paraId="67FE2FC0" w14:textId="0FFEEB6C" w:rsidR="00F82928" w:rsidRPr="00601C34" w:rsidRDefault="00F82928" w:rsidP="008B2B6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9,086</w:t>
            </w:r>
          </w:p>
        </w:tc>
      </w:tr>
    </w:tbl>
    <w:p w14:paraId="7C720083" w14:textId="6A19BE06" w:rsidR="00F82928" w:rsidRDefault="00F82928" w:rsidP="00F82928">
      <w:pPr>
        <w:pStyle w:val="BodyText"/>
      </w:pPr>
      <w:r>
        <w:t>The Corporation currently holds land for sale mainly as part of the Riverwalk Estate (Werribee) development. As at 30 June 2021, the Corporation has a joint arrangement with Development Victoria to actively market Riverwalk Estate lots for private sale.</w:t>
      </w:r>
    </w:p>
    <w:p w14:paraId="308AAEE9" w14:textId="67EC932F" w:rsidR="00F82928" w:rsidRDefault="00F82928" w:rsidP="00F82928">
      <w:pPr>
        <w:pStyle w:val="BodyText"/>
      </w:pPr>
      <w:r>
        <w:t>Riverwalk Estate is a 197 hectare site which was previously part of the Werribee Treatment Plant. The land is owned by the Corporation. The Corporation has entered a Partnering Deed with Development Victoria to develop the land with an estimated 2,260 homes at the completion of the project.</w:t>
      </w:r>
    </w:p>
    <w:p w14:paraId="63D339C0" w14:textId="61E7F237" w:rsidR="00F82928" w:rsidRDefault="00F82928" w:rsidP="00F82928">
      <w:pPr>
        <w:pStyle w:val="BodyText"/>
      </w:pPr>
      <w:r>
        <w:t xml:space="preserve">The Corporation has accounted for all assets, liabilities, revenues and expenses relating to its interest in the joint operation in accordance with the </w:t>
      </w:r>
      <w:r w:rsidRPr="00F82928">
        <w:rPr>
          <w:rStyle w:val="ItalicText"/>
        </w:rPr>
        <w:t>AASB 11 Joint Arrangements</w:t>
      </w:r>
      <w:r>
        <w:t>.</w:t>
      </w:r>
    </w:p>
    <w:p w14:paraId="395B751C" w14:textId="1A44075E" w:rsidR="00F82928" w:rsidRDefault="00F82928" w:rsidP="00F82928">
      <w:pPr>
        <w:pStyle w:val="BodyText"/>
      </w:pPr>
      <w:r>
        <w:t>Refer to 4.1.2 for further details on fair value measurement of non-current assets held for sale.</w:t>
      </w:r>
    </w:p>
    <w:p w14:paraId="1F2F48E6" w14:textId="77777777" w:rsidR="00F82928" w:rsidRDefault="00F82928" w:rsidP="003B2899">
      <w:pPr>
        <w:pStyle w:val="Heading3"/>
      </w:pPr>
      <w:bookmarkStart w:id="1045" w:name="Note44"/>
      <w:bookmarkStart w:id="1046" w:name="_Toc89723135"/>
      <w:bookmarkStart w:id="1047" w:name="_Ref89844082"/>
      <w:bookmarkStart w:id="1048" w:name="_Ref89845474"/>
      <w:bookmarkStart w:id="1049" w:name="_Toc90326080"/>
      <w:bookmarkStart w:id="1050" w:name="_Toc93659486"/>
      <w:r>
        <w:lastRenderedPageBreak/>
        <w:t xml:space="preserve">4.4 </w:t>
      </w:r>
      <w:bookmarkEnd w:id="1045"/>
      <w:r>
        <w:t>Right of use assets and leases</w:t>
      </w:r>
      <w:bookmarkEnd w:id="1046"/>
      <w:bookmarkEnd w:id="1047"/>
      <w:bookmarkEnd w:id="1048"/>
      <w:bookmarkEnd w:id="1049"/>
      <w:bookmarkEnd w:id="1050"/>
    </w:p>
    <w:p w14:paraId="740C5BB8" w14:textId="77777777" w:rsidR="00F82928" w:rsidRDefault="00F82928" w:rsidP="003B2899">
      <w:pPr>
        <w:pStyle w:val="BodyText"/>
        <w:keepNext/>
        <w:keepLines/>
      </w:pPr>
      <w:r>
        <w:t xml:space="preserve">This note provides information for leases where the Corporation is a lessee. </w:t>
      </w:r>
    </w:p>
    <w:p w14:paraId="04A87E67" w14:textId="7C7CF827" w:rsidR="00F82928" w:rsidRDefault="00596526" w:rsidP="003B2899">
      <w:pPr>
        <w:pStyle w:val="Heading4"/>
      </w:pPr>
      <w:r>
        <w:t xml:space="preserve">(i) </w:t>
      </w:r>
      <w:r w:rsidR="00F82928" w:rsidRPr="00596526">
        <w:t>Amounts</w:t>
      </w:r>
      <w:r w:rsidR="00F82928">
        <w:t xml:space="preserve"> recognised in the Statement of Financial Position</w:t>
      </w:r>
    </w:p>
    <w:p w14:paraId="3F56EC3E" w14:textId="28D52CC9" w:rsidR="00596526" w:rsidRPr="00596526" w:rsidRDefault="00596526" w:rsidP="003B2899">
      <w:pPr>
        <w:pStyle w:val="BodyText"/>
        <w:keepNext/>
        <w:keepLines/>
        <w:rPr>
          <w:lang w:eastAsia="en-US"/>
        </w:rPr>
      </w:pPr>
      <w:r w:rsidRPr="00596526">
        <w:rPr>
          <w:lang w:eastAsia="en-US"/>
        </w:rPr>
        <w:t>The Statement of Financial Position shows the following amounts relating to leases:</w:t>
      </w:r>
    </w:p>
    <w:tbl>
      <w:tblPr>
        <w:tblStyle w:val="Style1"/>
        <w:tblW w:w="5000" w:type="pct"/>
        <w:tblLook w:val="04A0" w:firstRow="1" w:lastRow="0" w:firstColumn="1" w:lastColumn="0" w:noHBand="0" w:noVBand="1"/>
      </w:tblPr>
      <w:tblGrid>
        <w:gridCol w:w="6522"/>
        <w:gridCol w:w="1558"/>
        <w:gridCol w:w="1551"/>
      </w:tblGrid>
      <w:tr w:rsidR="00F82928" w:rsidRPr="00BD522C" w14:paraId="44D3DBBA"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219DC166" w14:textId="77777777" w:rsidR="00F82928" w:rsidRPr="00BD522C" w:rsidRDefault="00F82928" w:rsidP="003B2899">
            <w:pPr>
              <w:keepNext/>
              <w:keepLines/>
            </w:pPr>
            <w:bookmarkStart w:id="1051" w:name="ColumnTitle_75"/>
            <w:r w:rsidRPr="00BD522C">
              <w:t>Item</w:t>
            </w:r>
          </w:p>
        </w:tc>
        <w:tc>
          <w:tcPr>
            <w:tcW w:w="809" w:type="pct"/>
            <w:tcBorders>
              <w:top w:val="single" w:sz="4" w:space="0" w:color="auto"/>
            </w:tcBorders>
            <w:vAlign w:val="bottom"/>
          </w:tcPr>
          <w:p w14:paraId="3C112DD6" w14:textId="77777777" w:rsidR="00F82928" w:rsidRPr="00BD522C" w:rsidRDefault="00F82928" w:rsidP="003B2899">
            <w:pPr>
              <w:keepNext/>
              <w:keepLines/>
              <w:cnfStyle w:val="100000000000" w:firstRow="1" w:lastRow="0" w:firstColumn="0" w:lastColumn="0" w:oddVBand="0" w:evenVBand="0" w:oddHBand="0" w:evenHBand="0" w:firstRowFirstColumn="0" w:firstRowLastColumn="0" w:lastRowFirstColumn="0" w:lastRowLastColumn="0"/>
            </w:pPr>
            <w:r w:rsidRPr="00BD522C">
              <w:t xml:space="preserve">2021 </w:t>
            </w:r>
          </w:p>
          <w:p w14:paraId="7A184507" w14:textId="77777777" w:rsidR="00F82928" w:rsidRPr="00BD522C" w:rsidRDefault="00F82928" w:rsidP="003B2899">
            <w:pPr>
              <w:keepNext/>
              <w:keepLines/>
              <w:cnfStyle w:val="100000000000" w:firstRow="1" w:lastRow="0" w:firstColumn="0" w:lastColumn="0" w:oddVBand="0" w:evenVBand="0" w:oddHBand="0" w:evenHBand="0" w:firstRowFirstColumn="0" w:firstRowLastColumn="0" w:lastRowFirstColumn="0" w:lastRowLastColumn="0"/>
            </w:pPr>
            <w:r w:rsidRPr="00BD522C">
              <w:t>($ thousands)</w:t>
            </w:r>
          </w:p>
        </w:tc>
        <w:tc>
          <w:tcPr>
            <w:tcW w:w="805" w:type="pct"/>
            <w:tcBorders>
              <w:top w:val="single" w:sz="4" w:space="0" w:color="auto"/>
            </w:tcBorders>
            <w:vAlign w:val="bottom"/>
          </w:tcPr>
          <w:p w14:paraId="101D1907" w14:textId="77777777" w:rsidR="00F82928" w:rsidRPr="00BD522C" w:rsidRDefault="00F82928" w:rsidP="003B2899">
            <w:pPr>
              <w:keepNext/>
              <w:keepLines/>
              <w:cnfStyle w:val="100000000000" w:firstRow="1" w:lastRow="0" w:firstColumn="0" w:lastColumn="0" w:oddVBand="0" w:evenVBand="0" w:oddHBand="0" w:evenHBand="0" w:firstRowFirstColumn="0" w:firstRowLastColumn="0" w:lastRowFirstColumn="0" w:lastRowLastColumn="0"/>
            </w:pPr>
            <w:r w:rsidRPr="00BD522C">
              <w:t xml:space="preserve">2020 </w:t>
            </w:r>
          </w:p>
          <w:p w14:paraId="4755E235" w14:textId="77777777" w:rsidR="00F82928" w:rsidRPr="00BD522C" w:rsidRDefault="00F82928" w:rsidP="003B2899">
            <w:pPr>
              <w:keepNext/>
              <w:keepLines/>
              <w:cnfStyle w:val="100000000000" w:firstRow="1" w:lastRow="0" w:firstColumn="0" w:lastColumn="0" w:oddVBand="0" w:evenVBand="0" w:oddHBand="0" w:evenHBand="0" w:firstRowFirstColumn="0" w:firstRowLastColumn="0" w:lastRowFirstColumn="0" w:lastRowLastColumn="0"/>
            </w:pPr>
            <w:r w:rsidRPr="00BD522C">
              <w:t>($ thousands)</w:t>
            </w:r>
          </w:p>
        </w:tc>
      </w:tr>
      <w:bookmarkEnd w:id="1051"/>
      <w:tr w:rsidR="00F82928" w:rsidRPr="0076797F" w14:paraId="44F5D62B"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0EA14B8F" w14:textId="04E76784" w:rsidR="00F82928" w:rsidRPr="00601C34" w:rsidRDefault="00596526" w:rsidP="003B2899">
            <w:pPr>
              <w:pStyle w:val="TableBodyText"/>
              <w:keepNext/>
              <w:keepLines/>
            </w:pPr>
            <w:r>
              <w:t>Right-of-use assets</w:t>
            </w:r>
          </w:p>
        </w:tc>
        <w:tc>
          <w:tcPr>
            <w:tcW w:w="809" w:type="pct"/>
            <w:vAlign w:val="top"/>
          </w:tcPr>
          <w:p w14:paraId="5CDC7062" w14:textId="483F0067" w:rsidR="00F82928" w:rsidRDefault="00596526"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0FD04BBA" w14:textId="38CCAA24" w:rsidR="00F82928" w:rsidRDefault="00596526"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596526" w:rsidRPr="00601C34" w14:paraId="1E7BC925"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462B55FF" w14:textId="78579051" w:rsidR="00596526" w:rsidRDefault="00596526" w:rsidP="003B2899">
            <w:pPr>
              <w:pStyle w:val="TableBodyText"/>
              <w:keepNext/>
              <w:keepLines/>
            </w:pPr>
            <w:r>
              <w:t>Buildings</w:t>
            </w:r>
          </w:p>
        </w:tc>
        <w:tc>
          <w:tcPr>
            <w:tcW w:w="809" w:type="pct"/>
            <w:vAlign w:val="top"/>
          </w:tcPr>
          <w:p w14:paraId="078EE99D" w14:textId="67C9BEDF" w:rsidR="00596526" w:rsidRDefault="00596526"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46,634</w:t>
            </w:r>
          </w:p>
        </w:tc>
        <w:tc>
          <w:tcPr>
            <w:tcW w:w="805" w:type="pct"/>
            <w:vAlign w:val="top"/>
          </w:tcPr>
          <w:p w14:paraId="10A4D493" w14:textId="4374232A" w:rsidR="00596526" w:rsidRPr="00601C34" w:rsidRDefault="00596526"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54,567</w:t>
            </w:r>
          </w:p>
        </w:tc>
      </w:tr>
      <w:tr w:rsidR="00596526" w:rsidRPr="00601C34" w14:paraId="6E5A054C"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5E2D14C7" w14:textId="2E5943C0" w:rsidR="00596526" w:rsidRDefault="00596526" w:rsidP="003B2899">
            <w:pPr>
              <w:pStyle w:val="TableBodyText"/>
              <w:keepNext/>
              <w:keepLines/>
            </w:pPr>
            <w:r>
              <w:t>Equipment</w:t>
            </w:r>
          </w:p>
        </w:tc>
        <w:tc>
          <w:tcPr>
            <w:tcW w:w="809" w:type="pct"/>
            <w:vAlign w:val="top"/>
          </w:tcPr>
          <w:p w14:paraId="028300C5" w14:textId="0B77438A" w:rsidR="00596526" w:rsidRDefault="00596526"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356</w:t>
            </w:r>
          </w:p>
        </w:tc>
        <w:tc>
          <w:tcPr>
            <w:tcW w:w="805" w:type="pct"/>
            <w:vAlign w:val="top"/>
          </w:tcPr>
          <w:p w14:paraId="76C13D4F" w14:textId="4649C88A" w:rsidR="00596526" w:rsidRPr="00601C34" w:rsidRDefault="00596526"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476</w:t>
            </w:r>
          </w:p>
        </w:tc>
      </w:tr>
      <w:tr w:rsidR="00596526" w:rsidRPr="00601C34" w14:paraId="53B460DE"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6260B99B" w14:textId="0C61A87B" w:rsidR="00596526" w:rsidRDefault="00596526" w:rsidP="00BD522C">
            <w:pPr>
              <w:pStyle w:val="TableBodyText"/>
            </w:pPr>
            <w:r>
              <w:t>Other</w:t>
            </w:r>
          </w:p>
        </w:tc>
        <w:tc>
          <w:tcPr>
            <w:tcW w:w="809" w:type="pct"/>
            <w:tcBorders>
              <w:bottom w:val="single" w:sz="4" w:space="0" w:color="auto"/>
            </w:tcBorders>
            <w:vAlign w:val="top"/>
          </w:tcPr>
          <w:p w14:paraId="33BD6BFE" w14:textId="274A7A09"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287</w:t>
            </w:r>
          </w:p>
        </w:tc>
        <w:tc>
          <w:tcPr>
            <w:tcW w:w="805" w:type="pct"/>
            <w:tcBorders>
              <w:bottom w:val="single" w:sz="4" w:space="0" w:color="auto"/>
            </w:tcBorders>
            <w:vAlign w:val="top"/>
          </w:tcPr>
          <w:p w14:paraId="04E4AC58" w14:textId="35FB64B9"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515</w:t>
            </w:r>
          </w:p>
        </w:tc>
      </w:tr>
      <w:tr w:rsidR="00596526" w:rsidRPr="00596526" w14:paraId="3935147B"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3D8BB3C9" w14:textId="4671D55D" w:rsidR="00596526" w:rsidRPr="00596526" w:rsidRDefault="00596526" w:rsidP="00BD522C">
            <w:pPr>
              <w:pStyle w:val="TableBodyText"/>
              <w:rPr>
                <w:rStyle w:val="Bold"/>
              </w:rPr>
            </w:pPr>
            <w:r w:rsidRPr="00596526">
              <w:rPr>
                <w:rStyle w:val="Bold"/>
              </w:rPr>
              <w:t>Total right-of-use assets</w:t>
            </w:r>
          </w:p>
        </w:tc>
        <w:tc>
          <w:tcPr>
            <w:tcW w:w="809" w:type="pct"/>
            <w:tcBorders>
              <w:top w:val="single" w:sz="4" w:space="0" w:color="auto"/>
              <w:bottom w:val="single" w:sz="4" w:space="0" w:color="auto"/>
            </w:tcBorders>
            <w:vAlign w:val="top"/>
          </w:tcPr>
          <w:p w14:paraId="337CFA77" w14:textId="16E1ED32" w:rsidR="00596526" w:rsidRP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596526">
              <w:rPr>
                <w:rStyle w:val="Bold"/>
              </w:rPr>
              <w:t>47,277</w:t>
            </w:r>
          </w:p>
        </w:tc>
        <w:tc>
          <w:tcPr>
            <w:tcW w:w="805" w:type="pct"/>
            <w:tcBorders>
              <w:top w:val="single" w:sz="4" w:space="0" w:color="auto"/>
              <w:bottom w:val="single" w:sz="4" w:space="0" w:color="auto"/>
            </w:tcBorders>
            <w:vAlign w:val="top"/>
          </w:tcPr>
          <w:p w14:paraId="5CA175E7" w14:textId="5778CD3B" w:rsidR="00596526" w:rsidRP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596526">
              <w:rPr>
                <w:rStyle w:val="Bold"/>
              </w:rPr>
              <w:t>55,558</w:t>
            </w:r>
          </w:p>
        </w:tc>
      </w:tr>
      <w:tr w:rsidR="00596526" w:rsidRPr="00601C34" w14:paraId="18BF61AA"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71BB69D6" w14:textId="48BB47E8" w:rsidR="00596526" w:rsidRPr="00BD522C" w:rsidRDefault="00596526" w:rsidP="00BD522C">
            <w:pPr>
              <w:pStyle w:val="TableBodyText"/>
              <w:rPr>
                <w:rStyle w:val="Bold"/>
              </w:rPr>
            </w:pPr>
            <w:r w:rsidRPr="00BD522C">
              <w:rPr>
                <w:rStyle w:val="Bold"/>
              </w:rPr>
              <w:t>Le</w:t>
            </w:r>
            <w:r w:rsidR="00BD522C" w:rsidRPr="00BD522C">
              <w:rPr>
                <w:rStyle w:val="Bold"/>
              </w:rPr>
              <w:t>a</w:t>
            </w:r>
            <w:r w:rsidRPr="00BD522C">
              <w:rPr>
                <w:rStyle w:val="Bold"/>
              </w:rPr>
              <w:t>se liabilities</w:t>
            </w:r>
          </w:p>
        </w:tc>
        <w:tc>
          <w:tcPr>
            <w:tcW w:w="809" w:type="pct"/>
            <w:tcBorders>
              <w:top w:val="single" w:sz="4" w:space="0" w:color="auto"/>
            </w:tcBorders>
            <w:vAlign w:val="top"/>
          </w:tcPr>
          <w:p w14:paraId="3DD825C9" w14:textId="68D9CCF5"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282E715A" w14:textId="2CDB9D4F"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r>
      <w:tr w:rsidR="00F82928" w:rsidRPr="00601C34" w14:paraId="2895E3CB"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262600EC" w14:textId="4997D375" w:rsidR="00F82928" w:rsidRPr="00601C34" w:rsidRDefault="00596526" w:rsidP="00BD522C">
            <w:pPr>
              <w:pStyle w:val="TableBodyText"/>
            </w:pPr>
            <w:r>
              <w:t>Current</w:t>
            </w:r>
          </w:p>
        </w:tc>
        <w:tc>
          <w:tcPr>
            <w:tcW w:w="809" w:type="pct"/>
            <w:vAlign w:val="top"/>
          </w:tcPr>
          <w:p w14:paraId="1AFE1449" w14:textId="026032B3" w:rsidR="00F82928"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7,430</w:t>
            </w:r>
          </w:p>
        </w:tc>
        <w:tc>
          <w:tcPr>
            <w:tcW w:w="805" w:type="pct"/>
            <w:vAlign w:val="top"/>
          </w:tcPr>
          <w:p w14:paraId="205CF0FD" w14:textId="25B62C59" w:rsidR="00F82928"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6,551</w:t>
            </w:r>
          </w:p>
        </w:tc>
      </w:tr>
      <w:tr w:rsidR="00596526" w:rsidRPr="00601C34" w14:paraId="78AF687B"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4F7D63BA" w14:textId="3A02EE35" w:rsidR="00596526" w:rsidRDefault="00596526" w:rsidP="00BD522C">
            <w:pPr>
              <w:pStyle w:val="TableBodyText"/>
            </w:pPr>
            <w:r>
              <w:t>Non-current</w:t>
            </w:r>
          </w:p>
        </w:tc>
        <w:tc>
          <w:tcPr>
            <w:tcW w:w="809" w:type="pct"/>
            <w:vAlign w:val="top"/>
          </w:tcPr>
          <w:p w14:paraId="1867B56A" w14:textId="29DFC397"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43,462</w:t>
            </w:r>
          </w:p>
        </w:tc>
        <w:tc>
          <w:tcPr>
            <w:tcW w:w="805" w:type="pct"/>
            <w:vAlign w:val="top"/>
          </w:tcPr>
          <w:p w14:paraId="5DA75D33" w14:textId="0364CC37"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50,893</w:t>
            </w:r>
          </w:p>
        </w:tc>
      </w:tr>
      <w:tr w:rsidR="00F82928" w:rsidRPr="00601C34" w14:paraId="6BFF5CD9"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195099F9" w14:textId="09ACA1EC" w:rsidR="00F82928" w:rsidRPr="00601C34" w:rsidRDefault="00596526" w:rsidP="00BD522C">
            <w:pPr>
              <w:pStyle w:val="TableBodyText"/>
              <w:rPr>
                <w:rStyle w:val="Bold"/>
              </w:rPr>
            </w:pPr>
            <w:r>
              <w:rPr>
                <w:rStyle w:val="Bold"/>
              </w:rPr>
              <w:t xml:space="preserve">Total lease liabilities (included within interest bearing liabilities see </w:t>
            </w:r>
            <w:r w:rsidRPr="00F42066">
              <w:rPr>
                <w:rStyle w:val="Bold"/>
              </w:rPr>
              <w:t xml:space="preserve">Note </w:t>
            </w:r>
            <w:r w:rsidR="00F42066">
              <w:rPr>
                <w:rStyle w:val="Bold"/>
              </w:rPr>
              <w:fldChar w:fldCharType="begin"/>
            </w:r>
            <w:r w:rsidR="00F42066" w:rsidRPr="00F42066">
              <w:rPr>
                <w:rStyle w:val="Bold"/>
              </w:rPr>
              <w:instrText xml:space="preserve"> REF Note51 \h </w:instrText>
            </w:r>
            <w:r w:rsidR="00F42066">
              <w:rPr>
                <w:rStyle w:val="Bold"/>
              </w:rPr>
              <w:instrText xml:space="preserve"> \* MERGEFORMAT </w:instrText>
            </w:r>
            <w:r w:rsidR="00F42066">
              <w:rPr>
                <w:rStyle w:val="Bold"/>
              </w:rPr>
            </w:r>
            <w:r w:rsidR="00F42066">
              <w:rPr>
                <w:rStyle w:val="Bold"/>
              </w:rPr>
              <w:fldChar w:fldCharType="separate"/>
            </w:r>
            <w:r w:rsidR="00472151" w:rsidRPr="00472151">
              <w:rPr>
                <w:rStyle w:val="Bold"/>
              </w:rPr>
              <w:t>5.1</w:t>
            </w:r>
            <w:r w:rsidR="00472151" w:rsidRPr="00300324">
              <w:t xml:space="preserve"> </w:t>
            </w:r>
            <w:r w:rsidR="00F42066">
              <w:rPr>
                <w:rStyle w:val="Bold"/>
              </w:rPr>
              <w:fldChar w:fldCharType="end"/>
            </w:r>
            <w:r>
              <w:rPr>
                <w:rStyle w:val="Bold"/>
              </w:rPr>
              <w:t>)</w:t>
            </w:r>
          </w:p>
        </w:tc>
        <w:tc>
          <w:tcPr>
            <w:tcW w:w="809" w:type="pct"/>
            <w:tcBorders>
              <w:top w:val="single" w:sz="4" w:space="0" w:color="auto"/>
              <w:bottom w:val="single" w:sz="4" w:space="0" w:color="auto"/>
            </w:tcBorders>
            <w:vAlign w:val="top"/>
          </w:tcPr>
          <w:p w14:paraId="442F93EA" w14:textId="2BABD3CD" w:rsidR="00F82928"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50,892</w:t>
            </w:r>
          </w:p>
        </w:tc>
        <w:tc>
          <w:tcPr>
            <w:tcW w:w="805" w:type="pct"/>
            <w:tcBorders>
              <w:top w:val="single" w:sz="4" w:space="0" w:color="auto"/>
              <w:bottom w:val="single" w:sz="4" w:space="0" w:color="auto"/>
            </w:tcBorders>
            <w:vAlign w:val="top"/>
          </w:tcPr>
          <w:p w14:paraId="704A4329" w14:textId="1E0C6C2E" w:rsidR="00F82928"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57,444</w:t>
            </w:r>
          </w:p>
        </w:tc>
      </w:tr>
    </w:tbl>
    <w:p w14:paraId="0A11C59F" w14:textId="77777777" w:rsidR="00596526" w:rsidRDefault="00596526" w:rsidP="00596526">
      <w:pPr>
        <w:pStyle w:val="BodyText"/>
      </w:pPr>
      <w:r>
        <w:t>There were no additions to the right-of-use assets during the 2020-21 financial year (2019-20: nil).</w:t>
      </w:r>
    </w:p>
    <w:p w14:paraId="66D72D84" w14:textId="77777777" w:rsidR="00596526" w:rsidRDefault="00596526" w:rsidP="00596526">
      <w:pPr>
        <w:pStyle w:val="Heading4"/>
      </w:pPr>
      <w:r>
        <w:t xml:space="preserve">(ii) Amounts recognised in the Statement of Profit or Loss </w:t>
      </w:r>
    </w:p>
    <w:p w14:paraId="4F05F6FB" w14:textId="67FA091A" w:rsidR="00F82928" w:rsidRDefault="00596526" w:rsidP="00596526">
      <w:pPr>
        <w:pStyle w:val="BodyText"/>
      </w:pPr>
      <w:r>
        <w:t>The Statement of Profit or Loss shows the following amounts relating to leases:</w:t>
      </w:r>
    </w:p>
    <w:tbl>
      <w:tblPr>
        <w:tblStyle w:val="Style1"/>
        <w:tblW w:w="5000" w:type="pct"/>
        <w:tblLook w:val="04A0" w:firstRow="1" w:lastRow="0" w:firstColumn="1" w:lastColumn="0" w:noHBand="0" w:noVBand="1"/>
      </w:tblPr>
      <w:tblGrid>
        <w:gridCol w:w="6522"/>
        <w:gridCol w:w="1558"/>
        <w:gridCol w:w="1551"/>
      </w:tblGrid>
      <w:tr w:rsidR="00596526" w:rsidRPr="00BD522C" w14:paraId="34BAE790"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69A7EA2D" w14:textId="77777777" w:rsidR="00596526" w:rsidRPr="00BD522C" w:rsidRDefault="00596526" w:rsidP="00BD522C">
            <w:bookmarkStart w:id="1052" w:name="ColumnTitle_76"/>
            <w:r w:rsidRPr="00BD522C">
              <w:t>Item</w:t>
            </w:r>
          </w:p>
        </w:tc>
        <w:tc>
          <w:tcPr>
            <w:tcW w:w="809" w:type="pct"/>
            <w:tcBorders>
              <w:top w:val="single" w:sz="4" w:space="0" w:color="auto"/>
            </w:tcBorders>
            <w:vAlign w:val="bottom"/>
          </w:tcPr>
          <w:p w14:paraId="69CFC21F" w14:textId="77777777" w:rsidR="00596526" w:rsidRPr="00BD522C" w:rsidRDefault="00596526" w:rsidP="00BD522C">
            <w:pPr>
              <w:cnfStyle w:val="100000000000" w:firstRow="1" w:lastRow="0" w:firstColumn="0" w:lastColumn="0" w:oddVBand="0" w:evenVBand="0" w:oddHBand="0" w:evenHBand="0" w:firstRowFirstColumn="0" w:firstRowLastColumn="0" w:lastRowFirstColumn="0" w:lastRowLastColumn="0"/>
            </w:pPr>
            <w:r w:rsidRPr="00BD522C">
              <w:t xml:space="preserve">2021 </w:t>
            </w:r>
          </w:p>
          <w:p w14:paraId="6257102D" w14:textId="77777777" w:rsidR="00596526" w:rsidRPr="00BD522C" w:rsidRDefault="00596526" w:rsidP="00BD522C">
            <w:pPr>
              <w:cnfStyle w:val="100000000000" w:firstRow="1" w:lastRow="0" w:firstColumn="0" w:lastColumn="0" w:oddVBand="0" w:evenVBand="0" w:oddHBand="0" w:evenHBand="0" w:firstRowFirstColumn="0" w:firstRowLastColumn="0" w:lastRowFirstColumn="0" w:lastRowLastColumn="0"/>
            </w:pPr>
            <w:r w:rsidRPr="00BD522C">
              <w:t>($ thousands)</w:t>
            </w:r>
          </w:p>
        </w:tc>
        <w:tc>
          <w:tcPr>
            <w:tcW w:w="805" w:type="pct"/>
            <w:tcBorders>
              <w:top w:val="single" w:sz="4" w:space="0" w:color="auto"/>
            </w:tcBorders>
            <w:vAlign w:val="bottom"/>
          </w:tcPr>
          <w:p w14:paraId="41148449" w14:textId="77777777" w:rsidR="00596526" w:rsidRPr="00BD522C" w:rsidRDefault="00596526" w:rsidP="00BD522C">
            <w:pPr>
              <w:cnfStyle w:val="100000000000" w:firstRow="1" w:lastRow="0" w:firstColumn="0" w:lastColumn="0" w:oddVBand="0" w:evenVBand="0" w:oddHBand="0" w:evenHBand="0" w:firstRowFirstColumn="0" w:firstRowLastColumn="0" w:lastRowFirstColumn="0" w:lastRowLastColumn="0"/>
            </w:pPr>
            <w:r w:rsidRPr="00BD522C">
              <w:t xml:space="preserve">2020 </w:t>
            </w:r>
          </w:p>
          <w:p w14:paraId="4B23BA9D" w14:textId="77777777" w:rsidR="00596526" w:rsidRPr="00BD522C" w:rsidRDefault="00596526" w:rsidP="00BD522C">
            <w:pPr>
              <w:cnfStyle w:val="100000000000" w:firstRow="1" w:lastRow="0" w:firstColumn="0" w:lastColumn="0" w:oddVBand="0" w:evenVBand="0" w:oddHBand="0" w:evenHBand="0" w:firstRowFirstColumn="0" w:firstRowLastColumn="0" w:lastRowFirstColumn="0" w:lastRowLastColumn="0"/>
            </w:pPr>
            <w:r w:rsidRPr="00BD522C">
              <w:t>($ thousands)</w:t>
            </w:r>
          </w:p>
        </w:tc>
      </w:tr>
      <w:bookmarkEnd w:id="1052"/>
      <w:tr w:rsidR="00596526" w:rsidRPr="0076797F" w14:paraId="47CDBA51"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01524094" w14:textId="248C7D3B" w:rsidR="00596526" w:rsidRPr="00601C34" w:rsidRDefault="00596526" w:rsidP="00BD522C">
            <w:pPr>
              <w:pStyle w:val="TableBodyText"/>
            </w:pPr>
            <w:r>
              <w:t>Depreciation charge of right-of-use assets</w:t>
            </w:r>
          </w:p>
        </w:tc>
        <w:tc>
          <w:tcPr>
            <w:tcW w:w="809" w:type="pct"/>
            <w:vAlign w:val="top"/>
          </w:tcPr>
          <w:p w14:paraId="4B842942" w14:textId="77777777"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282FAB5C" w14:textId="77777777"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r>
      <w:tr w:rsidR="00596526" w:rsidRPr="00601C34" w14:paraId="7BBFAF48"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3A71A3B9" w14:textId="77777777" w:rsidR="00596526" w:rsidRDefault="00596526" w:rsidP="00BD522C">
            <w:pPr>
              <w:pStyle w:val="TableBodyText"/>
            </w:pPr>
            <w:r>
              <w:t>Buildings</w:t>
            </w:r>
          </w:p>
        </w:tc>
        <w:tc>
          <w:tcPr>
            <w:tcW w:w="809" w:type="pct"/>
            <w:vAlign w:val="top"/>
          </w:tcPr>
          <w:p w14:paraId="34A2B212" w14:textId="564167E8"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8,067</w:t>
            </w:r>
          </w:p>
        </w:tc>
        <w:tc>
          <w:tcPr>
            <w:tcW w:w="805" w:type="pct"/>
            <w:vAlign w:val="top"/>
          </w:tcPr>
          <w:p w14:paraId="6096296A" w14:textId="234EE7F3"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7,679</w:t>
            </w:r>
          </w:p>
        </w:tc>
      </w:tr>
      <w:tr w:rsidR="00596526" w:rsidRPr="00601C34" w14:paraId="422E51FE"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03B44CF4" w14:textId="77777777" w:rsidR="00596526" w:rsidRDefault="00596526" w:rsidP="00BD522C">
            <w:pPr>
              <w:pStyle w:val="TableBodyText"/>
            </w:pPr>
            <w:r>
              <w:t>Equipment</w:t>
            </w:r>
          </w:p>
        </w:tc>
        <w:tc>
          <w:tcPr>
            <w:tcW w:w="809" w:type="pct"/>
            <w:vAlign w:val="top"/>
          </w:tcPr>
          <w:p w14:paraId="36F8E06B" w14:textId="0AD41314"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120</w:t>
            </w:r>
          </w:p>
        </w:tc>
        <w:tc>
          <w:tcPr>
            <w:tcW w:w="805" w:type="pct"/>
            <w:vAlign w:val="top"/>
          </w:tcPr>
          <w:p w14:paraId="04C6300F" w14:textId="651703D4"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151</w:t>
            </w:r>
          </w:p>
        </w:tc>
      </w:tr>
      <w:tr w:rsidR="00596526" w:rsidRPr="00601C34" w14:paraId="04224BCC"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060C4D00" w14:textId="77777777" w:rsidR="00596526" w:rsidRDefault="00596526" w:rsidP="00BD522C">
            <w:pPr>
              <w:pStyle w:val="TableBodyText"/>
            </w:pPr>
            <w:r>
              <w:t>Other</w:t>
            </w:r>
          </w:p>
        </w:tc>
        <w:tc>
          <w:tcPr>
            <w:tcW w:w="809" w:type="pct"/>
            <w:tcBorders>
              <w:bottom w:val="single" w:sz="4" w:space="0" w:color="auto"/>
            </w:tcBorders>
            <w:vAlign w:val="top"/>
          </w:tcPr>
          <w:p w14:paraId="20F2B6AB" w14:textId="70F57DB7"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85</w:t>
            </w:r>
          </w:p>
        </w:tc>
        <w:tc>
          <w:tcPr>
            <w:tcW w:w="805" w:type="pct"/>
            <w:tcBorders>
              <w:bottom w:val="single" w:sz="4" w:space="0" w:color="auto"/>
            </w:tcBorders>
            <w:vAlign w:val="top"/>
          </w:tcPr>
          <w:p w14:paraId="1A568468" w14:textId="0830DD9A"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85</w:t>
            </w:r>
          </w:p>
        </w:tc>
      </w:tr>
      <w:tr w:rsidR="00596526" w:rsidRPr="00596526" w14:paraId="46111551"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32C2858F" w14:textId="73D39DC2" w:rsidR="00596526" w:rsidRPr="00596526" w:rsidRDefault="00596526" w:rsidP="00BD522C">
            <w:pPr>
              <w:pStyle w:val="TableBodyText"/>
              <w:rPr>
                <w:rStyle w:val="Bold"/>
              </w:rPr>
            </w:pPr>
            <w:r>
              <w:rPr>
                <w:rStyle w:val="Bold"/>
              </w:rPr>
              <w:t>Total</w:t>
            </w:r>
          </w:p>
        </w:tc>
        <w:tc>
          <w:tcPr>
            <w:tcW w:w="809" w:type="pct"/>
            <w:tcBorders>
              <w:top w:val="single" w:sz="4" w:space="0" w:color="auto"/>
              <w:bottom w:val="single" w:sz="4" w:space="0" w:color="auto"/>
            </w:tcBorders>
            <w:vAlign w:val="top"/>
          </w:tcPr>
          <w:p w14:paraId="6B8A9E7B" w14:textId="502BC034" w:rsidR="00596526" w:rsidRP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8,272</w:t>
            </w:r>
          </w:p>
        </w:tc>
        <w:tc>
          <w:tcPr>
            <w:tcW w:w="805" w:type="pct"/>
            <w:tcBorders>
              <w:top w:val="single" w:sz="4" w:space="0" w:color="auto"/>
              <w:bottom w:val="single" w:sz="4" w:space="0" w:color="auto"/>
            </w:tcBorders>
            <w:vAlign w:val="top"/>
          </w:tcPr>
          <w:p w14:paraId="3FEEC53A" w14:textId="441A81D1" w:rsidR="00596526" w:rsidRP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7,915</w:t>
            </w:r>
          </w:p>
        </w:tc>
      </w:tr>
      <w:tr w:rsidR="00596526" w:rsidRPr="00601C34" w14:paraId="38DCCE73"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186B96B3" w14:textId="745B4116" w:rsidR="00596526" w:rsidRPr="00596526" w:rsidRDefault="00596526" w:rsidP="00BD522C">
            <w:pPr>
              <w:pStyle w:val="TableBodyText"/>
              <w:rPr>
                <w:rStyle w:val="Bold"/>
              </w:rPr>
            </w:pPr>
            <w:r w:rsidRPr="00596526">
              <w:rPr>
                <w:rStyle w:val="Bold"/>
              </w:rPr>
              <w:t>Administrative expenses</w:t>
            </w:r>
          </w:p>
        </w:tc>
        <w:tc>
          <w:tcPr>
            <w:tcW w:w="809" w:type="pct"/>
            <w:tcBorders>
              <w:top w:val="single" w:sz="4" w:space="0" w:color="auto"/>
            </w:tcBorders>
            <w:vAlign w:val="top"/>
          </w:tcPr>
          <w:p w14:paraId="7281156F" w14:textId="77777777"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5D203D4E" w14:textId="77777777"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r>
      <w:tr w:rsidR="00596526" w:rsidRPr="00601C34" w14:paraId="796BEBBF"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09E8E7F3" w14:textId="05FDE754" w:rsidR="00596526" w:rsidRPr="00601C34" w:rsidRDefault="00596526" w:rsidP="00BD522C">
            <w:pPr>
              <w:pStyle w:val="TableBodyText"/>
            </w:pPr>
            <w:r>
              <w:t>Expense relating to short-term leases</w:t>
            </w:r>
          </w:p>
        </w:tc>
        <w:tc>
          <w:tcPr>
            <w:tcW w:w="809" w:type="pct"/>
            <w:vAlign w:val="top"/>
          </w:tcPr>
          <w:p w14:paraId="47170468" w14:textId="1B1CDFBC"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252</w:t>
            </w:r>
          </w:p>
        </w:tc>
        <w:tc>
          <w:tcPr>
            <w:tcW w:w="805" w:type="pct"/>
            <w:vAlign w:val="top"/>
          </w:tcPr>
          <w:p w14:paraId="5910ED49" w14:textId="12BFE812"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252</w:t>
            </w:r>
          </w:p>
        </w:tc>
      </w:tr>
      <w:tr w:rsidR="00596526" w:rsidRPr="00601C34" w14:paraId="264DFE11"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3C40039C" w14:textId="5B3934BB" w:rsidR="00596526" w:rsidRDefault="00596526" w:rsidP="00BD522C">
            <w:pPr>
              <w:pStyle w:val="TableBodyText"/>
            </w:pPr>
            <w:r>
              <w:t>Expense relating to leases of low-value assets that are not short-term leases</w:t>
            </w:r>
          </w:p>
        </w:tc>
        <w:tc>
          <w:tcPr>
            <w:tcW w:w="809" w:type="pct"/>
            <w:vAlign w:val="top"/>
          </w:tcPr>
          <w:p w14:paraId="7ED75002" w14:textId="33D278ED"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2</w:t>
            </w:r>
          </w:p>
        </w:tc>
        <w:tc>
          <w:tcPr>
            <w:tcW w:w="805" w:type="pct"/>
            <w:vAlign w:val="top"/>
          </w:tcPr>
          <w:p w14:paraId="252562DA" w14:textId="0314D651"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13</w:t>
            </w:r>
          </w:p>
        </w:tc>
      </w:tr>
      <w:tr w:rsidR="00596526" w:rsidRPr="00601C34" w14:paraId="0A9A487E"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5711841C" w14:textId="5249CAAF" w:rsidR="00596526" w:rsidRDefault="00596526" w:rsidP="00BD522C">
            <w:pPr>
              <w:pStyle w:val="TableBodyText"/>
            </w:pPr>
            <w:r>
              <w:t>Expense relating to variable lease payments not included in lease liabilities</w:t>
            </w:r>
          </w:p>
        </w:tc>
        <w:tc>
          <w:tcPr>
            <w:tcW w:w="809" w:type="pct"/>
            <w:vAlign w:val="top"/>
          </w:tcPr>
          <w:p w14:paraId="56061464" w14:textId="0ECA2297"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2,311</w:t>
            </w:r>
          </w:p>
        </w:tc>
        <w:tc>
          <w:tcPr>
            <w:tcW w:w="805" w:type="pct"/>
            <w:vAlign w:val="top"/>
          </w:tcPr>
          <w:p w14:paraId="42492196" w14:textId="0466672C"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2,360</w:t>
            </w:r>
          </w:p>
        </w:tc>
      </w:tr>
      <w:tr w:rsidR="00596526" w:rsidRPr="00601C34" w14:paraId="2DC619B0"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1918A6D9" w14:textId="3D6DB45E" w:rsidR="00596526" w:rsidRPr="00601C34" w:rsidRDefault="00596526" w:rsidP="00BD522C">
            <w:pPr>
              <w:pStyle w:val="TableBodyText"/>
              <w:rPr>
                <w:rStyle w:val="Bold"/>
              </w:rPr>
            </w:pPr>
            <w:r>
              <w:rPr>
                <w:rStyle w:val="Bold"/>
              </w:rPr>
              <w:t>Total</w:t>
            </w:r>
          </w:p>
        </w:tc>
        <w:tc>
          <w:tcPr>
            <w:tcW w:w="809" w:type="pct"/>
            <w:tcBorders>
              <w:top w:val="single" w:sz="4" w:space="0" w:color="auto"/>
              <w:bottom w:val="single" w:sz="4" w:space="0" w:color="auto"/>
            </w:tcBorders>
            <w:vAlign w:val="top"/>
          </w:tcPr>
          <w:p w14:paraId="61C5900C" w14:textId="2934934B"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2,565</w:t>
            </w:r>
          </w:p>
        </w:tc>
        <w:tc>
          <w:tcPr>
            <w:tcW w:w="805" w:type="pct"/>
            <w:tcBorders>
              <w:top w:val="single" w:sz="4" w:space="0" w:color="auto"/>
              <w:bottom w:val="single" w:sz="4" w:space="0" w:color="auto"/>
            </w:tcBorders>
            <w:vAlign w:val="top"/>
          </w:tcPr>
          <w:p w14:paraId="7334058E" w14:textId="307D724A" w:rsidR="00596526" w:rsidRPr="00601C34"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2,625</w:t>
            </w:r>
          </w:p>
        </w:tc>
      </w:tr>
      <w:tr w:rsidR="00596526" w:rsidRPr="00601C34" w14:paraId="25C76D38"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379A05EF" w14:textId="50788639" w:rsidR="00596526" w:rsidRPr="00596526" w:rsidRDefault="00596526" w:rsidP="003B2899">
            <w:pPr>
              <w:pStyle w:val="TableBodyText"/>
              <w:keepNext/>
              <w:rPr>
                <w:rStyle w:val="Bold"/>
              </w:rPr>
            </w:pPr>
            <w:r w:rsidRPr="00596526">
              <w:rPr>
                <w:rStyle w:val="Bold"/>
              </w:rPr>
              <w:lastRenderedPageBreak/>
              <w:t>Finance expenses</w:t>
            </w:r>
          </w:p>
        </w:tc>
        <w:tc>
          <w:tcPr>
            <w:tcW w:w="809" w:type="pct"/>
            <w:tcBorders>
              <w:top w:val="single" w:sz="4" w:space="0" w:color="auto"/>
            </w:tcBorders>
            <w:vAlign w:val="top"/>
          </w:tcPr>
          <w:p w14:paraId="2AE26CAE" w14:textId="4E6D938F"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4B70144B" w14:textId="75021C44"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N/A</w:t>
            </w:r>
          </w:p>
        </w:tc>
      </w:tr>
      <w:tr w:rsidR="00596526" w:rsidRPr="00601C34" w14:paraId="57082B92"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5C759F5C" w14:textId="2F0D9C9C" w:rsidR="00596526" w:rsidRDefault="00596526" w:rsidP="00BD522C">
            <w:pPr>
              <w:pStyle w:val="TableBodyText"/>
            </w:pPr>
            <w:r>
              <w:t>Buildings</w:t>
            </w:r>
          </w:p>
        </w:tc>
        <w:tc>
          <w:tcPr>
            <w:tcW w:w="809" w:type="pct"/>
            <w:vAlign w:val="top"/>
          </w:tcPr>
          <w:p w14:paraId="276F6583" w14:textId="6D2F9E16"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1,238</w:t>
            </w:r>
          </w:p>
        </w:tc>
        <w:tc>
          <w:tcPr>
            <w:tcW w:w="805" w:type="pct"/>
            <w:vAlign w:val="top"/>
          </w:tcPr>
          <w:p w14:paraId="77962B4D" w14:textId="70E1A5A5"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1,373</w:t>
            </w:r>
          </w:p>
        </w:tc>
      </w:tr>
      <w:tr w:rsidR="00596526" w:rsidRPr="00601C34" w14:paraId="4CFF04EF" w14:textId="77777777" w:rsidTr="00BD522C">
        <w:tc>
          <w:tcPr>
            <w:cnfStyle w:val="001000000000" w:firstRow="0" w:lastRow="0" w:firstColumn="1" w:lastColumn="0" w:oddVBand="0" w:evenVBand="0" w:oddHBand="0" w:evenHBand="0" w:firstRowFirstColumn="0" w:firstRowLastColumn="0" w:lastRowFirstColumn="0" w:lastRowLastColumn="0"/>
            <w:tcW w:w="3385" w:type="pct"/>
            <w:vAlign w:val="top"/>
          </w:tcPr>
          <w:p w14:paraId="028E362D" w14:textId="2A84361A" w:rsidR="00596526" w:rsidRDefault="00596526" w:rsidP="00BD522C">
            <w:pPr>
              <w:pStyle w:val="TableBodyText"/>
            </w:pPr>
            <w:r>
              <w:t>Equipment</w:t>
            </w:r>
          </w:p>
        </w:tc>
        <w:tc>
          <w:tcPr>
            <w:tcW w:w="809" w:type="pct"/>
            <w:vAlign w:val="top"/>
          </w:tcPr>
          <w:p w14:paraId="24C10D81" w14:textId="2F6262AC"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11</w:t>
            </w:r>
          </w:p>
        </w:tc>
        <w:tc>
          <w:tcPr>
            <w:tcW w:w="805" w:type="pct"/>
            <w:vAlign w:val="top"/>
          </w:tcPr>
          <w:p w14:paraId="1D2FC757" w14:textId="28E4AF0A"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11</w:t>
            </w:r>
          </w:p>
        </w:tc>
      </w:tr>
      <w:tr w:rsidR="00596526" w:rsidRPr="00601C34" w14:paraId="2632714D"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5D94E396" w14:textId="6EF8CDBE" w:rsidR="00596526" w:rsidRDefault="00596526" w:rsidP="00BD522C">
            <w:pPr>
              <w:pStyle w:val="TableBodyText"/>
            </w:pPr>
            <w:r>
              <w:t>Other</w:t>
            </w:r>
          </w:p>
        </w:tc>
        <w:tc>
          <w:tcPr>
            <w:tcW w:w="809" w:type="pct"/>
            <w:tcBorders>
              <w:bottom w:val="single" w:sz="4" w:space="0" w:color="auto"/>
            </w:tcBorders>
            <w:vAlign w:val="top"/>
          </w:tcPr>
          <w:p w14:paraId="33EBC770" w14:textId="59F9F24D"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9</w:t>
            </w:r>
          </w:p>
        </w:tc>
        <w:tc>
          <w:tcPr>
            <w:tcW w:w="805" w:type="pct"/>
            <w:tcBorders>
              <w:bottom w:val="single" w:sz="4" w:space="0" w:color="auto"/>
            </w:tcBorders>
            <w:vAlign w:val="top"/>
          </w:tcPr>
          <w:p w14:paraId="774ED446" w14:textId="64D14C9C"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pPr>
            <w:r>
              <w:t>9</w:t>
            </w:r>
          </w:p>
        </w:tc>
      </w:tr>
      <w:tr w:rsidR="00596526" w:rsidRPr="00601C34" w14:paraId="3EDBBCEA" w14:textId="77777777" w:rsidTr="00BD522C">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5D760F9B" w14:textId="6DBAF6BE" w:rsidR="00596526" w:rsidRDefault="00596526" w:rsidP="00BD522C">
            <w:pPr>
              <w:pStyle w:val="TableBodyText"/>
              <w:rPr>
                <w:rStyle w:val="Bold"/>
              </w:rPr>
            </w:pPr>
            <w:r>
              <w:rPr>
                <w:rStyle w:val="Bold"/>
              </w:rPr>
              <w:t>Total</w:t>
            </w:r>
          </w:p>
        </w:tc>
        <w:tc>
          <w:tcPr>
            <w:tcW w:w="809" w:type="pct"/>
            <w:tcBorders>
              <w:top w:val="single" w:sz="4" w:space="0" w:color="auto"/>
              <w:bottom w:val="single" w:sz="4" w:space="0" w:color="auto"/>
            </w:tcBorders>
            <w:vAlign w:val="top"/>
          </w:tcPr>
          <w:p w14:paraId="15419011" w14:textId="230AD3A3"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1,258</w:t>
            </w:r>
          </w:p>
        </w:tc>
        <w:tc>
          <w:tcPr>
            <w:tcW w:w="805" w:type="pct"/>
            <w:tcBorders>
              <w:top w:val="single" w:sz="4" w:space="0" w:color="auto"/>
              <w:bottom w:val="single" w:sz="4" w:space="0" w:color="auto"/>
            </w:tcBorders>
            <w:vAlign w:val="top"/>
          </w:tcPr>
          <w:p w14:paraId="0F40AA8E" w14:textId="23815706" w:rsidR="00596526" w:rsidRDefault="00596526" w:rsidP="00BD522C">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1,393</w:t>
            </w:r>
          </w:p>
        </w:tc>
      </w:tr>
    </w:tbl>
    <w:p w14:paraId="1C838ACF" w14:textId="0B7F451E" w:rsidR="00A8145A" w:rsidRDefault="006E65D8" w:rsidP="00A8145A">
      <w:pPr>
        <w:pStyle w:val="BodyText"/>
      </w:pPr>
      <w:r w:rsidRPr="006E65D8">
        <w:t>The total cash outflow for leases in 2020-21 was $7.8 million (2019-20: $7.5 million).</w:t>
      </w:r>
    </w:p>
    <w:p w14:paraId="4511AD61" w14:textId="4780E49F" w:rsidR="006E65D8" w:rsidRDefault="006E65D8" w:rsidP="006E65D8">
      <w:pPr>
        <w:pStyle w:val="Heading4"/>
      </w:pPr>
      <w:r>
        <w:t>(iii) The Corporation’s leasing activities and how these are accounted for</w:t>
      </w:r>
    </w:p>
    <w:p w14:paraId="6059F0E9" w14:textId="2A8799C0" w:rsidR="006E65D8" w:rsidRDefault="006E65D8" w:rsidP="006E65D8">
      <w:pPr>
        <w:pStyle w:val="BodyText"/>
      </w:pPr>
      <w:r>
        <w:t>The Corporation leases buildings, a rooftop space for a telecommunication tower, minor equipment and various network connection assets.</w:t>
      </w:r>
    </w:p>
    <w:p w14:paraId="757BF468" w14:textId="2F222A1A" w:rsidR="006E65D8" w:rsidRDefault="006E65D8" w:rsidP="006E65D8">
      <w:pPr>
        <w:pStyle w:val="BodyText"/>
      </w:pPr>
      <w:r>
        <w:t>Rental contracts are typically made for fixed periods of 3 to 15 years, but may have extension options as described below.</w:t>
      </w:r>
    </w:p>
    <w:p w14:paraId="7DE4A46A" w14:textId="44D43751" w:rsidR="006E65D8" w:rsidRDefault="006E65D8" w:rsidP="006E65D8">
      <w:pPr>
        <w:pStyle w:val="BodyText"/>
      </w:pPr>
      <w:r>
        <w:t>Contracts may contain both lease and non-lease components. The Corporation allocates the consideration in the contract to the lease and non-lease components based on their relative stand-alone prices.</w:t>
      </w:r>
    </w:p>
    <w:p w14:paraId="3F0A5E74" w14:textId="2D9E93B2" w:rsidR="006E65D8" w:rsidRDefault="006E65D8" w:rsidP="006E65D8">
      <w:pPr>
        <w:pStyle w:val="BodyText"/>
      </w:pPr>
      <w:r>
        <w:t>Lease terms are negotiated on an individual basis and contain a wide range of different terms and conditions. The lease agreements do not impose any covenants.</w:t>
      </w:r>
    </w:p>
    <w:p w14:paraId="3B8ABF92" w14:textId="7985FA5F" w:rsidR="006E65D8" w:rsidRDefault="006E65D8" w:rsidP="006E65D8">
      <w:pPr>
        <w:pStyle w:val="BodyText"/>
      </w:pPr>
      <w:r>
        <w:t>Leases are recognised as a right-of-use asset and a corresponding liability at the date at which the leased asset is available for use by the Corporation.</w:t>
      </w:r>
    </w:p>
    <w:p w14:paraId="54E4158F" w14:textId="77777777" w:rsidR="006E65D8" w:rsidRDefault="006E65D8" w:rsidP="006E65D8">
      <w:pPr>
        <w:pStyle w:val="Heading5"/>
      </w:pPr>
      <w:r>
        <w:t>Initial recognition</w:t>
      </w:r>
    </w:p>
    <w:p w14:paraId="465635AC" w14:textId="7642B872" w:rsidR="006E65D8" w:rsidRDefault="006E65D8" w:rsidP="006E65D8">
      <w:pPr>
        <w:pStyle w:val="BodyText"/>
      </w:pPr>
      <w:r>
        <w:t>Assets and liabilities arising from a lease are initially measured on a present value basis. Lease liabilities include the net present value of the following lease payments:</w:t>
      </w:r>
    </w:p>
    <w:p w14:paraId="7455D27C" w14:textId="775981A5" w:rsidR="006E65D8" w:rsidRDefault="006E65D8" w:rsidP="006E65D8">
      <w:pPr>
        <w:pStyle w:val="ListBullet"/>
      </w:pPr>
      <w:r>
        <w:t>fixed payments (including in-substance fixed payments), less any lease incentives receivable</w:t>
      </w:r>
    </w:p>
    <w:p w14:paraId="1B78D86F" w14:textId="1925A0C8" w:rsidR="006E65D8" w:rsidRDefault="006E65D8" w:rsidP="006E65D8">
      <w:pPr>
        <w:pStyle w:val="ListBullet"/>
      </w:pPr>
      <w:r>
        <w:t>variable lease payments that are based on an index or a rate</w:t>
      </w:r>
    </w:p>
    <w:p w14:paraId="0613D7B2" w14:textId="35D619BD" w:rsidR="006E65D8" w:rsidRDefault="006E65D8" w:rsidP="006E65D8">
      <w:pPr>
        <w:pStyle w:val="ListBullet"/>
      </w:pPr>
      <w:r>
        <w:t>amounts expected to be payable by the lessee under residual value guarantees</w:t>
      </w:r>
    </w:p>
    <w:p w14:paraId="42467213" w14:textId="10EC8B88" w:rsidR="006E65D8" w:rsidRDefault="006E65D8" w:rsidP="006E65D8">
      <w:pPr>
        <w:pStyle w:val="ListBullet"/>
      </w:pPr>
      <w:r>
        <w:t>the exercise price of a purchase option if the lessee is reasonably certain to exercise that option</w:t>
      </w:r>
    </w:p>
    <w:p w14:paraId="23931567" w14:textId="00049C78" w:rsidR="006E65D8" w:rsidRDefault="006E65D8" w:rsidP="006E65D8">
      <w:pPr>
        <w:pStyle w:val="ListBullet"/>
      </w:pPr>
      <w:r>
        <w:t>payments of penalties for terminating the lease, if the lease term reflects the lessee exercising that option.</w:t>
      </w:r>
    </w:p>
    <w:p w14:paraId="4BE48771" w14:textId="7883C2BB" w:rsidR="006E65D8" w:rsidRDefault="006E65D8" w:rsidP="006E65D8">
      <w:pPr>
        <w:pStyle w:val="BodyText"/>
      </w:pPr>
      <w:r>
        <w:t>Each lease payment is allocated between the liability and finance cost. The finance cost is charged to the profit and loss over the lease period to produce a constant periodic rate of interest on the remaining balance of the liability for each period. Lease payments to be made under reasonably certain extension options are also included in the measurement of the liability.</w:t>
      </w:r>
    </w:p>
    <w:p w14:paraId="65A77C12" w14:textId="5858F53B" w:rsidR="006E65D8" w:rsidRDefault="006E65D8" w:rsidP="006E65D8">
      <w:pPr>
        <w:pStyle w:val="BodyText"/>
      </w:pPr>
      <w:r>
        <w:t>The lease payments are discounted using the Corporation’s incremental borrowing rate. Treasury Corporation of Victoria (TCV)/Department of Treasury’s (DTF) calculator is used to determine the incremental borrowing rate.</w:t>
      </w:r>
    </w:p>
    <w:p w14:paraId="654FA7A9" w14:textId="77777777" w:rsidR="006E65D8" w:rsidRDefault="006E65D8" w:rsidP="003B2899">
      <w:pPr>
        <w:pStyle w:val="BodyText"/>
        <w:keepNext/>
      </w:pPr>
      <w:r>
        <w:lastRenderedPageBreak/>
        <w:t>Right-of-use assets include the following components:</w:t>
      </w:r>
    </w:p>
    <w:p w14:paraId="3BDFF887" w14:textId="6F47F6C4" w:rsidR="006E65D8" w:rsidRDefault="006E65D8" w:rsidP="003B2899">
      <w:pPr>
        <w:pStyle w:val="ListBullet"/>
        <w:keepNext/>
      </w:pPr>
      <w:r>
        <w:t>the amount of the initial measurement of lease liability</w:t>
      </w:r>
    </w:p>
    <w:p w14:paraId="1A4E2FBB" w14:textId="4918C5CF" w:rsidR="006E65D8" w:rsidRDefault="006E65D8" w:rsidP="006E65D8">
      <w:pPr>
        <w:pStyle w:val="ListBullet"/>
      </w:pPr>
      <w:r>
        <w:t>any lease payments made at or before the commencement date, less any lease incentives received</w:t>
      </w:r>
    </w:p>
    <w:p w14:paraId="4489E6DC" w14:textId="287184FC" w:rsidR="006E65D8" w:rsidRDefault="006E65D8" w:rsidP="006E65D8">
      <w:pPr>
        <w:pStyle w:val="ListBullet"/>
      </w:pPr>
      <w:r>
        <w:t>any initial direct costs</w:t>
      </w:r>
    </w:p>
    <w:p w14:paraId="005E93B9" w14:textId="77777777" w:rsidR="006E65D8" w:rsidRDefault="006E65D8" w:rsidP="006E65D8">
      <w:pPr>
        <w:pStyle w:val="ListBullet"/>
      </w:pPr>
      <w:r>
        <w:t>restoration costs.</w:t>
      </w:r>
    </w:p>
    <w:p w14:paraId="4755D961" w14:textId="77777777" w:rsidR="006E65D8" w:rsidRDefault="006E65D8" w:rsidP="006E65D8">
      <w:pPr>
        <w:pStyle w:val="BodyText"/>
      </w:pPr>
      <w:r>
        <w:t>The Corporation is exposed to future cash outflows that are not reflected in the measurement of lease liabilities. This includes:</w:t>
      </w:r>
    </w:p>
    <w:p w14:paraId="4381286B" w14:textId="7785F687" w:rsidR="006E65D8" w:rsidRDefault="006E65D8" w:rsidP="006E65D8">
      <w:pPr>
        <w:pStyle w:val="ListBullet"/>
      </w:pPr>
      <w:r>
        <w:t>variable lease payments</w:t>
      </w:r>
    </w:p>
    <w:p w14:paraId="4CF8725A" w14:textId="2C9D244F" w:rsidR="006E65D8" w:rsidRDefault="006E65D8" w:rsidP="006E65D8">
      <w:pPr>
        <w:pStyle w:val="ListBullet"/>
      </w:pPr>
      <w:r>
        <w:t>extension options and termination options</w:t>
      </w:r>
    </w:p>
    <w:p w14:paraId="2C8B5762" w14:textId="027127DB" w:rsidR="006E65D8" w:rsidRDefault="006E65D8" w:rsidP="006E65D8">
      <w:pPr>
        <w:pStyle w:val="ListBullet"/>
      </w:pPr>
      <w:r>
        <w:t>leases not yet commenced to which the lessee is committed.</w:t>
      </w:r>
    </w:p>
    <w:p w14:paraId="0D5E8A42" w14:textId="02D18CDB" w:rsidR="006E65D8" w:rsidRDefault="006E65D8" w:rsidP="006E65D8">
      <w:pPr>
        <w:pStyle w:val="Heading4"/>
      </w:pPr>
      <w:r>
        <w:t xml:space="preserve">(iii) The Corporation’s leasing activities and how these are accounted for </w:t>
      </w:r>
    </w:p>
    <w:p w14:paraId="7EEACDC1" w14:textId="77777777" w:rsidR="006E65D8" w:rsidRDefault="006E65D8" w:rsidP="006E65D8">
      <w:pPr>
        <w:pStyle w:val="Heading5"/>
      </w:pPr>
      <w:r>
        <w:t>Subsequent re-measurements</w:t>
      </w:r>
    </w:p>
    <w:p w14:paraId="699DC94A" w14:textId="18C94532" w:rsidR="006E65D8" w:rsidRDefault="006E65D8" w:rsidP="006E65D8">
      <w:pPr>
        <w:pStyle w:val="BodyText"/>
      </w:pPr>
      <w:r>
        <w:t>Right of use assets are subsequently measured at fair value less accumulated depreciation and impairment. Fair value is determined with reference to market rental yields, impairment losses and any re-measurements of the lease liability. A managerial fair value assessment was performed with reference to market rental yields and concluded that no revaluation adjustments were required for 30 June 2021.</w:t>
      </w:r>
    </w:p>
    <w:p w14:paraId="653FF951" w14:textId="77777777" w:rsidR="006E65D8" w:rsidRDefault="006E65D8" w:rsidP="006E65D8">
      <w:pPr>
        <w:pStyle w:val="Heading5"/>
      </w:pPr>
      <w:r>
        <w:t>Depreciation</w:t>
      </w:r>
    </w:p>
    <w:p w14:paraId="2CB0EAE2" w14:textId="644FC892" w:rsidR="006E65D8" w:rsidRDefault="006E65D8" w:rsidP="006E65D8">
      <w:pPr>
        <w:pStyle w:val="BodyText"/>
      </w:pPr>
      <w:r>
        <w:t>The Corporation depreciates the right-of-use assets on a straight-line basis from the lease commencement date to the earlier of the end of the useful life of the right-of-use asset or the end of the lease term.</w:t>
      </w:r>
    </w:p>
    <w:p w14:paraId="1A2F99F3" w14:textId="77777777" w:rsidR="006E65D8" w:rsidRDefault="006E65D8" w:rsidP="006E65D8">
      <w:pPr>
        <w:pStyle w:val="Heading5"/>
      </w:pPr>
      <w:r>
        <w:t>Variable lease payments</w:t>
      </w:r>
    </w:p>
    <w:p w14:paraId="21F0D8C9" w14:textId="7EAE65DD" w:rsidR="006E65D8" w:rsidRDefault="006E65D8" w:rsidP="006E65D8">
      <w:pPr>
        <w:pStyle w:val="BodyText"/>
      </w:pPr>
      <w:r>
        <w:t>Variable lease payments are recognised as administrative expenses in the profit and loss. Variable lease payments include overhead charges and congestion levies associated with the building and parking leases.</w:t>
      </w:r>
    </w:p>
    <w:p w14:paraId="78547C11" w14:textId="77777777" w:rsidR="006E65D8" w:rsidRDefault="006E65D8" w:rsidP="006E65D8">
      <w:pPr>
        <w:pStyle w:val="Heading5"/>
      </w:pPr>
      <w:r>
        <w:t>Extension and termination options</w:t>
      </w:r>
    </w:p>
    <w:p w14:paraId="4A110B14" w14:textId="10691C9D" w:rsidR="006E65D8" w:rsidRDefault="006E65D8" w:rsidP="006E65D8">
      <w:pPr>
        <w:pStyle w:val="BodyText"/>
      </w:pPr>
      <w:r>
        <w:t>Extension and termination options may be included in the leases. These terms are used to maximise operational flexibility in terms of managing contracts. The majority of extension and termination options held are exercisable only by the Corporation and not by the respective lessor.</w:t>
      </w:r>
    </w:p>
    <w:p w14:paraId="0AE2E273" w14:textId="77777777" w:rsidR="006E65D8" w:rsidRDefault="006E65D8" w:rsidP="006E65D8">
      <w:pPr>
        <w:pStyle w:val="Heading5"/>
      </w:pPr>
      <w:r>
        <w:t>Residual value guarantees</w:t>
      </w:r>
    </w:p>
    <w:p w14:paraId="3D1603A2" w14:textId="2F7B62E8" w:rsidR="006E65D8" w:rsidRDefault="006E65D8" w:rsidP="006E65D8">
      <w:pPr>
        <w:pStyle w:val="BodyText"/>
      </w:pPr>
      <w:r>
        <w:t>The Corporation is not exposed to any lease residual value guarantees.</w:t>
      </w:r>
    </w:p>
    <w:p w14:paraId="10963DFD" w14:textId="7434D012" w:rsidR="006E65D8" w:rsidRDefault="006E65D8" w:rsidP="006E65D8">
      <w:pPr>
        <w:pStyle w:val="Heading5"/>
      </w:pPr>
      <w:r>
        <w:t>Critical judgements in determining the lease term</w:t>
      </w:r>
    </w:p>
    <w:p w14:paraId="6E044309" w14:textId="46F09F80" w:rsidR="006E65D8" w:rsidRDefault="006E65D8" w:rsidP="006E65D8">
      <w:pPr>
        <w:pStyle w:val="BodyText"/>
      </w:pPr>
      <w:r>
        <w:t>In determining the lease term, the Corporation considers all facts and circumstances that create an economic incentive to exercise an extension option, or not exercise a termination option. The assessment is reviewed if a significant event or a significant change in circumstances occurs which affects this assessment. During the current financial year and prior year, there were no changes in circumstances to impact the assessment of exercising extension and termination options.</w:t>
      </w:r>
    </w:p>
    <w:p w14:paraId="348CA409" w14:textId="77777777" w:rsidR="006E65D8" w:rsidRDefault="006E65D8" w:rsidP="003B2899">
      <w:pPr>
        <w:pStyle w:val="Heading5"/>
        <w:keepNext/>
      </w:pPr>
      <w:r>
        <w:lastRenderedPageBreak/>
        <w:t>Operating lease receivable</w:t>
      </w:r>
    </w:p>
    <w:p w14:paraId="7C35A6E5" w14:textId="3CA66352" w:rsidR="006E65D8" w:rsidRDefault="006E65D8" w:rsidP="006E65D8">
      <w:pPr>
        <w:pStyle w:val="BodyText"/>
      </w:pPr>
      <w:r>
        <w:t>Operating leases receivable primarily relate to land owned by the Corporation. All operating lease contracts contain market review clauses. The lessee does not have an option to purchase the land at the expiry of the lease period.</w:t>
      </w:r>
    </w:p>
    <w:p w14:paraId="719281B3" w14:textId="31509E32" w:rsidR="00A8145A" w:rsidRDefault="006E65D8" w:rsidP="006E65D8">
      <w:pPr>
        <w:pStyle w:val="BodyText"/>
      </w:pPr>
      <w:r>
        <w:t>Commitments for minimum lease receipts in relation to non-cancellable operating leases are as follows:</w:t>
      </w:r>
    </w:p>
    <w:tbl>
      <w:tblPr>
        <w:tblStyle w:val="Style1"/>
        <w:tblW w:w="5000" w:type="pct"/>
        <w:tblLook w:val="04A0" w:firstRow="1" w:lastRow="0" w:firstColumn="1" w:lastColumn="0" w:noHBand="0" w:noVBand="1"/>
      </w:tblPr>
      <w:tblGrid>
        <w:gridCol w:w="6522"/>
        <w:gridCol w:w="1558"/>
        <w:gridCol w:w="1551"/>
      </w:tblGrid>
      <w:tr w:rsidR="006E65D8" w:rsidRPr="00362750" w14:paraId="11A0907E"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626E6FDF" w14:textId="77777777" w:rsidR="006E65D8" w:rsidRPr="00362750" w:rsidRDefault="006E65D8" w:rsidP="00362750">
            <w:bookmarkStart w:id="1053" w:name="ColumnTitle_77"/>
            <w:r w:rsidRPr="00362750">
              <w:t>Item</w:t>
            </w:r>
          </w:p>
        </w:tc>
        <w:tc>
          <w:tcPr>
            <w:tcW w:w="809" w:type="pct"/>
            <w:tcBorders>
              <w:top w:val="single" w:sz="4" w:space="0" w:color="auto"/>
            </w:tcBorders>
            <w:vAlign w:val="bottom"/>
          </w:tcPr>
          <w:p w14:paraId="41C6A1F7" w14:textId="77777777" w:rsidR="006E65D8" w:rsidRPr="00362750" w:rsidRDefault="006E65D8" w:rsidP="00362750">
            <w:pPr>
              <w:cnfStyle w:val="100000000000" w:firstRow="1" w:lastRow="0" w:firstColumn="0" w:lastColumn="0" w:oddVBand="0" w:evenVBand="0" w:oddHBand="0" w:evenHBand="0" w:firstRowFirstColumn="0" w:firstRowLastColumn="0" w:lastRowFirstColumn="0" w:lastRowLastColumn="0"/>
            </w:pPr>
            <w:r w:rsidRPr="00362750">
              <w:t xml:space="preserve">2021 </w:t>
            </w:r>
          </w:p>
          <w:p w14:paraId="7C406668" w14:textId="77777777" w:rsidR="006E65D8" w:rsidRPr="00362750" w:rsidRDefault="006E65D8" w:rsidP="00362750">
            <w:pPr>
              <w:cnfStyle w:val="100000000000" w:firstRow="1" w:lastRow="0" w:firstColumn="0" w:lastColumn="0" w:oddVBand="0" w:evenVBand="0" w:oddHBand="0" w:evenHBand="0" w:firstRowFirstColumn="0" w:firstRowLastColumn="0" w:lastRowFirstColumn="0" w:lastRowLastColumn="0"/>
            </w:pPr>
            <w:r w:rsidRPr="00362750">
              <w:t>($ thousands)</w:t>
            </w:r>
          </w:p>
        </w:tc>
        <w:tc>
          <w:tcPr>
            <w:tcW w:w="805" w:type="pct"/>
            <w:tcBorders>
              <w:top w:val="single" w:sz="4" w:space="0" w:color="auto"/>
            </w:tcBorders>
            <w:vAlign w:val="bottom"/>
          </w:tcPr>
          <w:p w14:paraId="4DA59047" w14:textId="77777777" w:rsidR="006E65D8" w:rsidRPr="00362750" w:rsidRDefault="006E65D8" w:rsidP="00362750">
            <w:pPr>
              <w:cnfStyle w:val="100000000000" w:firstRow="1" w:lastRow="0" w:firstColumn="0" w:lastColumn="0" w:oddVBand="0" w:evenVBand="0" w:oddHBand="0" w:evenHBand="0" w:firstRowFirstColumn="0" w:firstRowLastColumn="0" w:lastRowFirstColumn="0" w:lastRowLastColumn="0"/>
            </w:pPr>
            <w:r w:rsidRPr="00362750">
              <w:t xml:space="preserve">2020 </w:t>
            </w:r>
          </w:p>
          <w:p w14:paraId="639CCE3B" w14:textId="77777777" w:rsidR="006E65D8" w:rsidRPr="00362750" w:rsidRDefault="006E65D8" w:rsidP="00362750">
            <w:pPr>
              <w:cnfStyle w:val="100000000000" w:firstRow="1" w:lastRow="0" w:firstColumn="0" w:lastColumn="0" w:oddVBand="0" w:evenVBand="0" w:oddHBand="0" w:evenHBand="0" w:firstRowFirstColumn="0" w:firstRowLastColumn="0" w:lastRowFirstColumn="0" w:lastRowLastColumn="0"/>
            </w:pPr>
            <w:r w:rsidRPr="00362750">
              <w:t>($ thousands)</w:t>
            </w:r>
          </w:p>
        </w:tc>
      </w:tr>
      <w:bookmarkEnd w:id="1053"/>
      <w:tr w:rsidR="006E65D8" w:rsidRPr="0076797F" w14:paraId="65D7634E"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57D3EA31" w14:textId="028C4CD1" w:rsidR="006E65D8" w:rsidRPr="00601C34" w:rsidRDefault="006E65D8" w:rsidP="00362750">
            <w:pPr>
              <w:pStyle w:val="TableBodyText"/>
            </w:pPr>
            <w:r>
              <w:t>Within 1 year</w:t>
            </w:r>
          </w:p>
        </w:tc>
        <w:tc>
          <w:tcPr>
            <w:tcW w:w="809" w:type="pct"/>
            <w:vAlign w:val="top"/>
          </w:tcPr>
          <w:p w14:paraId="77CC5162" w14:textId="42219CB5" w:rsidR="006E65D8" w:rsidRDefault="006E65D8" w:rsidP="00362750">
            <w:pPr>
              <w:pStyle w:val="TableBodyText"/>
              <w:cnfStyle w:val="000000000000" w:firstRow="0" w:lastRow="0" w:firstColumn="0" w:lastColumn="0" w:oddVBand="0" w:evenVBand="0" w:oddHBand="0" w:evenHBand="0" w:firstRowFirstColumn="0" w:firstRowLastColumn="0" w:lastRowFirstColumn="0" w:lastRowLastColumn="0"/>
            </w:pPr>
            <w:r>
              <w:t>1,997</w:t>
            </w:r>
          </w:p>
        </w:tc>
        <w:tc>
          <w:tcPr>
            <w:tcW w:w="805" w:type="pct"/>
            <w:vAlign w:val="top"/>
          </w:tcPr>
          <w:p w14:paraId="745B18E8" w14:textId="73F619C5" w:rsidR="006E65D8" w:rsidRDefault="006E65D8" w:rsidP="00362750">
            <w:pPr>
              <w:pStyle w:val="TableBodyText"/>
              <w:cnfStyle w:val="000000000000" w:firstRow="0" w:lastRow="0" w:firstColumn="0" w:lastColumn="0" w:oddVBand="0" w:evenVBand="0" w:oddHBand="0" w:evenHBand="0" w:firstRowFirstColumn="0" w:firstRowLastColumn="0" w:lastRowFirstColumn="0" w:lastRowLastColumn="0"/>
            </w:pPr>
            <w:r>
              <w:t>1,837</w:t>
            </w:r>
          </w:p>
        </w:tc>
      </w:tr>
      <w:tr w:rsidR="006E65D8" w:rsidRPr="00601C34" w14:paraId="3608783A"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13099E40" w14:textId="46E2C239" w:rsidR="006E65D8" w:rsidRDefault="006E65D8" w:rsidP="00362750">
            <w:pPr>
              <w:pStyle w:val="TableBodyText"/>
            </w:pPr>
            <w:r>
              <w:t>Later than 1 year but not later than 5 years</w:t>
            </w:r>
          </w:p>
        </w:tc>
        <w:tc>
          <w:tcPr>
            <w:tcW w:w="809" w:type="pct"/>
            <w:vAlign w:val="top"/>
          </w:tcPr>
          <w:p w14:paraId="7308BAD7" w14:textId="12758E0D" w:rsidR="006E65D8" w:rsidRDefault="006E65D8" w:rsidP="00362750">
            <w:pPr>
              <w:pStyle w:val="TableBodyText"/>
              <w:cnfStyle w:val="000000000000" w:firstRow="0" w:lastRow="0" w:firstColumn="0" w:lastColumn="0" w:oddVBand="0" w:evenVBand="0" w:oddHBand="0" w:evenHBand="0" w:firstRowFirstColumn="0" w:firstRowLastColumn="0" w:lastRowFirstColumn="0" w:lastRowLastColumn="0"/>
            </w:pPr>
            <w:r>
              <w:t>5,557</w:t>
            </w:r>
          </w:p>
        </w:tc>
        <w:tc>
          <w:tcPr>
            <w:tcW w:w="805" w:type="pct"/>
            <w:vAlign w:val="top"/>
          </w:tcPr>
          <w:p w14:paraId="30F4AFC9" w14:textId="0008A107" w:rsidR="006E65D8" w:rsidRPr="00601C34" w:rsidRDefault="006E65D8" w:rsidP="00362750">
            <w:pPr>
              <w:pStyle w:val="TableBodyText"/>
              <w:cnfStyle w:val="000000000000" w:firstRow="0" w:lastRow="0" w:firstColumn="0" w:lastColumn="0" w:oddVBand="0" w:evenVBand="0" w:oddHBand="0" w:evenHBand="0" w:firstRowFirstColumn="0" w:firstRowLastColumn="0" w:lastRowFirstColumn="0" w:lastRowLastColumn="0"/>
            </w:pPr>
            <w:r>
              <w:t>5,679</w:t>
            </w:r>
          </w:p>
        </w:tc>
      </w:tr>
      <w:tr w:rsidR="006E65D8" w:rsidRPr="00601C34" w14:paraId="6E7A7680"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7DF92A79" w14:textId="297A3B84" w:rsidR="006E65D8" w:rsidRDefault="006E65D8" w:rsidP="00362750">
            <w:pPr>
              <w:pStyle w:val="TableBodyText"/>
            </w:pPr>
            <w:r>
              <w:t>Later than 5 years</w:t>
            </w:r>
          </w:p>
        </w:tc>
        <w:tc>
          <w:tcPr>
            <w:tcW w:w="809" w:type="pct"/>
            <w:vAlign w:val="top"/>
          </w:tcPr>
          <w:p w14:paraId="5ADF6941" w14:textId="62684168" w:rsidR="006E65D8" w:rsidRDefault="006E65D8" w:rsidP="00362750">
            <w:pPr>
              <w:pStyle w:val="TableBodyText"/>
              <w:cnfStyle w:val="000000000000" w:firstRow="0" w:lastRow="0" w:firstColumn="0" w:lastColumn="0" w:oddVBand="0" w:evenVBand="0" w:oddHBand="0" w:evenHBand="0" w:firstRowFirstColumn="0" w:firstRowLastColumn="0" w:lastRowFirstColumn="0" w:lastRowLastColumn="0"/>
            </w:pPr>
            <w:r>
              <w:t>1,431</w:t>
            </w:r>
          </w:p>
        </w:tc>
        <w:tc>
          <w:tcPr>
            <w:tcW w:w="805" w:type="pct"/>
            <w:vAlign w:val="top"/>
          </w:tcPr>
          <w:p w14:paraId="47D5C1D9" w14:textId="67E8B29F" w:rsidR="006E65D8" w:rsidRPr="00601C34" w:rsidRDefault="006E65D8" w:rsidP="00362750">
            <w:pPr>
              <w:pStyle w:val="TableBodyText"/>
              <w:cnfStyle w:val="000000000000" w:firstRow="0" w:lastRow="0" w:firstColumn="0" w:lastColumn="0" w:oddVBand="0" w:evenVBand="0" w:oddHBand="0" w:evenHBand="0" w:firstRowFirstColumn="0" w:firstRowLastColumn="0" w:lastRowFirstColumn="0" w:lastRowLastColumn="0"/>
            </w:pPr>
            <w:r>
              <w:t>1,996</w:t>
            </w:r>
          </w:p>
        </w:tc>
      </w:tr>
      <w:tr w:rsidR="006E65D8" w:rsidRPr="00596526" w14:paraId="46A8BE9B" w14:textId="77777777" w:rsidTr="0036275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407D74CA" w14:textId="7B414FCC" w:rsidR="006E65D8" w:rsidRPr="00596526" w:rsidRDefault="006E65D8" w:rsidP="00362750">
            <w:pPr>
              <w:pStyle w:val="TableBodyText"/>
              <w:rPr>
                <w:rStyle w:val="Bold"/>
              </w:rPr>
            </w:pPr>
            <w:r>
              <w:rPr>
                <w:rStyle w:val="Bold"/>
              </w:rPr>
              <w:t>Total operating lease receivable</w:t>
            </w:r>
          </w:p>
        </w:tc>
        <w:tc>
          <w:tcPr>
            <w:tcW w:w="809" w:type="pct"/>
            <w:tcBorders>
              <w:top w:val="single" w:sz="4" w:space="0" w:color="auto"/>
              <w:bottom w:val="single" w:sz="4" w:space="0" w:color="auto"/>
            </w:tcBorders>
            <w:vAlign w:val="top"/>
          </w:tcPr>
          <w:p w14:paraId="27F638F5" w14:textId="54D57DB1" w:rsidR="006E65D8" w:rsidRPr="00596526" w:rsidRDefault="006E65D8" w:rsidP="0036275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8,985</w:t>
            </w:r>
          </w:p>
        </w:tc>
        <w:tc>
          <w:tcPr>
            <w:tcW w:w="805" w:type="pct"/>
            <w:tcBorders>
              <w:top w:val="single" w:sz="4" w:space="0" w:color="auto"/>
              <w:bottom w:val="single" w:sz="4" w:space="0" w:color="auto"/>
            </w:tcBorders>
            <w:vAlign w:val="top"/>
          </w:tcPr>
          <w:p w14:paraId="2BF3E519" w14:textId="4C8552BB" w:rsidR="006E65D8" w:rsidRPr="00596526" w:rsidRDefault="006E65D8" w:rsidP="0036275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9,512</w:t>
            </w:r>
          </w:p>
        </w:tc>
      </w:tr>
    </w:tbl>
    <w:p w14:paraId="03A21CA5" w14:textId="3412F381" w:rsidR="000F549E" w:rsidRDefault="006E65D8" w:rsidP="006E65D8">
      <w:pPr>
        <w:pStyle w:val="BodyText"/>
      </w:pPr>
      <w:r>
        <w:t xml:space="preserve">During 2020-21 the Corporation provided rental waivers of $0.2 million to approved applicants (2019-20: $0.1 million) as part of the </w:t>
      </w:r>
      <w:r w:rsidR="0030196D">
        <w:t>COVID</w:t>
      </w:r>
      <w:r w:rsidR="0030196D">
        <w:noBreakHyphen/>
        <w:t>19</w:t>
      </w:r>
      <w:r>
        <w:t xml:space="preserve"> hardship program as directed by the Victorian Government. This has been reflected in the commitments receivable numbers and also in ex-gratia disclosures at note </w:t>
      </w:r>
      <w:r w:rsidR="00450381">
        <w:fldChar w:fldCharType="begin"/>
      </w:r>
      <w:r w:rsidR="00450381">
        <w:instrText xml:space="preserve"> REF Note76 \h </w:instrText>
      </w:r>
      <w:r w:rsidR="00450381">
        <w:fldChar w:fldCharType="separate"/>
      </w:r>
      <w:r w:rsidR="00472151">
        <w:t xml:space="preserve">7.6 </w:t>
      </w:r>
      <w:r w:rsidR="00450381">
        <w:fldChar w:fldCharType="end"/>
      </w:r>
      <w:r>
        <w:t>.</w:t>
      </w:r>
    </w:p>
    <w:p w14:paraId="11092954" w14:textId="77777777" w:rsidR="006E65D8" w:rsidRDefault="006E65D8" w:rsidP="006E65D8">
      <w:pPr>
        <w:pStyle w:val="Heading2"/>
      </w:pPr>
      <w:bookmarkStart w:id="1054" w:name="_Toc89723137"/>
      <w:bookmarkStart w:id="1055" w:name="_Toc89723245"/>
      <w:bookmarkStart w:id="1056" w:name="_Toc89723305"/>
      <w:bookmarkStart w:id="1057" w:name="_Ref89806658"/>
      <w:bookmarkStart w:id="1058" w:name="_Ref89844093"/>
      <w:bookmarkStart w:id="1059" w:name="_Toc89860571"/>
      <w:bookmarkStart w:id="1060" w:name="_Toc89860715"/>
      <w:bookmarkStart w:id="1061" w:name="_Toc90326081"/>
      <w:bookmarkStart w:id="1062" w:name="_Toc93659487"/>
      <w:r>
        <w:t>Financing Our Operations</w:t>
      </w:r>
      <w:bookmarkEnd w:id="1054"/>
      <w:bookmarkEnd w:id="1055"/>
      <w:bookmarkEnd w:id="1056"/>
      <w:bookmarkEnd w:id="1057"/>
      <w:bookmarkEnd w:id="1058"/>
      <w:bookmarkEnd w:id="1059"/>
      <w:bookmarkEnd w:id="1060"/>
      <w:bookmarkEnd w:id="1061"/>
      <w:bookmarkEnd w:id="1062"/>
    </w:p>
    <w:p w14:paraId="27832F11" w14:textId="77777777" w:rsidR="006E65D8" w:rsidRDefault="006E65D8" w:rsidP="006E65D8">
      <w:pPr>
        <w:pStyle w:val="Heading3"/>
      </w:pPr>
      <w:bookmarkStart w:id="1063" w:name="_Toc89723138"/>
      <w:bookmarkStart w:id="1064" w:name="_Toc90326082"/>
      <w:bookmarkStart w:id="1065" w:name="_Toc93659488"/>
      <w:r>
        <w:t>Introduction</w:t>
      </w:r>
      <w:bookmarkEnd w:id="1063"/>
      <w:bookmarkEnd w:id="1064"/>
      <w:bookmarkEnd w:id="1065"/>
    </w:p>
    <w:p w14:paraId="3F19E6EA" w14:textId="3A93D943" w:rsidR="006E65D8" w:rsidRDefault="006E65D8" w:rsidP="006E65D8">
      <w:pPr>
        <w:pStyle w:val="BodyText"/>
      </w:pPr>
      <w:r>
        <w:t>The Corporation's operations are financed through a variety of means. Recurrent operations are generally financed from cash flows from operating activities (see Statement of Cash Flows). Asset investment operations are generally financed from a combination of surplus cash flows from operating activities, asset sales and borrowings.</w:t>
      </w:r>
    </w:p>
    <w:p w14:paraId="5BE814D7" w14:textId="35EC6DFB" w:rsidR="006E65D8" w:rsidRDefault="006E65D8" w:rsidP="006E65D8">
      <w:pPr>
        <w:pStyle w:val="BodyText"/>
      </w:pPr>
      <w:r>
        <w:t>This section provides information on the balances related to the financing of the Corporation's operations, including financial commitments (inclusive of lessor receivables) at year-end.</w:t>
      </w:r>
    </w:p>
    <w:p w14:paraId="71745F9C" w14:textId="77777777" w:rsidR="006E65D8" w:rsidRPr="006E65D8" w:rsidRDefault="006E65D8" w:rsidP="006E65D8">
      <w:pPr>
        <w:pStyle w:val="BodyText"/>
        <w:rPr>
          <w:rStyle w:val="Bold"/>
        </w:rPr>
      </w:pPr>
      <w:r w:rsidRPr="006E65D8">
        <w:rPr>
          <w:rStyle w:val="Bold"/>
        </w:rPr>
        <w:t>Structure</w:t>
      </w:r>
    </w:p>
    <w:p w14:paraId="7E2F5449" w14:textId="6185EF60"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_Ref89845584 \h  \* MERGEFORMAT </w:instrText>
      </w:r>
      <w:r w:rsidRPr="006777C8">
        <w:rPr>
          <w:color w:val="0000FF"/>
          <w:u w:val="single"/>
        </w:rPr>
      </w:r>
      <w:r w:rsidRPr="006777C8">
        <w:rPr>
          <w:color w:val="0000FF"/>
          <w:u w:val="single"/>
        </w:rPr>
        <w:fldChar w:fldCharType="separate"/>
      </w:r>
      <w:r w:rsidR="00472151" w:rsidRPr="00300324">
        <w:t xml:space="preserve">5.1 </w:t>
      </w:r>
      <w:r w:rsidR="00472151" w:rsidRPr="00472151">
        <w:rPr>
          <w:color w:val="0000FF"/>
          <w:u w:val="single"/>
        </w:rPr>
        <w:t>Interest bearing liabilities</w:t>
      </w:r>
      <w:r w:rsidRPr="006777C8">
        <w:rPr>
          <w:color w:val="0000FF"/>
          <w:u w:val="single"/>
        </w:rPr>
        <w:fldChar w:fldCharType="end"/>
      </w:r>
    </w:p>
    <w:p w14:paraId="2E9E20E0" w14:textId="2277F88E"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_Ref89845589 \h  \* MERGEFORMAT </w:instrText>
      </w:r>
      <w:r w:rsidRPr="006777C8">
        <w:rPr>
          <w:color w:val="0000FF"/>
          <w:u w:val="single"/>
        </w:rPr>
      </w:r>
      <w:r w:rsidRPr="006777C8">
        <w:rPr>
          <w:color w:val="0000FF"/>
          <w:u w:val="single"/>
        </w:rPr>
        <w:fldChar w:fldCharType="separate"/>
      </w:r>
      <w:r w:rsidR="00472151">
        <w:t xml:space="preserve">5.2 </w:t>
      </w:r>
      <w:r w:rsidR="00472151" w:rsidRPr="00472151">
        <w:rPr>
          <w:color w:val="0000FF"/>
          <w:u w:val="single"/>
        </w:rPr>
        <w:t>Cash flow information and balances</w:t>
      </w:r>
      <w:r w:rsidRPr="006777C8">
        <w:rPr>
          <w:color w:val="0000FF"/>
          <w:u w:val="single"/>
        </w:rPr>
        <w:fldChar w:fldCharType="end"/>
      </w:r>
    </w:p>
    <w:p w14:paraId="15EE966A" w14:textId="7B61B1A8"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_Ref89845591 \h  \* MERGEFORMAT </w:instrText>
      </w:r>
      <w:r w:rsidRPr="006777C8">
        <w:rPr>
          <w:color w:val="0000FF"/>
          <w:u w:val="single"/>
        </w:rPr>
      </w:r>
      <w:r w:rsidRPr="006777C8">
        <w:rPr>
          <w:color w:val="0000FF"/>
          <w:u w:val="single"/>
        </w:rPr>
        <w:fldChar w:fldCharType="separate"/>
      </w:r>
      <w:r w:rsidR="00472151">
        <w:t xml:space="preserve">5.3 </w:t>
      </w:r>
      <w:r w:rsidR="00472151" w:rsidRPr="00472151">
        <w:rPr>
          <w:color w:val="0000FF"/>
          <w:u w:val="single"/>
        </w:rPr>
        <w:t>Commitments</w:t>
      </w:r>
      <w:r w:rsidRPr="006777C8">
        <w:rPr>
          <w:color w:val="0000FF"/>
          <w:u w:val="single"/>
        </w:rPr>
        <w:fldChar w:fldCharType="end"/>
      </w:r>
    </w:p>
    <w:p w14:paraId="23ED0C9D" w14:textId="6650F91F" w:rsidR="006777C8" w:rsidRDefault="006777C8" w:rsidP="006777C8">
      <w:pPr>
        <w:pStyle w:val="NoSpacing"/>
        <w:spacing w:line="288" w:lineRule="auto"/>
      </w:pPr>
      <w:r w:rsidRPr="006777C8">
        <w:rPr>
          <w:color w:val="0000FF"/>
          <w:u w:val="single"/>
        </w:rPr>
        <w:fldChar w:fldCharType="begin"/>
      </w:r>
      <w:r w:rsidRPr="006777C8">
        <w:rPr>
          <w:color w:val="0000FF"/>
          <w:u w:val="single"/>
        </w:rPr>
        <w:instrText xml:space="preserve"> REF _Ref89845595 \h  \* MERGEFORMAT </w:instrText>
      </w:r>
      <w:r w:rsidRPr="006777C8">
        <w:rPr>
          <w:color w:val="0000FF"/>
          <w:u w:val="single"/>
        </w:rPr>
      </w:r>
      <w:r w:rsidRPr="006777C8">
        <w:rPr>
          <w:color w:val="0000FF"/>
          <w:u w:val="single"/>
        </w:rPr>
        <w:fldChar w:fldCharType="separate"/>
      </w:r>
      <w:r w:rsidR="00472151">
        <w:t xml:space="preserve">5.4 </w:t>
      </w:r>
      <w:r w:rsidR="00472151" w:rsidRPr="00472151">
        <w:rPr>
          <w:color w:val="0000FF"/>
          <w:u w:val="single"/>
        </w:rPr>
        <w:t>Victorian Desalination Plant service concession arrangement</w:t>
      </w:r>
      <w:r w:rsidRPr="006777C8">
        <w:rPr>
          <w:color w:val="0000FF"/>
          <w:u w:val="single"/>
        </w:rPr>
        <w:fldChar w:fldCharType="end"/>
      </w:r>
    </w:p>
    <w:p w14:paraId="4529EFB8" w14:textId="59D28796" w:rsidR="00300324" w:rsidRDefault="00300324" w:rsidP="003B2899">
      <w:pPr>
        <w:pStyle w:val="Heading3"/>
      </w:pPr>
      <w:bookmarkStart w:id="1066" w:name="Note51"/>
      <w:bookmarkStart w:id="1067" w:name="_Toc89723139"/>
      <w:bookmarkStart w:id="1068" w:name="_Ref89844120"/>
      <w:bookmarkStart w:id="1069" w:name="_Ref89845584"/>
      <w:bookmarkStart w:id="1070" w:name="_Toc90326083"/>
      <w:bookmarkStart w:id="1071" w:name="_Toc93659489"/>
      <w:r w:rsidRPr="00300324">
        <w:lastRenderedPageBreak/>
        <w:t xml:space="preserve">5.1 </w:t>
      </w:r>
      <w:bookmarkEnd w:id="1066"/>
      <w:r w:rsidRPr="00300324">
        <w:t>Interest bearing liabilities</w:t>
      </w:r>
      <w:bookmarkEnd w:id="1067"/>
      <w:bookmarkEnd w:id="1068"/>
      <w:bookmarkEnd w:id="1069"/>
      <w:bookmarkEnd w:id="1070"/>
      <w:bookmarkEnd w:id="1071"/>
    </w:p>
    <w:tbl>
      <w:tblPr>
        <w:tblStyle w:val="Style1"/>
        <w:tblW w:w="5000" w:type="pct"/>
        <w:tblLook w:val="04A0" w:firstRow="1" w:lastRow="0" w:firstColumn="1" w:lastColumn="0" w:noHBand="0" w:noVBand="1"/>
      </w:tblPr>
      <w:tblGrid>
        <w:gridCol w:w="6522"/>
        <w:gridCol w:w="1558"/>
        <w:gridCol w:w="1551"/>
      </w:tblGrid>
      <w:tr w:rsidR="006E65D8" w:rsidRPr="00362750" w14:paraId="3FE13F2A"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69B26ADA" w14:textId="77777777" w:rsidR="006E65D8" w:rsidRPr="00362750" w:rsidRDefault="006E65D8" w:rsidP="003B2899">
            <w:pPr>
              <w:keepNext/>
              <w:keepLines/>
            </w:pPr>
            <w:bookmarkStart w:id="1072" w:name="ColumnTitle_78"/>
            <w:r w:rsidRPr="00362750">
              <w:t>Item</w:t>
            </w:r>
          </w:p>
        </w:tc>
        <w:tc>
          <w:tcPr>
            <w:tcW w:w="809" w:type="pct"/>
            <w:tcBorders>
              <w:top w:val="single" w:sz="4" w:space="0" w:color="auto"/>
            </w:tcBorders>
            <w:vAlign w:val="bottom"/>
          </w:tcPr>
          <w:p w14:paraId="7CBA0AED" w14:textId="77777777" w:rsidR="006E65D8" w:rsidRPr="00362750" w:rsidRDefault="006E65D8" w:rsidP="003B2899">
            <w:pPr>
              <w:keepNext/>
              <w:keepLines/>
              <w:cnfStyle w:val="100000000000" w:firstRow="1" w:lastRow="0" w:firstColumn="0" w:lastColumn="0" w:oddVBand="0" w:evenVBand="0" w:oddHBand="0" w:evenHBand="0" w:firstRowFirstColumn="0" w:firstRowLastColumn="0" w:lastRowFirstColumn="0" w:lastRowLastColumn="0"/>
            </w:pPr>
            <w:r w:rsidRPr="00362750">
              <w:t xml:space="preserve">2021 </w:t>
            </w:r>
          </w:p>
          <w:p w14:paraId="08422F38" w14:textId="77777777" w:rsidR="006E65D8" w:rsidRPr="00362750" w:rsidRDefault="006E65D8" w:rsidP="003B2899">
            <w:pPr>
              <w:keepNext/>
              <w:keepLines/>
              <w:cnfStyle w:val="100000000000" w:firstRow="1" w:lastRow="0" w:firstColumn="0" w:lastColumn="0" w:oddVBand="0" w:evenVBand="0" w:oddHBand="0" w:evenHBand="0" w:firstRowFirstColumn="0" w:firstRowLastColumn="0" w:lastRowFirstColumn="0" w:lastRowLastColumn="0"/>
            </w:pPr>
            <w:r w:rsidRPr="00362750">
              <w:t>($ thousands)</w:t>
            </w:r>
          </w:p>
        </w:tc>
        <w:tc>
          <w:tcPr>
            <w:tcW w:w="805" w:type="pct"/>
            <w:tcBorders>
              <w:top w:val="single" w:sz="4" w:space="0" w:color="auto"/>
            </w:tcBorders>
            <w:vAlign w:val="bottom"/>
          </w:tcPr>
          <w:p w14:paraId="6E1A3A67" w14:textId="77777777" w:rsidR="006E65D8" w:rsidRPr="00362750" w:rsidRDefault="006E65D8" w:rsidP="003B2899">
            <w:pPr>
              <w:keepNext/>
              <w:keepLines/>
              <w:cnfStyle w:val="100000000000" w:firstRow="1" w:lastRow="0" w:firstColumn="0" w:lastColumn="0" w:oddVBand="0" w:evenVBand="0" w:oddHBand="0" w:evenHBand="0" w:firstRowFirstColumn="0" w:firstRowLastColumn="0" w:lastRowFirstColumn="0" w:lastRowLastColumn="0"/>
            </w:pPr>
            <w:r w:rsidRPr="00362750">
              <w:t xml:space="preserve">2020 </w:t>
            </w:r>
          </w:p>
          <w:p w14:paraId="7F3F710F" w14:textId="77777777" w:rsidR="006E65D8" w:rsidRPr="00362750" w:rsidRDefault="006E65D8" w:rsidP="003B2899">
            <w:pPr>
              <w:keepNext/>
              <w:keepLines/>
              <w:cnfStyle w:val="100000000000" w:firstRow="1" w:lastRow="0" w:firstColumn="0" w:lastColumn="0" w:oddVBand="0" w:evenVBand="0" w:oddHBand="0" w:evenHBand="0" w:firstRowFirstColumn="0" w:firstRowLastColumn="0" w:lastRowFirstColumn="0" w:lastRowLastColumn="0"/>
            </w:pPr>
            <w:r w:rsidRPr="00362750">
              <w:t>($ thousands)</w:t>
            </w:r>
          </w:p>
        </w:tc>
      </w:tr>
      <w:bookmarkEnd w:id="1072"/>
      <w:tr w:rsidR="006E65D8" w:rsidRPr="0076797F" w14:paraId="57AFF5D2"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3F410BB2" w14:textId="72AFC780" w:rsidR="006E65D8" w:rsidRPr="00362750" w:rsidRDefault="00300324" w:rsidP="003B2899">
            <w:pPr>
              <w:pStyle w:val="TableBodyText"/>
              <w:keepNext/>
              <w:keepLines/>
              <w:rPr>
                <w:rStyle w:val="Bold"/>
              </w:rPr>
            </w:pPr>
            <w:r w:rsidRPr="00362750">
              <w:rPr>
                <w:rStyle w:val="Bold"/>
              </w:rPr>
              <w:t>Current interest bearing liabilities</w:t>
            </w:r>
          </w:p>
        </w:tc>
        <w:tc>
          <w:tcPr>
            <w:tcW w:w="809" w:type="pct"/>
            <w:vAlign w:val="top"/>
          </w:tcPr>
          <w:p w14:paraId="3D6A728C" w14:textId="39C32D0F" w:rsidR="006E65D8"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37B93841" w14:textId="585D677D" w:rsidR="006E65D8"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6E65D8" w:rsidRPr="00601C34" w14:paraId="3C35FAC4"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14765BD3" w14:textId="3C63A9E9" w:rsidR="006E65D8" w:rsidRDefault="00DC0A06" w:rsidP="003B2899">
            <w:pPr>
              <w:pStyle w:val="TableBodyText"/>
              <w:keepNext/>
              <w:keepLines/>
            </w:pPr>
            <w:r>
              <w:t>Victorian Desalination Plant</w:t>
            </w:r>
            <w:r w:rsidR="00300324">
              <w:t xml:space="preserve"> service concession liability</w:t>
            </w:r>
          </w:p>
        </w:tc>
        <w:tc>
          <w:tcPr>
            <w:tcW w:w="809" w:type="pct"/>
            <w:vAlign w:val="top"/>
          </w:tcPr>
          <w:p w14:paraId="1BAD5BA9" w14:textId="3A6AAA3C" w:rsidR="006E65D8"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20,693</w:t>
            </w:r>
          </w:p>
        </w:tc>
        <w:tc>
          <w:tcPr>
            <w:tcW w:w="805" w:type="pct"/>
            <w:vAlign w:val="top"/>
          </w:tcPr>
          <w:p w14:paraId="64A22A19" w14:textId="664E1756" w:rsidR="006E65D8" w:rsidRPr="00601C34"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38,064</w:t>
            </w:r>
          </w:p>
        </w:tc>
      </w:tr>
      <w:tr w:rsidR="006E65D8" w:rsidRPr="00601C34" w14:paraId="67EC48EF"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7DE20A70" w14:textId="6294AAFD" w:rsidR="006E65D8" w:rsidRDefault="00300324" w:rsidP="003B2899">
            <w:pPr>
              <w:pStyle w:val="TableBodyText"/>
              <w:keepNext/>
              <w:keepLines/>
            </w:pPr>
            <w:r>
              <w:t>Lease liabilities</w:t>
            </w:r>
          </w:p>
        </w:tc>
        <w:tc>
          <w:tcPr>
            <w:tcW w:w="809" w:type="pct"/>
            <w:vAlign w:val="top"/>
          </w:tcPr>
          <w:p w14:paraId="63B777B3" w14:textId="358F37B4" w:rsidR="006E65D8"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7,430</w:t>
            </w:r>
          </w:p>
        </w:tc>
        <w:tc>
          <w:tcPr>
            <w:tcW w:w="805" w:type="pct"/>
            <w:vAlign w:val="top"/>
          </w:tcPr>
          <w:p w14:paraId="1078088A" w14:textId="7F6CA4A6" w:rsidR="006E65D8" w:rsidRPr="00601C34"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6,551</w:t>
            </w:r>
          </w:p>
        </w:tc>
      </w:tr>
      <w:tr w:rsidR="00300324" w:rsidRPr="00601C34" w14:paraId="6F24D6B4" w14:textId="77777777" w:rsidTr="00362750">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25250AAD" w14:textId="0C19B637" w:rsidR="00300324" w:rsidRDefault="00300324" w:rsidP="003B2899">
            <w:pPr>
              <w:pStyle w:val="TableBodyText"/>
              <w:keepNext/>
              <w:keepLines/>
            </w:pPr>
            <w:r>
              <w:t>Borrowings</w:t>
            </w:r>
          </w:p>
        </w:tc>
        <w:tc>
          <w:tcPr>
            <w:tcW w:w="809" w:type="pct"/>
            <w:tcBorders>
              <w:bottom w:val="single" w:sz="4" w:space="0" w:color="auto"/>
            </w:tcBorders>
            <w:vAlign w:val="top"/>
          </w:tcPr>
          <w:p w14:paraId="19175043" w14:textId="3CD345A4" w:rsidR="00300324"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346,445</w:t>
            </w:r>
          </w:p>
        </w:tc>
        <w:tc>
          <w:tcPr>
            <w:tcW w:w="805" w:type="pct"/>
            <w:tcBorders>
              <w:bottom w:val="single" w:sz="4" w:space="0" w:color="auto"/>
            </w:tcBorders>
            <w:vAlign w:val="top"/>
          </w:tcPr>
          <w:p w14:paraId="2E6EE3C5" w14:textId="38FFD72F" w:rsidR="00300324"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569,300</w:t>
            </w:r>
          </w:p>
        </w:tc>
      </w:tr>
      <w:tr w:rsidR="006E65D8" w:rsidRPr="00596526" w14:paraId="6FB298CF" w14:textId="77777777" w:rsidTr="0036275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6EB6D881" w14:textId="4D2F8E4E" w:rsidR="006E65D8" w:rsidRPr="00596526" w:rsidRDefault="00300324" w:rsidP="003B2899">
            <w:pPr>
              <w:pStyle w:val="TableBodyText"/>
              <w:keepNext/>
              <w:keepLines/>
              <w:rPr>
                <w:rStyle w:val="Bold"/>
              </w:rPr>
            </w:pPr>
            <w:r>
              <w:rPr>
                <w:rStyle w:val="Bold"/>
              </w:rPr>
              <w:t>Total current interest bearing liabilities</w:t>
            </w:r>
          </w:p>
        </w:tc>
        <w:tc>
          <w:tcPr>
            <w:tcW w:w="809" w:type="pct"/>
            <w:tcBorders>
              <w:top w:val="single" w:sz="4" w:space="0" w:color="auto"/>
            </w:tcBorders>
            <w:vAlign w:val="top"/>
          </w:tcPr>
          <w:p w14:paraId="779CCB57" w14:textId="121E700A" w:rsidR="006E65D8" w:rsidRPr="00596526"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Pr>
                <w:rStyle w:val="Bold"/>
              </w:rPr>
              <w:t>374,568</w:t>
            </w:r>
          </w:p>
        </w:tc>
        <w:tc>
          <w:tcPr>
            <w:tcW w:w="805" w:type="pct"/>
            <w:tcBorders>
              <w:top w:val="single" w:sz="4" w:space="0" w:color="auto"/>
            </w:tcBorders>
            <w:vAlign w:val="top"/>
          </w:tcPr>
          <w:p w14:paraId="5531B9D2" w14:textId="19F790DD" w:rsidR="006E65D8" w:rsidRPr="00596526" w:rsidRDefault="00300324" w:rsidP="003B2899">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Pr>
                <w:rStyle w:val="Bold"/>
              </w:rPr>
              <w:t>613,915</w:t>
            </w:r>
          </w:p>
        </w:tc>
      </w:tr>
      <w:tr w:rsidR="00300324" w:rsidRPr="00596526" w14:paraId="28AD7A8F"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2FF07FA3" w14:textId="1C0AFBB8" w:rsidR="00300324" w:rsidRPr="00300324" w:rsidRDefault="00300324" w:rsidP="00362750">
            <w:pPr>
              <w:pStyle w:val="TableBodyText"/>
              <w:rPr>
                <w:rStyle w:val="Bold"/>
              </w:rPr>
            </w:pPr>
            <w:r w:rsidRPr="00300324">
              <w:rPr>
                <w:rStyle w:val="Bold"/>
              </w:rPr>
              <w:t>Non-current interest bearing liabilities</w:t>
            </w:r>
          </w:p>
        </w:tc>
        <w:tc>
          <w:tcPr>
            <w:tcW w:w="809" w:type="pct"/>
            <w:vAlign w:val="top"/>
          </w:tcPr>
          <w:p w14:paraId="385D53A7" w14:textId="72CF31EA"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6F5EF36C" w14:textId="2A38B23C"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N/A</w:t>
            </w:r>
          </w:p>
        </w:tc>
      </w:tr>
      <w:tr w:rsidR="00300324" w:rsidRPr="00596526" w14:paraId="6A74E19C"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04EA272E" w14:textId="27400F9A" w:rsidR="00300324" w:rsidRDefault="00DC0A06" w:rsidP="00362750">
            <w:pPr>
              <w:pStyle w:val="TableBodyText"/>
            </w:pPr>
            <w:r>
              <w:t>Victorian Desalination Plant</w:t>
            </w:r>
            <w:r w:rsidR="00300324">
              <w:t xml:space="preserve"> service concession liability</w:t>
            </w:r>
          </w:p>
        </w:tc>
        <w:tc>
          <w:tcPr>
            <w:tcW w:w="809" w:type="pct"/>
            <w:vAlign w:val="top"/>
          </w:tcPr>
          <w:p w14:paraId="25EDCA02" w14:textId="6521DEDE"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3,544,228</w:t>
            </w:r>
          </w:p>
        </w:tc>
        <w:tc>
          <w:tcPr>
            <w:tcW w:w="805" w:type="pct"/>
            <w:vAlign w:val="top"/>
          </w:tcPr>
          <w:p w14:paraId="2E6B6E58" w14:textId="529E7D2C"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3,564,920</w:t>
            </w:r>
          </w:p>
        </w:tc>
      </w:tr>
      <w:tr w:rsidR="00300324" w:rsidRPr="00596526" w14:paraId="6E5F50BD" w14:textId="77777777" w:rsidTr="00362750">
        <w:tc>
          <w:tcPr>
            <w:cnfStyle w:val="001000000000" w:firstRow="0" w:lastRow="0" w:firstColumn="1" w:lastColumn="0" w:oddVBand="0" w:evenVBand="0" w:oddHBand="0" w:evenHBand="0" w:firstRowFirstColumn="0" w:firstRowLastColumn="0" w:lastRowFirstColumn="0" w:lastRowLastColumn="0"/>
            <w:tcW w:w="3385" w:type="pct"/>
            <w:vAlign w:val="top"/>
          </w:tcPr>
          <w:p w14:paraId="3B430B54" w14:textId="3C34DB9E" w:rsidR="00300324" w:rsidRDefault="00300324" w:rsidP="00362750">
            <w:pPr>
              <w:pStyle w:val="TableBodyText"/>
            </w:pPr>
            <w:r>
              <w:t>Lease liabilities</w:t>
            </w:r>
          </w:p>
        </w:tc>
        <w:tc>
          <w:tcPr>
            <w:tcW w:w="809" w:type="pct"/>
            <w:vAlign w:val="top"/>
          </w:tcPr>
          <w:p w14:paraId="16166997" w14:textId="71FC0404"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43,462</w:t>
            </w:r>
          </w:p>
        </w:tc>
        <w:tc>
          <w:tcPr>
            <w:tcW w:w="805" w:type="pct"/>
            <w:vAlign w:val="top"/>
          </w:tcPr>
          <w:p w14:paraId="74DD71B0" w14:textId="4D6665EA"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50,893</w:t>
            </w:r>
          </w:p>
        </w:tc>
      </w:tr>
      <w:tr w:rsidR="00300324" w:rsidRPr="00596526" w14:paraId="5A8561AA" w14:textId="77777777" w:rsidTr="00362750">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2C67C314" w14:textId="0A492527" w:rsidR="00300324" w:rsidRDefault="00300324" w:rsidP="00362750">
            <w:pPr>
              <w:pStyle w:val="TableBodyText"/>
            </w:pPr>
            <w:r>
              <w:t>Borrowings</w:t>
            </w:r>
          </w:p>
        </w:tc>
        <w:tc>
          <w:tcPr>
            <w:tcW w:w="809" w:type="pct"/>
            <w:tcBorders>
              <w:bottom w:val="single" w:sz="4" w:space="0" w:color="auto"/>
            </w:tcBorders>
            <w:vAlign w:val="top"/>
          </w:tcPr>
          <w:p w14:paraId="23B3ACF6" w14:textId="5E4F1AF1"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3,900,000</w:t>
            </w:r>
          </w:p>
        </w:tc>
        <w:tc>
          <w:tcPr>
            <w:tcW w:w="805" w:type="pct"/>
            <w:tcBorders>
              <w:bottom w:val="single" w:sz="4" w:space="0" w:color="auto"/>
            </w:tcBorders>
            <w:vAlign w:val="top"/>
          </w:tcPr>
          <w:p w14:paraId="3EFF12EA" w14:textId="561DDF7C"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pPr>
            <w:r>
              <w:t>3,585,000</w:t>
            </w:r>
          </w:p>
        </w:tc>
      </w:tr>
      <w:tr w:rsidR="00300324" w:rsidRPr="00300324" w14:paraId="66191E8C" w14:textId="77777777" w:rsidTr="0036275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708F7996" w14:textId="062EC9B0" w:rsidR="00300324" w:rsidRPr="00300324" w:rsidRDefault="00300324" w:rsidP="00362750">
            <w:pPr>
              <w:pStyle w:val="TableBodyText"/>
              <w:rPr>
                <w:rStyle w:val="Bold"/>
              </w:rPr>
            </w:pPr>
            <w:r w:rsidRPr="00300324">
              <w:rPr>
                <w:rStyle w:val="Bold"/>
              </w:rPr>
              <w:t>Total non-current interest bearing liabilities</w:t>
            </w:r>
          </w:p>
        </w:tc>
        <w:tc>
          <w:tcPr>
            <w:tcW w:w="809" w:type="pct"/>
            <w:tcBorders>
              <w:top w:val="single" w:sz="4" w:space="0" w:color="auto"/>
              <w:bottom w:val="single" w:sz="4" w:space="0" w:color="auto"/>
            </w:tcBorders>
            <w:vAlign w:val="top"/>
          </w:tcPr>
          <w:p w14:paraId="4B3850D3" w14:textId="797A54FC" w:rsidR="00300324" w:rsidRP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00324">
              <w:rPr>
                <w:rStyle w:val="Bold"/>
              </w:rPr>
              <w:t>7,487,690</w:t>
            </w:r>
          </w:p>
        </w:tc>
        <w:tc>
          <w:tcPr>
            <w:tcW w:w="805" w:type="pct"/>
            <w:tcBorders>
              <w:top w:val="single" w:sz="4" w:space="0" w:color="auto"/>
              <w:bottom w:val="single" w:sz="4" w:space="0" w:color="auto"/>
            </w:tcBorders>
            <w:vAlign w:val="top"/>
          </w:tcPr>
          <w:p w14:paraId="4A8186B1" w14:textId="22161B99" w:rsidR="00300324" w:rsidRP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00324">
              <w:rPr>
                <w:rStyle w:val="Bold"/>
              </w:rPr>
              <w:t>7,200,813</w:t>
            </w:r>
          </w:p>
        </w:tc>
      </w:tr>
      <w:tr w:rsidR="00300324" w:rsidRPr="00596526" w14:paraId="61A93763" w14:textId="77777777" w:rsidTr="0036275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609DD4AB" w14:textId="0D088F87" w:rsidR="00300324" w:rsidRDefault="00300324" w:rsidP="00362750">
            <w:pPr>
              <w:pStyle w:val="TableBodyText"/>
              <w:rPr>
                <w:rStyle w:val="Bold"/>
              </w:rPr>
            </w:pPr>
            <w:r>
              <w:rPr>
                <w:rStyle w:val="Bold"/>
              </w:rPr>
              <w:t>Total interest bearing liabilities</w:t>
            </w:r>
          </w:p>
        </w:tc>
        <w:tc>
          <w:tcPr>
            <w:tcW w:w="809" w:type="pct"/>
            <w:tcBorders>
              <w:top w:val="single" w:sz="4" w:space="0" w:color="auto"/>
              <w:bottom w:val="single" w:sz="4" w:space="0" w:color="auto"/>
            </w:tcBorders>
            <w:vAlign w:val="top"/>
          </w:tcPr>
          <w:p w14:paraId="21F488AD" w14:textId="29FEBB19"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7,862,258</w:t>
            </w:r>
          </w:p>
        </w:tc>
        <w:tc>
          <w:tcPr>
            <w:tcW w:w="805" w:type="pct"/>
            <w:tcBorders>
              <w:top w:val="single" w:sz="4" w:space="0" w:color="auto"/>
              <w:bottom w:val="single" w:sz="4" w:space="0" w:color="auto"/>
            </w:tcBorders>
            <w:vAlign w:val="top"/>
          </w:tcPr>
          <w:p w14:paraId="3D2C258C" w14:textId="38D7FCB7" w:rsidR="00300324" w:rsidRDefault="00300324" w:rsidP="0036275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7,814,728</w:t>
            </w:r>
          </w:p>
        </w:tc>
      </w:tr>
    </w:tbl>
    <w:p w14:paraId="0BB3CA3F" w14:textId="153B84F1" w:rsidR="006E65D8" w:rsidRDefault="00300324" w:rsidP="00300324">
      <w:pPr>
        <w:pStyle w:val="BodyText"/>
      </w:pPr>
      <w:r w:rsidRPr="00300324">
        <w:rPr>
          <w:rStyle w:val="Bold"/>
        </w:rPr>
        <w:t>Interest bearing liabilities</w:t>
      </w:r>
      <w:r>
        <w:t xml:space="preserve"> come from borrowings raised through the Treasury Corporation of Victoria (TCV), along with </w:t>
      </w:r>
      <w:r w:rsidR="00DC0A06">
        <w:t>Victorian Desalination Plant</w:t>
      </w:r>
      <w:r>
        <w:t xml:space="preserve"> service concession liability and leases. They are classified as financial instruments. All interest bearing liabilities are initially recognised at the fair value of the consideration received less directly attributable transaction costs. Interest bearing liabilities are subsequently measured at amortised cost using the constant interest rate method, with interest expense recognised on an effective yield basis.</w:t>
      </w:r>
    </w:p>
    <w:p w14:paraId="01D0214B" w14:textId="1FA3654F" w:rsidR="00300324" w:rsidRDefault="00300324" w:rsidP="00300324">
      <w:pPr>
        <w:pStyle w:val="BodyText"/>
      </w:pPr>
      <w:r>
        <w:t xml:space="preserve">Financial liabilities for the </w:t>
      </w:r>
      <w:r w:rsidR="00DC0A06">
        <w:t>Victorian Desalination Plant</w:t>
      </w:r>
      <w:r>
        <w:t xml:space="preserve"> service concession liability were initially measured at the fair value of the service concession asset. Any modifications to the debt repayments are considered with reference to the guidance within AASB 9. Refer to note </w:t>
      </w:r>
      <w:r w:rsidR="003742AD">
        <w:fldChar w:fldCharType="begin"/>
      </w:r>
      <w:r w:rsidR="003742AD">
        <w:instrText xml:space="preserve"> REF Note512 \h </w:instrText>
      </w:r>
      <w:r w:rsidR="003742AD">
        <w:fldChar w:fldCharType="separate"/>
      </w:r>
      <w:r w:rsidR="00472151" w:rsidRPr="00300324">
        <w:t xml:space="preserve">5.1.2 </w:t>
      </w:r>
      <w:r w:rsidR="003742AD">
        <w:fldChar w:fldCharType="end"/>
      </w:r>
      <w:r>
        <w:t>.</w:t>
      </w:r>
    </w:p>
    <w:p w14:paraId="7787C704" w14:textId="2BCF7EAE" w:rsidR="00300324" w:rsidRDefault="00300324" w:rsidP="00300324">
      <w:pPr>
        <w:pStyle w:val="BodyText"/>
      </w:pPr>
      <w:r>
        <w:t>Where the Corporation has an unconditional right to defer settlement of the liability for at least 12 months after the balance date, interest bearing liabilities are classified as non-current liabilities. Otherwise interest bearing liabilities are classified as current liabilities.</w:t>
      </w:r>
    </w:p>
    <w:p w14:paraId="5D95B1C9" w14:textId="6CD9D0C6" w:rsidR="006E65D8" w:rsidRDefault="00300324" w:rsidP="00300324">
      <w:pPr>
        <w:pStyle w:val="Heading4"/>
      </w:pPr>
      <w:bookmarkStart w:id="1073" w:name="Note511"/>
      <w:r>
        <w:t xml:space="preserve">5.1.1 </w:t>
      </w:r>
      <w:bookmarkEnd w:id="1073"/>
      <w:r>
        <w:t>Break</w:t>
      </w:r>
      <w:r w:rsidRPr="00300324">
        <w:t>down of finance costs</w:t>
      </w:r>
    </w:p>
    <w:tbl>
      <w:tblPr>
        <w:tblStyle w:val="Style1"/>
        <w:tblW w:w="5000" w:type="pct"/>
        <w:tblLook w:val="04A0" w:firstRow="1" w:lastRow="0" w:firstColumn="1" w:lastColumn="0" w:noHBand="0" w:noVBand="1"/>
      </w:tblPr>
      <w:tblGrid>
        <w:gridCol w:w="6522"/>
        <w:gridCol w:w="1558"/>
        <w:gridCol w:w="1551"/>
      </w:tblGrid>
      <w:tr w:rsidR="00300324" w:rsidRPr="00FE44D0" w14:paraId="5FC7E329"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66229C22" w14:textId="77777777" w:rsidR="00300324" w:rsidRPr="00FE44D0" w:rsidRDefault="00300324" w:rsidP="00FE44D0">
            <w:bookmarkStart w:id="1074" w:name="ColumnTitle_79"/>
            <w:r w:rsidRPr="00FE44D0">
              <w:t>Item</w:t>
            </w:r>
          </w:p>
        </w:tc>
        <w:tc>
          <w:tcPr>
            <w:tcW w:w="809" w:type="pct"/>
            <w:tcBorders>
              <w:top w:val="single" w:sz="4" w:space="0" w:color="auto"/>
            </w:tcBorders>
            <w:vAlign w:val="bottom"/>
          </w:tcPr>
          <w:p w14:paraId="58CCA9A7"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xml:space="preserve">2021 </w:t>
            </w:r>
          </w:p>
          <w:p w14:paraId="3E955BB0"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thousands)</w:t>
            </w:r>
          </w:p>
        </w:tc>
        <w:tc>
          <w:tcPr>
            <w:tcW w:w="805" w:type="pct"/>
            <w:tcBorders>
              <w:top w:val="single" w:sz="4" w:space="0" w:color="auto"/>
            </w:tcBorders>
            <w:vAlign w:val="bottom"/>
          </w:tcPr>
          <w:p w14:paraId="02EB379F"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xml:space="preserve">2020 </w:t>
            </w:r>
          </w:p>
          <w:p w14:paraId="14C18995"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thousands)</w:t>
            </w:r>
          </w:p>
        </w:tc>
      </w:tr>
      <w:bookmarkEnd w:id="1074"/>
      <w:tr w:rsidR="00300324" w:rsidRPr="0076797F" w14:paraId="5E461E8E"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1262780F" w14:textId="10780B2F" w:rsidR="00300324" w:rsidRPr="00601C34" w:rsidRDefault="00300324" w:rsidP="00FE44D0">
            <w:pPr>
              <w:pStyle w:val="TableBodyText"/>
            </w:pPr>
            <w:r>
              <w:t>Interest expense</w:t>
            </w:r>
          </w:p>
        </w:tc>
        <w:tc>
          <w:tcPr>
            <w:tcW w:w="809" w:type="pct"/>
            <w:vAlign w:val="top"/>
          </w:tcPr>
          <w:p w14:paraId="66A49AF5" w14:textId="56C2D90F" w:rsidR="0030032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132,730</w:t>
            </w:r>
          </w:p>
        </w:tc>
        <w:tc>
          <w:tcPr>
            <w:tcW w:w="805" w:type="pct"/>
            <w:vAlign w:val="top"/>
          </w:tcPr>
          <w:p w14:paraId="53D99C18" w14:textId="7D6EBB2B" w:rsidR="0030032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147,817</w:t>
            </w:r>
          </w:p>
        </w:tc>
      </w:tr>
      <w:tr w:rsidR="00300324" w:rsidRPr="00601C34" w14:paraId="4F3ECA71"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430F259F" w14:textId="72EC94E2" w:rsidR="00300324" w:rsidRDefault="00DC0A06" w:rsidP="00FE44D0">
            <w:pPr>
              <w:pStyle w:val="TableBodyText"/>
            </w:pPr>
            <w:r>
              <w:t>Victorian Desalination Plant</w:t>
            </w:r>
            <w:r w:rsidR="00300324">
              <w:t xml:space="preserve"> service concession liability</w:t>
            </w:r>
          </w:p>
        </w:tc>
        <w:tc>
          <w:tcPr>
            <w:tcW w:w="809" w:type="pct"/>
            <w:vAlign w:val="top"/>
          </w:tcPr>
          <w:p w14:paraId="37231E27" w14:textId="3E253CA6" w:rsidR="0030032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403,675</w:t>
            </w:r>
          </w:p>
        </w:tc>
        <w:tc>
          <w:tcPr>
            <w:tcW w:w="805" w:type="pct"/>
            <w:vAlign w:val="top"/>
          </w:tcPr>
          <w:p w14:paraId="59488C64" w14:textId="18E9D96F" w:rsidR="00300324" w:rsidRPr="00601C3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413,197</w:t>
            </w:r>
          </w:p>
        </w:tc>
      </w:tr>
      <w:tr w:rsidR="00300324" w:rsidRPr="00601C34" w14:paraId="52A3A45B"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36E94364" w14:textId="05D69F23" w:rsidR="00300324" w:rsidRDefault="00300324" w:rsidP="00FE44D0">
            <w:pPr>
              <w:pStyle w:val="TableBodyText"/>
            </w:pPr>
            <w:r>
              <w:t>Lease liabilities</w:t>
            </w:r>
          </w:p>
        </w:tc>
        <w:tc>
          <w:tcPr>
            <w:tcW w:w="809" w:type="pct"/>
            <w:vAlign w:val="top"/>
          </w:tcPr>
          <w:p w14:paraId="2DCB3436" w14:textId="7BAAC977" w:rsidR="0030032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1,258</w:t>
            </w:r>
          </w:p>
        </w:tc>
        <w:tc>
          <w:tcPr>
            <w:tcW w:w="805" w:type="pct"/>
            <w:vAlign w:val="top"/>
          </w:tcPr>
          <w:p w14:paraId="679ED022" w14:textId="4C2A2F45" w:rsidR="00300324" w:rsidRPr="00601C3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1,393</w:t>
            </w:r>
          </w:p>
        </w:tc>
      </w:tr>
      <w:tr w:rsidR="00300324" w:rsidRPr="00601C34" w14:paraId="2655CFE9"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6AE5287F" w14:textId="587D978A" w:rsidR="00300324" w:rsidRDefault="00300324" w:rsidP="00FE44D0">
            <w:pPr>
              <w:pStyle w:val="TableBodyText"/>
            </w:pPr>
            <w:r>
              <w:t>Financial Accommodation Levy</w:t>
            </w:r>
          </w:p>
        </w:tc>
        <w:tc>
          <w:tcPr>
            <w:tcW w:w="809" w:type="pct"/>
            <w:vAlign w:val="top"/>
          </w:tcPr>
          <w:p w14:paraId="744F907C" w14:textId="576D3539" w:rsidR="0030032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36,251</w:t>
            </w:r>
          </w:p>
        </w:tc>
        <w:tc>
          <w:tcPr>
            <w:tcW w:w="805" w:type="pct"/>
            <w:vAlign w:val="top"/>
          </w:tcPr>
          <w:p w14:paraId="2B66EB18" w14:textId="4D4D6C31" w:rsidR="00300324" w:rsidRDefault="00300324" w:rsidP="00FE44D0">
            <w:pPr>
              <w:pStyle w:val="TableBodyText"/>
              <w:cnfStyle w:val="000000000000" w:firstRow="0" w:lastRow="0" w:firstColumn="0" w:lastColumn="0" w:oddVBand="0" w:evenVBand="0" w:oddHBand="0" w:evenHBand="0" w:firstRowFirstColumn="0" w:firstRowLastColumn="0" w:lastRowFirstColumn="0" w:lastRowLastColumn="0"/>
            </w:pPr>
            <w:r>
              <w:t>39,393</w:t>
            </w:r>
          </w:p>
        </w:tc>
      </w:tr>
      <w:tr w:rsidR="00300324" w:rsidRPr="00596526" w14:paraId="43426B7A"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4515EF77" w14:textId="088CB751" w:rsidR="00300324" w:rsidRPr="00596526" w:rsidRDefault="00300324" w:rsidP="00FE44D0">
            <w:pPr>
              <w:pStyle w:val="TableBodyText"/>
              <w:rPr>
                <w:rStyle w:val="Bold"/>
              </w:rPr>
            </w:pPr>
            <w:r>
              <w:rPr>
                <w:rStyle w:val="Bold"/>
              </w:rPr>
              <w:t>Total</w:t>
            </w:r>
          </w:p>
        </w:tc>
        <w:tc>
          <w:tcPr>
            <w:tcW w:w="809" w:type="pct"/>
            <w:tcBorders>
              <w:top w:val="single" w:sz="4" w:space="0" w:color="auto"/>
              <w:bottom w:val="single" w:sz="4" w:space="0" w:color="auto"/>
            </w:tcBorders>
            <w:vAlign w:val="top"/>
          </w:tcPr>
          <w:p w14:paraId="75908F8E" w14:textId="3FB2ACAA" w:rsidR="00300324" w:rsidRPr="00596526" w:rsidRDefault="00300324"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573,914</w:t>
            </w:r>
          </w:p>
        </w:tc>
        <w:tc>
          <w:tcPr>
            <w:tcW w:w="805" w:type="pct"/>
            <w:tcBorders>
              <w:top w:val="single" w:sz="4" w:space="0" w:color="auto"/>
              <w:bottom w:val="single" w:sz="4" w:space="0" w:color="auto"/>
            </w:tcBorders>
            <w:vAlign w:val="top"/>
          </w:tcPr>
          <w:p w14:paraId="45E026EF" w14:textId="1B6ABB8D" w:rsidR="00300324" w:rsidRPr="00596526" w:rsidRDefault="00300324"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601,800</w:t>
            </w:r>
          </w:p>
        </w:tc>
      </w:tr>
    </w:tbl>
    <w:p w14:paraId="675BDFC4" w14:textId="3DF84009" w:rsidR="006E65D8" w:rsidRDefault="00300324" w:rsidP="00300324">
      <w:pPr>
        <w:pStyle w:val="BodyText"/>
      </w:pPr>
      <w:r>
        <w:t xml:space="preserve">Finance costs include interest on short-term and long-term borrowings, finance charges associated with the </w:t>
      </w:r>
      <w:r w:rsidR="00DC0A06">
        <w:t>Victorian Desalination Plant</w:t>
      </w:r>
      <w:r>
        <w:t xml:space="preserve"> service concession liability, interest on leases, and the Victorian Government's </w:t>
      </w:r>
      <w:r>
        <w:lastRenderedPageBreak/>
        <w:t>Financial Accommodation Levy. An assessment has been performed and significant financing component on contracts with customers has been determined to be immaterial to recognise (2019-20: nil).</w:t>
      </w:r>
    </w:p>
    <w:p w14:paraId="502E6295" w14:textId="3470356F" w:rsidR="00300324" w:rsidRDefault="00300324" w:rsidP="00300324">
      <w:pPr>
        <w:pStyle w:val="BodyText"/>
      </w:pPr>
      <w:r>
        <w:t>Finance costs are recognised as expenses in the period in which they are incurred. Finance costs directly attributable to the acquisition, construction or production of these qualifying assets are not required to be capitalised and will continue to be expensed in the period in which they are incurred. All qualifying assets (being assets that necessarily take a substantial period of time to get ready for their intended use or sale) are measured at fair value.</w:t>
      </w:r>
    </w:p>
    <w:p w14:paraId="1B43F0CA" w14:textId="47D4D3EE" w:rsidR="006E65D8" w:rsidRDefault="00300324" w:rsidP="00300324">
      <w:pPr>
        <w:pStyle w:val="Heading4"/>
      </w:pPr>
      <w:bookmarkStart w:id="1075" w:name="Note512"/>
      <w:r w:rsidRPr="00300324">
        <w:t xml:space="preserve">5.1.2 </w:t>
      </w:r>
      <w:bookmarkEnd w:id="1075"/>
      <w:r w:rsidRPr="00300324">
        <w:t>Refinancing gain on financial instruments</w:t>
      </w:r>
    </w:p>
    <w:tbl>
      <w:tblPr>
        <w:tblStyle w:val="Style1"/>
        <w:tblW w:w="5000" w:type="pct"/>
        <w:tblLook w:val="04A0" w:firstRow="1" w:lastRow="0" w:firstColumn="1" w:lastColumn="0" w:noHBand="0" w:noVBand="1"/>
      </w:tblPr>
      <w:tblGrid>
        <w:gridCol w:w="6522"/>
        <w:gridCol w:w="1558"/>
        <w:gridCol w:w="1551"/>
      </w:tblGrid>
      <w:tr w:rsidR="00300324" w:rsidRPr="00FE44D0" w14:paraId="2E08B368"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55413096" w14:textId="77777777" w:rsidR="00300324" w:rsidRPr="00FE44D0" w:rsidRDefault="00300324" w:rsidP="00FE44D0">
            <w:bookmarkStart w:id="1076" w:name="ColumnTitle_80"/>
            <w:r w:rsidRPr="00FE44D0">
              <w:t>Item</w:t>
            </w:r>
          </w:p>
        </w:tc>
        <w:tc>
          <w:tcPr>
            <w:tcW w:w="809" w:type="pct"/>
            <w:tcBorders>
              <w:top w:val="single" w:sz="4" w:space="0" w:color="auto"/>
            </w:tcBorders>
            <w:vAlign w:val="bottom"/>
          </w:tcPr>
          <w:p w14:paraId="40F1D198"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xml:space="preserve">2021 </w:t>
            </w:r>
          </w:p>
          <w:p w14:paraId="18028BAA"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thousands)</w:t>
            </w:r>
          </w:p>
        </w:tc>
        <w:tc>
          <w:tcPr>
            <w:tcW w:w="805" w:type="pct"/>
            <w:tcBorders>
              <w:top w:val="single" w:sz="4" w:space="0" w:color="auto"/>
            </w:tcBorders>
            <w:vAlign w:val="bottom"/>
          </w:tcPr>
          <w:p w14:paraId="34B4AB43"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xml:space="preserve">2020 </w:t>
            </w:r>
          </w:p>
          <w:p w14:paraId="121AED27" w14:textId="77777777" w:rsidR="00300324" w:rsidRPr="00FE44D0" w:rsidRDefault="00300324" w:rsidP="00FE44D0">
            <w:pPr>
              <w:cnfStyle w:val="100000000000" w:firstRow="1" w:lastRow="0" w:firstColumn="0" w:lastColumn="0" w:oddVBand="0" w:evenVBand="0" w:oddHBand="0" w:evenHBand="0" w:firstRowFirstColumn="0" w:firstRowLastColumn="0" w:lastRowFirstColumn="0" w:lastRowLastColumn="0"/>
            </w:pPr>
            <w:r w:rsidRPr="00FE44D0">
              <w:t>($ thousands)</w:t>
            </w:r>
          </w:p>
        </w:tc>
      </w:tr>
      <w:bookmarkEnd w:id="1076"/>
      <w:tr w:rsidR="00300324" w:rsidRPr="00300324" w14:paraId="2886D819"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1ED76623" w14:textId="3F19D028" w:rsidR="00300324" w:rsidRPr="00300324" w:rsidRDefault="00300324" w:rsidP="00FE44D0">
            <w:pPr>
              <w:pStyle w:val="TableBodyText"/>
              <w:rPr>
                <w:rStyle w:val="Bold"/>
              </w:rPr>
            </w:pPr>
            <w:r w:rsidRPr="00300324">
              <w:rPr>
                <w:rStyle w:val="Bold"/>
              </w:rPr>
              <w:t>Total refinancing gain on financial instruments</w:t>
            </w:r>
          </w:p>
        </w:tc>
        <w:tc>
          <w:tcPr>
            <w:tcW w:w="809" w:type="pct"/>
            <w:tcBorders>
              <w:top w:val="single" w:sz="4" w:space="0" w:color="auto"/>
              <w:bottom w:val="single" w:sz="4" w:space="0" w:color="auto"/>
            </w:tcBorders>
            <w:vAlign w:val="top"/>
          </w:tcPr>
          <w:p w14:paraId="48761FE3" w14:textId="58EE7F0A" w:rsidR="00300324" w:rsidRPr="002D2C34" w:rsidRDefault="00300324"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D2C34">
              <w:t>N/A</w:t>
            </w:r>
          </w:p>
        </w:tc>
        <w:tc>
          <w:tcPr>
            <w:tcW w:w="805" w:type="pct"/>
            <w:tcBorders>
              <w:top w:val="single" w:sz="4" w:space="0" w:color="auto"/>
              <w:bottom w:val="single" w:sz="4" w:space="0" w:color="auto"/>
            </w:tcBorders>
            <w:vAlign w:val="top"/>
          </w:tcPr>
          <w:p w14:paraId="76B212C4" w14:textId="503D1FE1" w:rsidR="00300324" w:rsidRPr="00300324" w:rsidRDefault="00300324"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00324">
              <w:rPr>
                <w:rStyle w:val="Bold"/>
              </w:rPr>
              <w:t>38,142</w:t>
            </w:r>
          </w:p>
        </w:tc>
      </w:tr>
    </w:tbl>
    <w:p w14:paraId="6C2290E4" w14:textId="77777777" w:rsidR="00C00C71" w:rsidRDefault="00C00C71" w:rsidP="00C00C71">
      <w:pPr>
        <w:pStyle w:val="Heading5"/>
      </w:pPr>
      <w:r>
        <w:t>Debt modification assessment</w:t>
      </w:r>
    </w:p>
    <w:p w14:paraId="612CDFCB" w14:textId="3BD174DC" w:rsidR="00300324" w:rsidRDefault="00C00C71" w:rsidP="00C00C71">
      <w:pPr>
        <w:pStyle w:val="BodyText"/>
      </w:pPr>
      <w:r>
        <w:t>When there is a refinancing gain, AASB 9 requires an assessment to be conducted to determine if the modification of debt is substantial, meaning the difference is at least 10 per cent or greater between the present value of the modified cash flow and original cash flow, being the both discounted at the original effective interest rate. Substantial debt modification is to be treated as an extinguishment of the existing debt and a recognition of a new liability. There were no refinancing gains for 2020-21. For 2019-20, the refinancing gain was not considered to be a substantial modification to the existing debt as the change is less than 10 per cent and as such, AASB 9 requires the resulting gain from refinancing to be recognised in the Statement of Profit or Loss immediately and reduces the future liability and interest expense profile.</w:t>
      </w:r>
    </w:p>
    <w:p w14:paraId="471CAC77" w14:textId="77777777" w:rsidR="00C00C71" w:rsidRDefault="00C00C71" w:rsidP="00C00C71">
      <w:pPr>
        <w:pStyle w:val="Heading3"/>
      </w:pPr>
      <w:bookmarkStart w:id="1077" w:name="Note52"/>
      <w:bookmarkStart w:id="1078" w:name="_Toc89723140"/>
      <w:bookmarkStart w:id="1079" w:name="_Ref89807265"/>
      <w:bookmarkStart w:id="1080" w:name="_Ref89844130"/>
      <w:bookmarkStart w:id="1081" w:name="_Ref89845589"/>
      <w:bookmarkStart w:id="1082" w:name="_Toc90326084"/>
      <w:bookmarkStart w:id="1083" w:name="_Toc93659490"/>
      <w:r>
        <w:t xml:space="preserve">5.2 </w:t>
      </w:r>
      <w:bookmarkEnd w:id="1077"/>
      <w:r>
        <w:t>Cash flow information and balances</w:t>
      </w:r>
      <w:bookmarkEnd w:id="1078"/>
      <w:bookmarkEnd w:id="1079"/>
      <w:bookmarkEnd w:id="1080"/>
      <w:bookmarkEnd w:id="1081"/>
      <w:bookmarkEnd w:id="1082"/>
      <w:bookmarkEnd w:id="1083"/>
    </w:p>
    <w:p w14:paraId="36AF14DE" w14:textId="79E852B3" w:rsidR="00300324" w:rsidRDefault="00C00C71" w:rsidP="00C00C71">
      <w:pPr>
        <w:pStyle w:val="BodyText"/>
      </w:pPr>
      <w:r>
        <w:t>Cash and cash equivalents include cash on hand, deposits held at call with financial institutions, other short-term and highly liquid investments with original maturities of three months or less, that are readily convertible to known amounts of cash and which are subject to an insignificant risk of change in value.</w:t>
      </w:r>
    </w:p>
    <w:p w14:paraId="60B98879" w14:textId="000A4AA8" w:rsidR="00C00C71" w:rsidRDefault="00C00C71" w:rsidP="00C00C71">
      <w:pPr>
        <w:pStyle w:val="BodyText"/>
      </w:pPr>
      <w:r>
        <w:t>Deposits held and advances received are categorised as financial liabilities at amortised cost.</w:t>
      </w:r>
    </w:p>
    <w:p w14:paraId="7083A799" w14:textId="798F0651" w:rsidR="00300324" w:rsidRDefault="00C00C71" w:rsidP="003B2899">
      <w:pPr>
        <w:pStyle w:val="Heading4"/>
      </w:pPr>
      <w:bookmarkStart w:id="1084" w:name="_Ref89806668"/>
      <w:r w:rsidRPr="00C00C71">
        <w:lastRenderedPageBreak/>
        <w:t>Reconciliation of net profit to net cash flows from operating activities</w:t>
      </w:r>
      <w:bookmarkEnd w:id="1084"/>
    </w:p>
    <w:tbl>
      <w:tblPr>
        <w:tblStyle w:val="Style1"/>
        <w:tblW w:w="5000" w:type="pct"/>
        <w:tblLook w:val="04A0" w:firstRow="1" w:lastRow="0" w:firstColumn="1" w:lastColumn="0" w:noHBand="0" w:noVBand="1"/>
      </w:tblPr>
      <w:tblGrid>
        <w:gridCol w:w="6522"/>
        <w:gridCol w:w="1558"/>
        <w:gridCol w:w="1551"/>
      </w:tblGrid>
      <w:tr w:rsidR="00C00C71" w:rsidRPr="00FE44D0" w14:paraId="768E73D4"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75FE033F" w14:textId="77777777" w:rsidR="00C00C71" w:rsidRPr="00FE44D0" w:rsidRDefault="00C00C71" w:rsidP="003B2899">
            <w:pPr>
              <w:keepNext/>
              <w:keepLines/>
            </w:pPr>
            <w:bookmarkStart w:id="1085" w:name="ColumnTitle_81"/>
            <w:r w:rsidRPr="00FE44D0">
              <w:t>Item</w:t>
            </w:r>
          </w:p>
        </w:tc>
        <w:tc>
          <w:tcPr>
            <w:tcW w:w="809" w:type="pct"/>
            <w:tcBorders>
              <w:top w:val="single" w:sz="4" w:space="0" w:color="auto"/>
            </w:tcBorders>
            <w:vAlign w:val="bottom"/>
          </w:tcPr>
          <w:p w14:paraId="2CCF79B4" w14:textId="77777777" w:rsidR="00C00C71" w:rsidRPr="00FE44D0" w:rsidRDefault="00C00C71" w:rsidP="003B2899">
            <w:pPr>
              <w:keepNext/>
              <w:keepLines/>
              <w:cnfStyle w:val="100000000000" w:firstRow="1" w:lastRow="0" w:firstColumn="0" w:lastColumn="0" w:oddVBand="0" w:evenVBand="0" w:oddHBand="0" w:evenHBand="0" w:firstRowFirstColumn="0" w:firstRowLastColumn="0" w:lastRowFirstColumn="0" w:lastRowLastColumn="0"/>
            </w:pPr>
            <w:r w:rsidRPr="00FE44D0">
              <w:t xml:space="preserve">2021 </w:t>
            </w:r>
          </w:p>
          <w:p w14:paraId="2E7CC4EF" w14:textId="77777777" w:rsidR="00C00C71" w:rsidRPr="00FE44D0" w:rsidRDefault="00C00C71" w:rsidP="003B2899">
            <w:pPr>
              <w:keepNext/>
              <w:keepLines/>
              <w:cnfStyle w:val="100000000000" w:firstRow="1" w:lastRow="0" w:firstColumn="0" w:lastColumn="0" w:oddVBand="0" w:evenVBand="0" w:oddHBand="0" w:evenHBand="0" w:firstRowFirstColumn="0" w:firstRowLastColumn="0" w:lastRowFirstColumn="0" w:lastRowLastColumn="0"/>
            </w:pPr>
            <w:r w:rsidRPr="00FE44D0">
              <w:t>($ thousands)</w:t>
            </w:r>
          </w:p>
        </w:tc>
        <w:tc>
          <w:tcPr>
            <w:tcW w:w="805" w:type="pct"/>
            <w:tcBorders>
              <w:top w:val="single" w:sz="4" w:space="0" w:color="auto"/>
            </w:tcBorders>
            <w:vAlign w:val="bottom"/>
          </w:tcPr>
          <w:p w14:paraId="039BD6CD" w14:textId="77777777" w:rsidR="00C00C71" w:rsidRPr="00FE44D0" w:rsidRDefault="00C00C71" w:rsidP="003B2899">
            <w:pPr>
              <w:keepNext/>
              <w:keepLines/>
              <w:cnfStyle w:val="100000000000" w:firstRow="1" w:lastRow="0" w:firstColumn="0" w:lastColumn="0" w:oddVBand="0" w:evenVBand="0" w:oddHBand="0" w:evenHBand="0" w:firstRowFirstColumn="0" w:firstRowLastColumn="0" w:lastRowFirstColumn="0" w:lastRowLastColumn="0"/>
            </w:pPr>
            <w:r w:rsidRPr="00FE44D0">
              <w:t xml:space="preserve">2020 </w:t>
            </w:r>
          </w:p>
          <w:p w14:paraId="0C8C1F03" w14:textId="77777777" w:rsidR="00C00C71" w:rsidRPr="00FE44D0" w:rsidRDefault="00C00C71" w:rsidP="003B2899">
            <w:pPr>
              <w:keepNext/>
              <w:keepLines/>
              <w:cnfStyle w:val="100000000000" w:firstRow="1" w:lastRow="0" w:firstColumn="0" w:lastColumn="0" w:oddVBand="0" w:evenVBand="0" w:oddHBand="0" w:evenHBand="0" w:firstRowFirstColumn="0" w:firstRowLastColumn="0" w:lastRowFirstColumn="0" w:lastRowLastColumn="0"/>
            </w:pPr>
            <w:r w:rsidRPr="00FE44D0">
              <w:t>($ thousands)</w:t>
            </w:r>
          </w:p>
        </w:tc>
      </w:tr>
      <w:bookmarkEnd w:id="1085"/>
      <w:tr w:rsidR="00C00C71" w:rsidRPr="00EE43B2" w14:paraId="440B8085"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51FE7FA1" w14:textId="6DC2842D" w:rsidR="00C00C71" w:rsidRPr="00EE43B2" w:rsidRDefault="00C00C71" w:rsidP="003B2899">
            <w:pPr>
              <w:pStyle w:val="TableBodyText"/>
              <w:keepNext/>
              <w:keepLines/>
            </w:pPr>
            <w:r w:rsidRPr="00EE43B2">
              <w:t>Profit for the period after tax</w:t>
            </w:r>
          </w:p>
        </w:tc>
        <w:tc>
          <w:tcPr>
            <w:tcW w:w="809" w:type="pct"/>
            <w:tcBorders>
              <w:top w:val="single" w:sz="4" w:space="0" w:color="auto"/>
              <w:bottom w:val="single" w:sz="4" w:space="0" w:color="auto"/>
            </w:tcBorders>
            <w:vAlign w:val="top"/>
          </w:tcPr>
          <w:p w14:paraId="2B7327D2" w14:textId="030E5ED6" w:rsidR="00C00C71" w:rsidRPr="00EE43B2"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rsidRPr="00EE43B2">
              <w:t>192,006</w:t>
            </w:r>
          </w:p>
        </w:tc>
        <w:tc>
          <w:tcPr>
            <w:tcW w:w="805" w:type="pct"/>
            <w:tcBorders>
              <w:top w:val="single" w:sz="4" w:space="0" w:color="auto"/>
              <w:bottom w:val="single" w:sz="4" w:space="0" w:color="auto"/>
            </w:tcBorders>
            <w:vAlign w:val="top"/>
          </w:tcPr>
          <w:p w14:paraId="7BCB5F14" w14:textId="1A01E6C2" w:rsidR="00C00C71" w:rsidRPr="00EE43B2"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rsidRPr="00EE43B2">
              <w:t>203,313</w:t>
            </w:r>
          </w:p>
        </w:tc>
      </w:tr>
      <w:tr w:rsidR="00C00C71" w:rsidRPr="00300324" w14:paraId="45092F48"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329963E7" w14:textId="31B65821" w:rsidR="00C00C71" w:rsidRPr="00EE43B2" w:rsidRDefault="00C00C71" w:rsidP="003B2899">
            <w:pPr>
              <w:pStyle w:val="TableBodyText"/>
              <w:keepNext/>
              <w:keepLines/>
              <w:rPr>
                <w:rStyle w:val="Bold"/>
              </w:rPr>
            </w:pPr>
            <w:r w:rsidRPr="00EE43B2">
              <w:rPr>
                <w:rStyle w:val="Bold"/>
              </w:rPr>
              <w:t>Plus/(less) non cash items:</w:t>
            </w:r>
          </w:p>
        </w:tc>
        <w:tc>
          <w:tcPr>
            <w:tcW w:w="809" w:type="pct"/>
            <w:tcBorders>
              <w:top w:val="single" w:sz="4" w:space="0" w:color="auto"/>
            </w:tcBorders>
            <w:vAlign w:val="top"/>
          </w:tcPr>
          <w:p w14:paraId="419A5F9F" w14:textId="55A6CDC0"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5A533445" w14:textId="754064A9"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w:t>
            </w:r>
            <w:r w:rsidR="00EE43B2">
              <w:t>A</w:t>
            </w:r>
          </w:p>
        </w:tc>
      </w:tr>
      <w:tr w:rsidR="00C00C71" w:rsidRPr="00300324" w14:paraId="256E384D"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566C46DA" w14:textId="5C6D3CBC" w:rsidR="00C00C71" w:rsidRDefault="00C00C71" w:rsidP="003B2899">
            <w:pPr>
              <w:pStyle w:val="TableBodyText"/>
              <w:keepNext/>
              <w:keepLines/>
            </w:pPr>
            <w:r>
              <w:t>Depreciation and amortisation</w:t>
            </w:r>
          </w:p>
        </w:tc>
        <w:tc>
          <w:tcPr>
            <w:tcW w:w="809" w:type="pct"/>
            <w:vAlign w:val="top"/>
          </w:tcPr>
          <w:p w14:paraId="12E6F429" w14:textId="29C4DCB6"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450,146</w:t>
            </w:r>
          </w:p>
        </w:tc>
        <w:tc>
          <w:tcPr>
            <w:tcW w:w="805" w:type="pct"/>
            <w:vAlign w:val="top"/>
          </w:tcPr>
          <w:p w14:paraId="41319000" w14:textId="410E4B5C"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434,687</w:t>
            </w:r>
          </w:p>
        </w:tc>
      </w:tr>
      <w:tr w:rsidR="00C00C71" w:rsidRPr="00300324" w14:paraId="23DEFE6D"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3BD39812" w14:textId="71CF5C9B" w:rsidR="00C00C71" w:rsidRDefault="00C00C71" w:rsidP="003B2899">
            <w:pPr>
              <w:pStyle w:val="TableBodyText"/>
              <w:keepNext/>
              <w:keepLines/>
            </w:pPr>
            <w:r>
              <w:t>Net gain on revaluation of non-financial assets</w:t>
            </w:r>
          </w:p>
        </w:tc>
        <w:tc>
          <w:tcPr>
            <w:tcW w:w="809" w:type="pct"/>
            <w:vAlign w:val="top"/>
          </w:tcPr>
          <w:p w14:paraId="3F7DCFCE" w14:textId="1CA27ED0"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(39,219)</w:t>
            </w:r>
          </w:p>
        </w:tc>
        <w:tc>
          <w:tcPr>
            <w:tcW w:w="805" w:type="pct"/>
            <w:vAlign w:val="top"/>
          </w:tcPr>
          <w:p w14:paraId="5899EB26" w14:textId="64C28E19"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C00C71" w:rsidRPr="00300324" w14:paraId="3D4CABA4"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0EB85BD3" w14:textId="1865EAAB" w:rsidR="00C00C71" w:rsidRDefault="00C00C71" w:rsidP="003B2899">
            <w:pPr>
              <w:pStyle w:val="TableBodyText"/>
              <w:keepNext/>
              <w:keepLines/>
            </w:pPr>
            <w:r>
              <w:t xml:space="preserve">Net gain on sale of non-current assets (including </w:t>
            </w:r>
            <w:r w:rsidR="00A52F94">
              <w:t>Renewable Energy Certificates</w:t>
            </w:r>
            <w:r>
              <w:t>)</w:t>
            </w:r>
          </w:p>
        </w:tc>
        <w:tc>
          <w:tcPr>
            <w:tcW w:w="809" w:type="pct"/>
            <w:vAlign w:val="top"/>
          </w:tcPr>
          <w:p w14:paraId="51A75B0F" w14:textId="0E515326"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(16,554)</w:t>
            </w:r>
          </w:p>
        </w:tc>
        <w:tc>
          <w:tcPr>
            <w:tcW w:w="805" w:type="pct"/>
            <w:vAlign w:val="top"/>
          </w:tcPr>
          <w:p w14:paraId="1C5D2B23" w14:textId="02A9E235"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(15,207)</w:t>
            </w:r>
          </w:p>
        </w:tc>
      </w:tr>
      <w:tr w:rsidR="00C00C71" w:rsidRPr="00300324" w14:paraId="74268726"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74AA87F4" w14:textId="1A970C1A" w:rsidR="00C00C71" w:rsidRDefault="00C00C71" w:rsidP="003B2899">
            <w:pPr>
              <w:pStyle w:val="TableBodyText"/>
              <w:keepNext/>
              <w:keepLines/>
            </w:pPr>
            <w:r>
              <w:t>Assets written off/written down and asset transfers to council</w:t>
            </w:r>
          </w:p>
        </w:tc>
        <w:tc>
          <w:tcPr>
            <w:tcW w:w="809" w:type="pct"/>
            <w:vAlign w:val="top"/>
          </w:tcPr>
          <w:p w14:paraId="4D2E9D57" w14:textId="0ECAF72B"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44,725</w:t>
            </w:r>
          </w:p>
        </w:tc>
        <w:tc>
          <w:tcPr>
            <w:tcW w:w="805" w:type="pct"/>
            <w:vAlign w:val="top"/>
          </w:tcPr>
          <w:p w14:paraId="1056FCA2" w14:textId="320F93F3"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38,730</w:t>
            </w:r>
          </w:p>
        </w:tc>
      </w:tr>
      <w:tr w:rsidR="00C00C71" w:rsidRPr="00300324" w14:paraId="52E91931"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7F837039" w14:textId="06B40A68" w:rsidR="00C00C71" w:rsidRDefault="00C00C71" w:rsidP="003B2899">
            <w:pPr>
              <w:pStyle w:val="TableBodyText"/>
              <w:keepNext/>
              <w:keepLines/>
            </w:pPr>
            <w:r>
              <w:t>Developer contributed assets received</w:t>
            </w:r>
          </w:p>
        </w:tc>
        <w:tc>
          <w:tcPr>
            <w:tcW w:w="809" w:type="pct"/>
            <w:vAlign w:val="top"/>
          </w:tcPr>
          <w:p w14:paraId="70753104" w14:textId="61A20070"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(38,484)</w:t>
            </w:r>
          </w:p>
        </w:tc>
        <w:tc>
          <w:tcPr>
            <w:tcW w:w="805" w:type="pct"/>
            <w:vAlign w:val="top"/>
          </w:tcPr>
          <w:p w14:paraId="5AE65F76" w14:textId="459F2E8F"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(38,512)</w:t>
            </w:r>
          </w:p>
        </w:tc>
      </w:tr>
      <w:tr w:rsidR="00C00C71" w:rsidRPr="00300324" w14:paraId="1E76FE4E"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06841EE4" w14:textId="3C137950" w:rsidR="00C00C71" w:rsidRDefault="00C00C71" w:rsidP="003B2899">
            <w:pPr>
              <w:pStyle w:val="TableBodyText"/>
              <w:keepNext/>
              <w:keepLines/>
            </w:pPr>
            <w:r>
              <w:t>Defined benefit superannuation plan expense</w:t>
            </w:r>
          </w:p>
        </w:tc>
        <w:tc>
          <w:tcPr>
            <w:tcW w:w="809" w:type="pct"/>
            <w:vAlign w:val="top"/>
          </w:tcPr>
          <w:p w14:paraId="15A1C2CF" w14:textId="61D686AD"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1,687</w:t>
            </w:r>
          </w:p>
        </w:tc>
        <w:tc>
          <w:tcPr>
            <w:tcW w:w="805" w:type="pct"/>
            <w:vAlign w:val="top"/>
          </w:tcPr>
          <w:p w14:paraId="79BB3897" w14:textId="6F593302"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1,565</w:t>
            </w:r>
          </w:p>
        </w:tc>
      </w:tr>
      <w:tr w:rsidR="00C00C71" w:rsidRPr="00300324" w14:paraId="006C456A"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4251E0FA" w14:textId="3BF01CFE" w:rsidR="00C00C71" w:rsidRDefault="00C00C71" w:rsidP="003B2899">
            <w:pPr>
              <w:pStyle w:val="TableBodyText"/>
              <w:keepNext/>
              <w:keepLines/>
            </w:pPr>
            <w:r>
              <w:t>Defined contribution superannuation plan expense</w:t>
            </w:r>
          </w:p>
        </w:tc>
        <w:tc>
          <w:tcPr>
            <w:tcW w:w="809" w:type="pct"/>
            <w:vAlign w:val="top"/>
          </w:tcPr>
          <w:p w14:paraId="5A30AEB6" w14:textId="7778B58F"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18AB586E" w14:textId="2F5DD702"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406</w:t>
            </w:r>
          </w:p>
        </w:tc>
      </w:tr>
      <w:tr w:rsidR="00C00C71" w:rsidRPr="00300324" w14:paraId="2CE63292"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7F86E105" w14:textId="278F9912" w:rsidR="00C00C71" w:rsidRDefault="00A52F94" w:rsidP="003B2899">
            <w:pPr>
              <w:pStyle w:val="TableBodyText"/>
              <w:keepNext/>
              <w:keepLines/>
            </w:pPr>
            <w:r>
              <w:t>Renewable Energy Certificates</w:t>
            </w:r>
            <w:r w:rsidR="00C00C71">
              <w:t xml:space="preserve"> received</w:t>
            </w:r>
          </w:p>
        </w:tc>
        <w:tc>
          <w:tcPr>
            <w:tcW w:w="809" w:type="pct"/>
            <w:vAlign w:val="top"/>
          </w:tcPr>
          <w:p w14:paraId="74736B68" w14:textId="6F3B7335"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(7,043)</w:t>
            </w:r>
          </w:p>
        </w:tc>
        <w:tc>
          <w:tcPr>
            <w:tcW w:w="805" w:type="pct"/>
            <w:vAlign w:val="top"/>
          </w:tcPr>
          <w:p w14:paraId="0AEC78E2" w14:textId="3A9CC596"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(8,813)</w:t>
            </w:r>
          </w:p>
        </w:tc>
      </w:tr>
      <w:tr w:rsidR="00C00C71" w:rsidRPr="00300324" w14:paraId="3CFF5152"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5ADBC0CE" w14:textId="3AFE25E6" w:rsidR="00C00C71" w:rsidRDefault="00C00C71" w:rsidP="003B2899">
            <w:pPr>
              <w:pStyle w:val="TableBodyText"/>
              <w:keepNext/>
              <w:keepLines/>
            </w:pPr>
            <w:r>
              <w:t>Net loss/(gain) on revaluation of non-financial assets</w:t>
            </w:r>
          </w:p>
        </w:tc>
        <w:tc>
          <w:tcPr>
            <w:tcW w:w="809" w:type="pct"/>
            <w:vAlign w:val="top"/>
          </w:tcPr>
          <w:p w14:paraId="3B807FCB" w14:textId="5DB474AD"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4BB36A3C" w14:textId="5FD12F9A" w:rsidR="00C00C71" w:rsidRDefault="00C00C71"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C00C71" w:rsidRPr="00300324" w14:paraId="0B8C2A85"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17FFAFE4" w14:textId="24736749" w:rsidR="00C00C71" w:rsidRDefault="00C00C71" w:rsidP="00FE44D0">
            <w:pPr>
              <w:pStyle w:val="TableBodyText"/>
            </w:pPr>
            <w:r>
              <w:t>Refinancing (gain)/loss) on financial instruments</w:t>
            </w:r>
          </w:p>
        </w:tc>
        <w:tc>
          <w:tcPr>
            <w:tcW w:w="809" w:type="pct"/>
            <w:vAlign w:val="top"/>
          </w:tcPr>
          <w:p w14:paraId="470B822A" w14:textId="718423F2"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1F8D51E9" w14:textId="2C80089D"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(38,142)</w:t>
            </w:r>
          </w:p>
        </w:tc>
      </w:tr>
      <w:tr w:rsidR="00C00C71" w:rsidRPr="00300324" w14:paraId="41908283"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1AC35B9E" w14:textId="765336F4" w:rsidR="00C00C71" w:rsidRPr="00EE43B2" w:rsidRDefault="00C00C71" w:rsidP="00FE44D0">
            <w:pPr>
              <w:pStyle w:val="TableBodyText"/>
              <w:rPr>
                <w:rStyle w:val="Bold"/>
              </w:rPr>
            </w:pPr>
            <w:r w:rsidRPr="00EE43B2">
              <w:rPr>
                <w:rStyle w:val="Bold"/>
              </w:rPr>
              <w:t>Changes in operating assets and liabilities (net of investing items):</w:t>
            </w:r>
          </w:p>
        </w:tc>
        <w:tc>
          <w:tcPr>
            <w:tcW w:w="809" w:type="pct"/>
            <w:vAlign w:val="top"/>
          </w:tcPr>
          <w:p w14:paraId="539E86A7" w14:textId="7AE8D96B"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03A08EBC" w14:textId="2D962DC9"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N/A</w:t>
            </w:r>
          </w:p>
        </w:tc>
      </w:tr>
      <w:tr w:rsidR="00C00C71" w:rsidRPr="00300324" w14:paraId="472365FB"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59362439" w14:textId="269118B4" w:rsidR="00C00C71" w:rsidRDefault="00C00C71" w:rsidP="00FE44D0">
            <w:pPr>
              <w:pStyle w:val="TableBodyText"/>
            </w:pPr>
            <w:r>
              <w:t>(Increase)/Decrease in trade and other receivables</w:t>
            </w:r>
          </w:p>
        </w:tc>
        <w:tc>
          <w:tcPr>
            <w:tcW w:w="809" w:type="pct"/>
            <w:vAlign w:val="top"/>
          </w:tcPr>
          <w:p w14:paraId="0D189326" w14:textId="71C02CBA"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(2,909)</w:t>
            </w:r>
          </w:p>
        </w:tc>
        <w:tc>
          <w:tcPr>
            <w:tcW w:w="805" w:type="pct"/>
            <w:vAlign w:val="top"/>
          </w:tcPr>
          <w:p w14:paraId="02D1D6A0" w14:textId="50C1EB8B"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(3,951)</w:t>
            </w:r>
          </w:p>
        </w:tc>
      </w:tr>
      <w:tr w:rsidR="00C00C71" w:rsidRPr="00300324" w14:paraId="6A1CD9D3"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721C012E" w14:textId="3466A64D" w:rsidR="00C00C71" w:rsidRDefault="00C00C71" w:rsidP="00FE44D0">
            <w:pPr>
              <w:pStyle w:val="TableBodyText"/>
            </w:pPr>
            <w:r>
              <w:t>Decrease/(Increase) in other assets</w:t>
            </w:r>
          </w:p>
        </w:tc>
        <w:tc>
          <w:tcPr>
            <w:tcW w:w="809" w:type="pct"/>
            <w:vAlign w:val="top"/>
          </w:tcPr>
          <w:p w14:paraId="37663ED8" w14:textId="492F2CB8"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(9,091)</w:t>
            </w:r>
          </w:p>
        </w:tc>
        <w:tc>
          <w:tcPr>
            <w:tcW w:w="805" w:type="pct"/>
            <w:vAlign w:val="top"/>
          </w:tcPr>
          <w:p w14:paraId="6885A521" w14:textId="1DA711A9"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(925)</w:t>
            </w:r>
          </w:p>
        </w:tc>
      </w:tr>
      <w:tr w:rsidR="00C00C71" w:rsidRPr="00300324" w14:paraId="1FD053D2"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3B695794" w14:textId="093EC518" w:rsidR="00C00C71" w:rsidRDefault="00C00C71" w:rsidP="00FE44D0">
            <w:pPr>
              <w:pStyle w:val="TableBodyText"/>
            </w:pPr>
            <w:r>
              <w:t>Increase/(Decrease) in trade and other payables and contract liabilities</w:t>
            </w:r>
          </w:p>
        </w:tc>
        <w:tc>
          <w:tcPr>
            <w:tcW w:w="809" w:type="pct"/>
            <w:vAlign w:val="top"/>
          </w:tcPr>
          <w:p w14:paraId="53519A36" w14:textId="242351FA"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45,803</w:t>
            </w:r>
          </w:p>
        </w:tc>
        <w:tc>
          <w:tcPr>
            <w:tcW w:w="805" w:type="pct"/>
            <w:vAlign w:val="top"/>
          </w:tcPr>
          <w:p w14:paraId="7C95F476" w14:textId="6E79341B"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15,162</w:t>
            </w:r>
          </w:p>
        </w:tc>
      </w:tr>
      <w:tr w:rsidR="00C00C71" w:rsidRPr="00300324" w14:paraId="145B0D45"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4BA91849" w14:textId="00854B5F" w:rsidR="00C00C71" w:rsidRDefault="00C00C71" w:rsidP="00FE44D0">
            <w:pPr>
              <w:pStyle w:val="TableBodyText"/>
            </w:pPr>
            <w:r>
              <w:t>Increase/(Decrease) in provisions and employee benefits provisions</w:t>
            </w:r>
          </w:p>
        </w:tc>
        <w:tc>
          <w:tcPr>
            <w:tcW w:w="809" w:type="pct"/>
            <w:vAlign w:val="top"/>
          </w:tcPr>
          <w:p w14:paraId="3115891A" w14:textId="08DF64E6"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3,074</w:t>
            </w:r>
          </w:p>
        </w:tc>
        <w:tc>
          <w:tcPr>
            <w:tcW w:w="805" w:type="pct"/>
            <w:vAlign w:val="top"/>
          </w:tcPr>
          <w:p w14:paraId="22398975" w14:textId="6427FBA5"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3,307</w:t>
            </w:r>
          </w:p>
        </w:tc>
      </w:tr>
      <w:tr w:rsidR="00C00C71" w:rsidRPr="00300324" w14:paraId="613F7E62"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3FEF1122" w14:textId="59179C12" w:rsidR="00C00C71" w:rsidRDefault="00C00C71" w:rsidP="00FE44D0">
            <w:pPr>
              <w:pStyle w:val="TableBodyText"/>
            </w:pPr>
            <w:r>
              <w:t>Increase/(Decrease) in other liabilities</w:t>
            </w:r>
          </w:p>
        </w:tc>
        <w:tc>
          <w:tcPr>
            <w:tcW w:w="809" w:type="pct"/>
            <w:vAlign w:val="top"/>
          </w:tcPr>
          <w:p w14:paraId="51710E08" w14:textId="50B107C0"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666</w:t>
            </w:r>
          </w:p>
        </w:tc>
        <w:tc>
          <w:tcPr>
            <w:tcW w:w="805" w:type="pct"/>
            <w:vAlign w:val="top"/>
          </w:tcPr>
          <w:p w14:paraId="79342A16" w14:textId="31323CA4"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(3,631)</w:t>
            </w:r>
          </w:p>
        </w:tc>
      </w:tr>
      <w:tr w:rsidR="00C00C71" w:rsidRPr="00300324" w14:paraId="5DD77B28"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397213B0" w14:textId="6A080D45" w:rsidR="00C00C71" w:rsidRDefault="00C00C71" w:rsidP="00FE44D0">
            <w:pPr>
              <w:pStyle w:val="TableBodyText"/>
            </w:pPr>
            <w:r>
              <w:t>Increase/(Decrease) in current tax liability</w:t>
            </w:r>
          </w:p>
        </w:tc>
        <w:tc>
          <w:tcPr>
            <w:tcW w:w="809" w:type="pct"/>
            <w:vAlign w:val="top"/>
          </w:tcPr>
          <w:p w14:paraId="686A0F9E" w14:textId="66B5251A"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6,645</w:t>
            </w:r>
          </w:p>
        </w:tc>
        <w:tc>
          <w:tcPr>
            <w:tcW w:w="805" w:type="pct"/>
            <w:vAlign w:val="top"/>
          </w:tcPr>
          <w:p w14:paraId="47E60195" w14:textId="2883FD2B"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(12,157)</w:t>
            </w:r>
          </w:p>
        </w:tc>
      </w:tr>
      <w:tr w:rsidR="00C00C71" w:rsidRPr="00300324" w14:paraId="2E1CBEBC"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301C00A9" w14:textId="386C25A0" w:rsidR="00C00C71" w:rsidRDefault="00C00C71" w:rsidP="00FE44D0">
            <w:pPr>
              <w:pStyle w:val="TableBodyText"/>
            </w:pPr>
            <w:r>
              <w:t>(Decrease)/Increase in deferred tax liabilities</w:t>
            </w:r>
          </w:p>
        </w:tc>
        <w:tc>
          <w:tcPr>
            <w:tcW w:w="809" w:type="pct"/>
            <w:tcBorders>
              <w:bottom w:val="single" w:sz="4" w:space="0" w:color="auto"/>
            </w:tcBorders>
            <w:vAlign w:val="top"/>
          </w:tcPr>
          <w:p w14:paraId="3D522C09" w14:textId="7F3997F0"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(36,588)</w:t>
            </w:r>
          </w:p>
        </w:tc>
        <w:tc>
          <w:tcPr>
            <w:tcW w:w="805" w:type="pct"/>
            <w:tcBorders>
              <w:bottom w:val="single" w:sz="4" w:space="0" w:color="auto"/>
            </w:tcBorders>
            <w:vAlign w:val="top"/>
          </w:tcPr>
          <w:p w14:paraId="14702A8A" w14:textId="4ED15489" w:rsidR="00C00C71" w:rsidRDefault="00C00C71" w:rsidP="00FE44D0">
            <w:pPr>
              <w:pStyle w:val="TableBodyText"/>
              <w:cnfStyle w:val="000000000000" w:firstRow="0" w:lastRow="0" w:firstColumn="0" w:lastColumn="0" w:oddVBand="0" w:evenVBand="0" w:oddHBand="0" w:evenHBand="0" w:firstRowFirstColumn="0" w:firstRowLastColumn="0" w:lastRowFirstColumn="0" w:lastRowLastColumn="0"/>
            </w:pPr>
            <w:r>
              <w:t>(20,519)</w:t>
            </w:r>
          </w:p>
        </w:tc>
      </w:tr>
      <w:tr w:rsidR="00C00C71" w:rsidRPr="00EE43B2" w14:paraId="573E6F7C"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5FDD718C" w14:textId="1BF3CA75" w:rsidR="00C00C71" w:rsidRPr="00EE43B2" w:rsidRDefault="00C00C71" w:rsidP="00FE44D0">
            <w:pPr>
              <w:pStyle w:val="TableBodyText"/>
              <w:rPr>
                <w:rStyle w:val="Bold"/>
              </w:rPr>
            </w:pPr>
            <w:r w:rsidRPr="00EE43B2">
              <w:rPr>
                <w:rStyle w:val="Bold"/>
              </w:rPr>
              <w:t>Net cash provided by operating activities</w:t>
            </w:r>
          </w:p>
        </w:tc>
        <w:tc>
          <w:tcPr>
            <w:tcW w:w="809" w:type="pct"/>
            <w:tcBorders>
              <w:top w:val="single" w:sz="4" w:space="0" w:color="auto"/>
              <w:bottom w:val="single" w:sz="4" w:space="0" w:color="auto"/>
            </w:tcBorders>
            <w:vAlign w:val="top"/>
          </w:tcPr>
          <w:p w14:paraId="4D59EAD6" w14:textId="35B26442" w:rsidR="00C00C71" w:rsidRPr="00EE43B2" w:rsidRDefault="00C00C71"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E43B2">
              <w:rPr>
                <w:rStyle w:val="Bold"/>
              </w:rPr>
              <w:t>594,864</w:t>
            </w:r>
          </w:p>
        </w:tc>
        <w:tc>
          <w:tcPr>
            <w:tcW w:w="805" w:type="pct"/>
            <w:tcBorders>
              <w:top w:val="single" w:sz="4" w:space="0" w:color="auto"/>
              <w:bottom w:val="single" w:sz="4" w:space="0" w:color="auto"/>
            </w:tcBorders>
            <w:vAlign w:val="top"/>
          </w:tcPr>
          <w:p w14:paraId="0D92E3EB" w14:textId="2DAFB571" w:rsidR="00C00C71" w:rsidRPr="00EE43B2" w:rsidRDefault="00C00C71"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E43B2">
              <w:rPr>
                <w:rStyle w:val="Bold"/>
              </w:rPr>
              <w:t>555,313</w:t>
            </w:r>
          </w:p>
        </w:tc>
      </w:tr>
    </w:tbl>
    <w:p w14:paraId="3810ECA2" w14:textId="77777777" w:rsidR="00EE43B2" w:rsidRDefault="00EE43B2" w:rsidP="003B2899">
      <w:pPr>
        <w:pStyle w:val="Heading3"/>
      </w:pPr>
      <w:bookmarkStart w:id="1086" w:name="_Toc89723141"/>
      <w:bookmarkStart w:id="1087" w:name="_Ref89844138"/>
      <w:bookmarkStart w:id="1088" w:name="_Ref89845591"/>
      <w:bookmarkStart w:id="1089" w:name="_Toc90326085"/>
      <w:bookmarkStart w:id="1090" w:name="_Toc93659491"/>
      <w:r>
        <w:lastRenderedPageBreak/>
        <w:t>5.3 Commitments</w:t>
      </w:r>
      <w:bookmarkEnd w:id="1086"/>
      <w:bookmarkEnd w:id="1087"/>
      <w:bookmarkEnd w:id="1088"/>
      <w:bookmarkEnd w:id="1089"/>
      <w:bookmarkEnd w:id="1090"/>
    </w:p>
    <w:p w14:paraId="03670B78" w14:textId="77777777" w:rsidR="00EE43B2" w:rsidRDefault="00EE43B2" w:rsidP="003B2899">
      <w:pPr>
        <w:pStyle w:val="BodyText"/>
        <w:keepNext/>
        <w:keepLines/>
      </w:pPr>
      <w:r>
        <w:t>Commitments for future expenditure include capital, operating and financing commitments arising from contracts.</w:t>
      </w:r>
    </w:p>
    <w:p w14:paraId="6F73D467" w14:textId="62FB68E3" w:rsidR="00C00C71" w:rsidRDefault="00EE43B2" w:rsidP="003B2899">
      <w:pPr>
        <w:pStyle w:val="BodyText"/>
        <w:keepNext/>
        <w:keepLines/>
      </w:pPr>
      <w:r>
        <w:t>These commitments are not recognised in the financial statements, but are disclosed at their nominal value and inclusive of the GST payable, except for finance lease liabilities which are disclosed at present value.</w:t>
      </w:r>
    </w:p>
    <w:tbl>
      <w:tblPr>
        <w:tblStyle w:val="Style1"/>
        <w:tblW w:w="5000" w:type="pct"/>
        <w:tblLook w:val="04A0" w:firstRow="1" w:lastRow="0" w:firstColumn="1" w:lastColumn="0" w:noHBand="0" w:noVBand="1"/>
      </w:tblPr>
      <w:tblGrid>
        <w:gridCol w:w="6522"/>
        <w:gridCol w:w="1558"/>
        <w:gridCol w:w="1551"/>
      </w:tblGrid>
      <w:tr w:rsidR="00EE43B2" w:rsidRPr="00FE44D0" w14:paraId="2ECF8447"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7B7DC1E7" w14:textId="77777777" w:rsidR="00EE43B2" w:rsidRPr="00FE44D0" w:rsidRDefault="00EE43B2" w:rsidP="003B2899">
            <w:pPr>
              <w:keepNext/>
              <w:keepLines/>
            </w:pPr>
            <w:bookmarkStart w:id="1091" w:name="ColumnTitle_82"/>
            <w:r w:rsidRPr="00FE44D0">
              <w:t>Item</w:t>
            </w:r>
          </w:p>
        </w:tc>
        <w:tc>
          <w:tcPr>
            <w:tcW w:w="809" w:type="pct"/>
            <w:tcBorders>
              <w:top w:val="single" w:sz="4" w:space="0" w:color="auto"/>
            </w:tcBorders>
            <w:vAlign w:val="bottom"/>
          </w:tcPr>
          <w:p w14:paraId="2284C2B1" w14:textId="77777777" w:rsidR="00EE43B2" w:rsidRPr="00FE44D0" w:rsidRDefault="00EE43B2" w:rsidP="003B2899">
            <w:pPr>
              <w:keepNext/>
              <w:keepLines/>
              <w:cnfStyle w:val="100000000000" w:firstRow="1" w:lastRow="0" w:firstColumn="0" w:lastColumn="0" w:oddVBand="0" w:evenVBand="0" w:oddHBand="0" w:evenHBand="0" w:firstRowFirstColumn="0" w:firstRowLastColumn="0" w:lastRowFirstColumn="0" w:lastRowLastColumn="0"/>
            </w:pPr>
            <w:r w:rsidRPr="00FE44D0">
              <w:t xml:space="preserve">2021 </w:t>
            </w:r>
          </w:p>
          <w:p w14:paraId="5A2DB8DF" w14:textId="77777777" w:rsidR="00EE43B2" w:rsidRPr="00FE44D0" w:rsidRDefault="00EE43B2" w:rsidP="003B2899">
            <w:pPr>
              <w:keepNext/>
              <w:keepLines/>
              <w:cnfStyle w:val="100000000000" w:firstRow="1" w:lastRow="0" w:firstColumn="0" w:lastColumn="0" w:oddVBand="0" w:evenVBand="0" w:oddHBand="0" w:evenHBand="0" w:firstRowFirstColumn="0" w:firstRowLastColumn="0" w:lastRowFirstColumn="0" w:lastRowLastColumn="0"/>
            </w:pPr>
            <w:r w:rsidRPr="00FE44D0">
              <w:t>($ thousands)</w:t>
            </w:r>
          </w:p>
        </w:tc>
        <w:tc>
          <w:tcPr>
            <w:tcW w:w="805" w:type="pct"/>
            <w:tcBorders>
              <w:top w:val="single" w:sz="4" w:space="0" w:color="auto"/>
            </w:tcBorders>
            <w:vAlign w:val="bottom"/>
          </w:tcPr>
          <w:p w14:paraId="271A222C" w14:textId="77777777" w:rsidR="00EE43B2" w:rsidRPr="00FE44D0" w:rsidRDefault="00EE43B2" w:rsidP="003B2899">
            <w:pPr>
              <w:keepNext/>
              <w:keepLines/>
              <w:cnfStyle w:val="100000000000" w:firstRow="1" w:lastRow="0" w:firstColumn="0" w:lastColumn="0" w:oddVBand="0" w:evenVBand="0" w:oddHBand="0" w:evenHBand="0" w:firstRowFirstColumn="0" w:firstRowLastColumn="0" w:lastRowFirstColumn="0" w:lastRowLastColumn="0"/>
            </w:pPr>
            <w:r w:rsidRPr="00FE44D0">
              <w:t xml:space="preserve">2020 </w:t>
            </w:r>
          </w:p>
          <w:p w14:paraId="309DBFB0" w14:textId="77777777" w:rsidR="00EE43B2" w:rsidRPr="00FE44D0" w:rsidRDefault="00EE43B2" w:rsidP="003B2899">
            <w:pPr>
              <w:keepNext/>
              <w:keepLines/>
              <w:cnfStyle w:val="100000000000" w:firstRow="1" w:lastRow="0" w:firstColumn="0" w:lastColumn="0" w:oddVBand="0" w:evenVBand="0" w:oddHBand="0" w:evenHBand="0" w:firstRowFirstColumn="0" w:firstRowLastColumn="0" w:lastRowFirstColumn="0" w:lastRowLastColumn="0"/>
            </w:pPr>
            <w:r w:rsidRPr="00FE44D0">
              <w:t>($ thousands)</w:t>
            </w:r>
          </w:p>
        </w:tc>
      </w:tr>
      <w:bookmarkEnd w:id="1091"/>
      <w:tr w:rsidR="00EE43B2" w:rsidRPr="00300324" w14:paraId="0669BDB1"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4654C6D4" w14:textId="06F2124E" w:rsidR="00EE43B2" w:rsidRPr="00EE43B2" w:rsidRDefault="00EE43B2" w:rsidP="003B2899">
            <w:pPr>
              <w:pStyle w:val="TableBodyText"/>
              <w:keepNext/>
              <w:keepLines/>
              <w:rPr>
                <w:rStyle w:val="Bold"/>
              </w:rPr>
            </w:pPr>
            <w:r>
              <w:rPr>
                <w:rStyle w:val="Bold"/>
              </w:rPr>
              <w:t>Capital expenditure commitments</w:t>
            </w:r>
          </w:p>
        </w:tc>
        <w:tc>
          <w:tcPr>
            <w:tcW w:w="809" w:type="pct"/>
            <w:tcBorders>
              <w:top w:val="single" w:sz="4" w:space="0" w:color="auto"/>
            </w:tcBorders>
            <w:vAlign w:val="top"/>
          </w:tcPr>
          <w:p w14:paraId="3D5C952C" w14:textId="77777777" w:rsidR="00EE43B2" w:rsidRDefault="00EE43B2"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23D390E1" w14:textId="28A4524D" w:rsidR="00EE43B2" w:rsidRDefault="00EE43B2"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EE43B2" w:rsidRPr="00300324" w14:paraId="6C150AC6"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219EDA63" w14:textId="6613206B" w:rsidR="00EE43B2" w:rsidRDefault="00EE43B2" w:rsidP="003B2899">
            <w:pPr>
              <w:pStyle w:val="TableBodyText"/>
              <w:keepNext/>
              <w:keepLines/>
            </w:pPr>
            <w:r>
              <w:t>Total capital expenditure contracted for the construction of water, sewerage and waterways and drainage infrastructure:</w:t>
            </w:r>
          </w:p>
        </w:tc>
        <w:tc>
          <w:tcPr>
            <w:tcW w:w="809" w:type="pct"/>
            <w:vAlign w:val="top"/>
          </w:tcPr>
          <w:p w14:paraId="662CCC73" w14:textId="2A81813A" w:rsidR="00EE43B2" w:rsidRDefault="00EE43B2"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5FAC325D" w14:textId="4EF8A842" w:rsidR="00EE43B2" w:rsidRDefault="00EE43B2"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EE43B2" w:rsidRPr="00300324" w14:paraId="7DE1D31A"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7E4B4AD5" w14:textId="30275E88" w:rsidR="00EE43B2" w:rsidRDefault="00EE43B2" w:rsidP="00FE44D0">
            <w:pPr>
              <w:pStyle w:val="TableBodyText"/>
            </w:pPr>
            <w:r>
              <w:t>Less than 1 year</w:t>
            </w:r>
          </w:p>
        </w:tc>
        <w:tc>
          <w:tcPr>
            <w:tcW w:w="809" w:type="pct"/>
            <w:vAlign w:val="top"/>
          </w:tcPr>
          <w:p w14:paraId="2982C5CA" w14:textId="3F37283C"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338,841</w:t>
            </w:r>
          </w:p>
        </w:tc>
        <w:tc>
          <w:tcPr>
            <w:tcW w:w="805" w:type="pct"/>
            <w:vAlign w:val="top"/>
          </w:tcPr>
          <w:p w14:paraId="18EAAC54" w14:textId="38DDA8EF"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230,220</w:t>
            </w:r>
          </w:p>
        </w:tc>
      </w:tr>
      <w:tr w:rsidR="00EE43B2" w:rsidRPr="00300324" w14:paraId="4149C888"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5B6C7C50" w14:textId="4C031A9D" w:rsidR="00EE43B2" w:rsidRDefault="00EE43B2" w:rsidP="00FE44D0">
            <w:pPr>
              <w:pStyle w:val="TableBodyText"/>
            </w:pPr>
            <w:r>
              <w:t>1 year but less than 5 years</w:t>
            </w:r>
          </w:p>
        </w:tc>
        <w:tc>
          <w:tcPr>
            <w:tcW w:w="809" w:type="pct"/>
            <w:vAlign w:val="top"/>
          </w:tcPr>
          <w:p w14:paraId="6BE9EA3E" w14:textId="556382E0"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210,793</w:t>
            </w:r>
          </w:p>
        </w:tc>
        <w:tc>
          <w:tcPr>
            <w:tcW w:w="805" w:type="pct"/>
            <w:vAlign w:val="top"/>
          </w:tcPr>
          <w:p w14:paraId="07CC3CEB" w14:textId="28B47401"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257,263</w:t>
            </w:r>
          </w:p>
        </w:tc>
      </w:tr>
      <w:tr w:rsidR="00EE43B2" w:rsidRPr="00300324" w14:paraId="51FA6FF1"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469ED5FC" w14:textId="75628562" w:rsidR="00EE43B2" w:rsidRDefault="00EE43B2" w:rsidP="00FE44D0">
            <w:pPr>
              <w:pStyle w:val="TableBodyText"/>
            </w:pPr>
            <w:r>
              <w:t>5 years or more</w:t>
            </w:r>
          </w:p>
        </w:tc>
        <w:tc>
          <w:tcPr>
            <w:tcW w:w="809" w:type="pct"/>
            <w:vAlign w:val="top"/>
          </w:tcPr>
          <w:p w14:paraId="5683F073" w14:textId="6E81291D"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94</w:t>
            </w:r>
          </w:p>
        </w:tc>
        <w:tc>
          <w:tcPr>
            <w:tcW w:w="805" w:type="pct"/>
            <w:vAlign w:val="top"/>
          </w:tcPr>
          <w:p w14:paraId="1EAC45B2" w14:textId="0DA21919"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141</w:t>
            </w:r>
          </w:p>
        </w:tc>
      </w:tr>
      <w:tr w:rsidR="00EE43B2" w:rsidRPr="00EE43B2" w14:paraId="577093A2"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76AD65FA" w14:textId="4B014B57" w:rsidR="00EE43B2" w:rsidRPr="00EE43B2" w:rsidRDefault="00EE43B2" w:rsidP="00FE44D0">
            <w:pPr>
              <w:pStyle w:val="TableBodyText"/>
              <w:rPr>
                <w:rStyle w:val="Bold"/>
              </w:rPr>
            </w:pPr>
            <w:r>
              <w:rPr>
                <w:rStyle w:val="Bold"/>
              </w:rPr>
              <w:t>Total capital expenditure commitments</w:t>
            </w:r>
          </w:p>
        </w:tc>
        <w:tc>
          <w:tcPr>
            <w:tcW w:w="809" w:type="pct"/>
            <w:tcBorders>
              <w:top w:val="single" w:sz="4" w:space="0" w:color="auto"/>
              <w:bottom w:val="single" w:sz="4" w:space="0" w:color="auto"/>
            </w:tcBorders>
            <w:vAlign w:val="top"/>
          </w:tcPr>
          <w:p w14:paraId="752E23C0" w14:textId="22DDF2F1" w:rsidR="00EE43B2" w:rsidRP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549,728</w:t>
            </w:r>
          </w:p>
        </w:tc>
        <w:tc>
          <w:tcPr>
            <w:tcW w:w="805" w:type="pct"/>
            <w:tcBorders>
              <w:top w:val="single" w:sz="4" w:space="0" w:color="auto"/>
              <w:bottom w:val="single" w:sz="4" w:space="0" w:color="auto"/>
            </w:tcBorders>
            <w:vAlign w:val="top"/>
          </w:tcPr>
          <w:p w14:paraId="061E6760" w14:textId="7F25E6AC" w:rsidR="00EE43B2" w:rsidRP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487,624</w:t>
            </w:r>
          </w:p>
        </w:tc>
      </w:tr>
      <w:tr w:rsidR="00EE43B2" w:rsidRPr="00EE43B2" w14:paraId="38CBD174"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0CB4B38F" w14:textId="47E457D1" w:rsidR="00EE43B2" w:rsidRPr="00EE43B2" w:rsidRDefault="00EE43B2" w:rsidP="00FE44D0">
            <w:pPr>
              <w:pStyle w:val="TableBodyText"/>
              <w:rPr>
                <w:rStyle w:val="Bold"/>
              </w:rPr>
            </w:pPr>
            <w:r w:rsidRPr="00EE43B2">
              <w:rPr>
                <w:rStyle w:val="Bold"/>
              </w:rPr>
              <w:t>Other operating commitments</w:t>
            </w:r>
          </w:p>
        </w:tc>
        <w:tc>
          <w:tcPr>
            <w:tcW w:w="809" w:type="pct"/>
            <w:tcBorders>
              <w:top w:val="single" w:sz="4" w:space="0" w:color="auto"/>
            </w:tcBorders>
            <w:vAlign w:val="top"/>
          </w:tcPr>
          <w:p w14:paraId="0B591ED6" w14:textId="49AD7162"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7500BFD2" w14:textId="29279892"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N/A</w:t>
            </w:r>
          </w:p>
        </w:tc>
      </w:tr>
      <w:tr w:rsidR="00EE43B2" w:rsidRPr="00EE43B2" w14:paraId="4B3F9584"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18EAFA25" w14:textId="3A298884" w:rsidR="00EE43B2" w:rsidRDefault="00EE43B2" w:rsidP="00FE44D0">
            <w:pPr>
              <w:pStyle w:val="TableBodyText"/>
            </w:pPr>
            <w:r>
              <w:t xml:space="preserve">Other operating commitments relate to operating contracts including energy, </w:t>
            </w:r>
            <w:r w:rsidR="00965CBF">
              <w:t>Information Technology</w:t>
            </w:r>
            <w:r>
              <w:t xml:space="preserve">, research and development (excluding leases). Refer to note 5.4 for other operating commitments relating to the </w:t>
            </w:r>
            <w:r w:rsidR="00DC0A06">
              <w:t>Victorian Desalination Plant</w:t>
            </w:r>
            <w:r>
              <w:t xml:space="preserve"> service concession arrangement. Total other operating expenditure contracted for at balance date are as follows:</w:t>
            </w:r>
          </w:p>
        </w:tc>
        <w:tc>
          <w:tcPr>
            <w:tcW w:w="809" w:type="pct"/>
            <w:vAlign w:val="top"/>
          </w:tcPr>
          <w:p w14:paraId="098B1B1C" w14:textId="613EB2B4"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389BC775" w14:textId="2CA5361A"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N/A</w:t>
            </w:r>
          </w:p>
        </w:tc>
      </w:tr>
      <w:tr w:rsidR="00EE43B2" w:rsidRPr="00EE43B2" w14:paraId="2199BB06"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18152497" w14:textId="2C24A915" w:rsidR="00EE43B2" w:rsidRDefault="00EE43B2" w:rsidP="00FE44D0">
            <w:pPr>
              <w:pStyle w:val="TableBodyText"/>
            </w:pPr>
            <w:r>
              <w:t>Less than 1 year</w:t>
            </w:r>
          </w:p>
        </w:tc>
        <w:tc>
          <w:tcPr>
            <w:tcW w:w="809" w:type="pct"/>
            <w:vAlign w:val="top"/>
          </w:tcPr>
          <w:p w14:paraId="7E297CB5" w14:textId="44CC0D12"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34,923</w:t>
            </w:r>
          </w:p>
        </w:tc>
        <w:tc>
          <w:tcPr>
            <w:tcW w:w="805" w:type="pct"/>
            <w:vAlign w:val="top"/>
          </w:tcPr>
          <w:p w14:paraId="18A23360" w14:textId="33D25462"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34,551</w:t>
            </w:r>
          </w:p>
        </w:tc>
      </w:tr>
      <w:tr w:rsidR="00EE43B2" w:rsidRPr="00EE43B2" w14:paraId="0C42CA2A"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609BAF44" w14:textId="43948D49" w:rsidR="00EE43B2" w:rsidRDefault="00EE43B2" w:rsidP="00FE44D0">
            <w:pPr>
              <w:pStyle w:val="TableBodyText"/>
            </w:pPr>
            <w:r>
              <w:t>1 year but less than 5 years</w:t>
            </w:r>
          </w:p>
        </w:tc>
        <w:tc>
          <w:tcPr>
            <w:tcW w:w="809" w:type="pct"/>
            <w:vAlign w:val="top"/>
          </w:tcPr>
          <w:p w14:paraId="4F9FB1FF" w14:textId="4FB700F2"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65,734</w:t>
            </w:r>
          </w:p>
        </w:tc>
        <w:tc>
          <w:tcPr>
            <w:tcW w:w="805" w:type="pct"/>
            <w:vAlign w:val="top"/>
          </w:tcPr>
          <w:p w14:paraId="3C7C6BDD" w14:textId="72FC1053"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75,348</w:t>
            </w:r>
          </w:p>
        </w:tc>
      </w:tr>
      <w:tr w:rsidR="00EE43B2" w:rsidRPr="00EE43B2" w14:paraId="38898546"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6F5680E3" w14:textId="2A215D91" w:rsidR="00EE43B2" w:rsidRDefault="00EE43B2" w:rsidP="00FE44D0">
            <w:pPr>
              <w:pStyle w:val="TableBodyText"/>
            </w:pPr>
            <w:r>
              <w:t>Later than 5 years</w:t>
            </w:r>
          </w:p>
        </w:tc>
        <w:tc>
          <w:tcPr>
            <w:tcW w:w="809" w:type="pct"/>
            <w:tcBorders>
              <w:bottom w:val="single" w:sz="4" w:space="0" w:color="auto"/>
            </w:tcBorders>
            <w:vAlign w:val="top"/>
          </w:tcPr>
          <w:p w14:paraId="649B8125" w14:textId="72F700DE"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43,987</w:t>
            </w:r>
          </w:p>
        </w:tc>
        <w:tc>
          <w:tcPr>
            <w:tcW w:w="805" w:type="pct"/>
            <w:tcBorders>
              <w:bottom w:val="single" w:sz="4" w:space="0" w:color="auto"/>
            </w:tcBorders>
            <w:vAlign w:val="top"/>
          </w:tcPr>
          <w:p w14:paraId="3CB64BDF" w14:textId="7E1042C9" w:rsid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pPr>
            <w:r>
              <w:t>56,164</w:t>
            </w:r>
          </w:p>
        </w:tc>
      </w:tr>
      <w:tr w:rsidR="00EE43B2" w:rsidRPr="00EE43B2" w14:paraId="061C93DB"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7847847A" w14:textId="747C6B52" w:rsidR="00EE43B2" w:rsidRPr="00EE43B2" w:rsidRDefault="00EE43B2" w:rsidP="00FE44D0">
            <w:pPr>
              <w:pStyle w:val="TableBodyText"/>
              <w:rPr>
                <w:rStyle w:val="Bold"/>
              </w:rPr>
            </w:pPr>
            <w:r w:rsidRPr="00EE43B2">
              <w:rPr>
                <w:rStyle w:val="Bold"/>
              </w:rPr>
              <w:t>Total other operating commitments</w:t>
            </w:r>
          </w:p>
        </w:tc>
        <w:tc>
          <w:tcPr>
            <w:tcW w:w="809" w:type="pct"/>
            <w:tcBorders>
              <w:top w:val="single" w:sz="4" w:space="0" w:color="auto"/>
              <w:bottom w:val="single" w:sz="4" w:space="0" w:color="auto"/>
            </w:tcBorders>
            <w:vAlign w:val="top"/>
          </w:tcPr>
          <w:p w14:paraId="6AB240CB" w14:textId="544524DA" w:rsidR="00EE43B2" w:rsidRP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E43B2">
              <w:rPr>
                <w:rStyle w:val="Bold"/>
              </w:rPr>
              <w:t>144,644</w:t>
            </w:r>
          </w:p>
        </w:tc>
        <w:tc>
          <w:tcPr>
            <w:tcW w:w="805" w:type="pct"/>
            <w:tcBorders>
              <w:top w:val="single" w:sz="4" w:space="0" w:color="auto"/>
              <w:bottom w:val="single" w:sz="4" w:space="0" w:color="auto"/>
            </w:tcBorders>
            <w:vAlign w:val="top"/>
          </w:tcPr>
          <w:p w14:paraId="536C8AFB" w14:textId="1EB2E0F8" w:rsidR="00EE43B2" w:rsidRPr="00EE43B2" w:rsidRDefault="00EE43B2"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EE43B2">
              <w:rPr>
                <w:rStyle w:val="Bold"/>
              </w:rPr>
              <w:t>166,063</w:t>
            </w:r>
          </w:p>
        </w:tc>
      </w:tr>
      <w:tr w:rsidR="00742853" w:rsidRPr="00EE43B2" w14:paraId="43F54BD1"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top"/>
          </w:tcPr>
          <w:p w14:paraId="3F5F86C1" w14:textId="4E2B3631" w:rsidR="00742853" w:rsidRPr="00742853" w:rsidRDefault="00742853" w:rsidP="00FE44D0">
            <w:pPr>
              <w:pStyle w:val="TableBodyText"/>
              <w:rPr>
                <w:rStyle w:val="Bold"/>
              </w:rPr>
            </w:pPr>
            <w:r w:rsidRPr="00742853">
              <w:rPr>
                <w:rStyle w:val="Bold"/>
              </w:rPr>
              <w:t>Build, own and operate (BOO) commitment</w:t>
            </w:r>
          </w:p>
        </w:tc>
        <w:tc>
          <w:tcPr>
            <w:tcW w:w="809" w:type="pct"/>
            <w:tcBorders>
              <w:top w:val="single" w:sz="4" w:space="0" w:color="auto"/>
            </w:tcBorders>
            <w:vAlign w:val="top"/>
          </w:tcPr>
          <w:p w14:paraId="4EC15DC6" w14:textId="530C14DA" w:rsidR="00742853" w:rsidRPr="00EE43B2" w:rsidRDefault="00742853" w:rsidP="00FE44D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6B374F97" w14:textId="314C1DAF" w:rsidR="00742853" w:rsidRPr="00EE43B2" w:rsidRDefault="00742853" w:rsidP="00FE44D0">
            <w:pPr>
              <w:pStyle w:val="TableBodyText"/>
              <w:cnfStyle w:val="000000000000" w:firstRow="0" w:lastRow="0" w:firstColumn="0" w:lastColumn="0" w:oddVBand="0" w:evenVBand="0" w:oddHBand="0" w:evenHBand="0" w:firstRowFirstColumn="0" w:firstRowLastColumn="0" w:lastRowFirstColumn="0" w:lastRowLastColumn="0"/>
            </w:pPr>
            <w:r>
              <w:t>N/A</w:t>
            </w:r>
          </w:p>
        </w:tc>
      </w:tr>
      <w:tr w:rsidR="00742853" w:rsidRPr="00EE43B2" w14:paraId="44CE1969" w14:textId="77777777" w:rsidTr="00FE44D0">
        <w:tc>
          <w:tcPr>
            <w:cnfStyle w:val="001000000000" w:firstRow="0" w:lastRow="0" w:firstColumn="1" w:lastColumn="0" w:oddVBand="0" w:evenVBand="0" w:oddHBand="0" w:evenHBand="0" w:firstRowFirstColumn="0" w:firstRowLastColumn="0" w:lastRowFirstColumn="0" w:lastRowLastColumn="0"/>
            <w:tcW w:w="3385" w:type="pct"/>
            <w:vAlign w:val="top"/>
          </w:tcPr>
          <w:p w14:paraId="6DBC53EB" w14:textId="0E078416" w:rsidR="00742853" w:rsidRPr="00742853" w:rsidRDefault="00742853" w:rsidP="00FE44D0">
            <w:pPr>
              <w:pStyle w:val="TableBodyText"/>
            </w:pPr>
            <w:r>
              <w:t xml:space="preserve">The commitment recognised in 2019-20 was in relation to the electricity generation </w:t>
            </w:r>
            <w:r w:rsidR="00DC0A06">
              <w:t xml:space="preserve">Build, Own and Operate </w:t>
            </w:r>
            <w:r>
              <w:t xml:space="preserve"> contract at the Western Treatment Plant with Sustainable Energy Infrastructure. The contract expired on 31 December 2020 and the Corporation has now taken ownership of the asset. At the end of 2020-21 there was no </w:t>
            </w:r>
            <w:r w:rsidR="00DC0A06">
              <w:t xml:space="preserve">Build, Own and Operate </w:t>
            </w:r>
            <w:r>
              <w:t xml:space="preserve"> commitment.</w:t>
            </w:r>
          </w:p>
        </w:tc>
        <w:tc>
          <w:tcPr>
            <w:tcW w:w="809" w:type="pct"/>
            <w:vAlign w:val="top"/>
          </w:tcPr>
          <w:p w14:paraId="6CEC404D" w14:textId="3D1955EA" w:rsidR="00742853" w:rsidRDefault="00742853" w:rsidP="00FE44D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3E6BB366" w14:textId="4F590712" w:rsidR="00742853" w:rsidRDefault="00742853" w:rsidP="00FE44D0">
            <w:pPr>
              <w:pStyle w:val="TableBodyText"/>
              <w:cnfStyle w:val="000000000000" w:firstRow="0" w:lastRow="0" w:firstColumn="0" w:lastColumn="0" w:oddVBand="0" w:evenVBand="0" w:oddHBand="0" w:evenHBand="0" w:firstRowFirstColumn="0" w:firstRowLastColumn="0" w:lastRowFirstColumn="0" w:lastRowLastColumn="0"/>
            </w:pPr>
            <w:r>
              <w:t>N/A</w:t>
            </w:r>
          </w:p>
        </w:tc>
      </w:tr>
      <w:tr w:rsidR="00742853" w:rsidRPr="00EE43B2" w14:paraId="4B3804B2"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2D5C5773" w14:textId="04307793" w:rsidR="00742853" w:rsidRDefault="00742853" w:rsidP="00FE44D0">
            <w:pPr>
              <w:pStyle w:val="TableBodyText"/>
            </w:pPr>
            <w:r>
              <w:t>Less than 1 year</w:t>
            </w:r>
          </w:p>
        </w:tc>
        <w:tc>
          <w:tcPr>
            <w:tcW w:w="809" w:type="pct"/>
            <w:tcBorders>
              <w:bottom w:val="single" w:sz="4" w:space="0" w:color="auto"/>
            </w:tcBorders>
            <w:vAlign w:val="top"/>
          </w:tcPr>
          <w:p w14:paraId="4A939592" w14:textId="3D16C1F7" w:rsidR="00742853" w:rsidRDefault="00742853" w:rsidP="00FE44D0">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bottom w:val="single" w:sz="4" w:space="0" w:color="auto"/>
            </w:tcBorders>
            <w:vAlign w:val="top"/>
          </w:tcPr>
          <w:p w14:paraId="1ADDD4C3" w14:textId="26CDB11A" w:rsidR="00742853" w:rsidRDefault="00742853" w:rsidP="00FE44D0">
            <w:pPr>
              <w:pStyle w:val="TableBodyText"/>
              <w:cnfStyle w:val="000000000000" w:firstRow="0" w:lastRow="0" w:firstColumn="0" w:lastColumn="0" w:oddVBand="0" w:evenVBand="0" w:oddHBand="0" w:evenHBand="0" w:firstRowFirstColumn="0" w:firstRowLastColumn="0" w:lastRowFirstColumn="0" w:lastRowLastColumn="0"/>
            </w:pPr>
            <w:r>
              <w:t>2,303</w:t>
            </w:r>
          </w:p>
        </w:tc>
      </w:tr>
      <w:tr w:rsidR="00742853" w:rsidRPr="00EE43B2" w14:paraId="382C8A59" w14:textId="77777777" w:rsidTr="00FE44D0">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2BC19BAA" w14:textId="5B3A55BE" w:rsidR="00742853" w:rsidRPr="00742853" w:rsidRDefault="00742853" w:rsidP="00FE44D0">
            <w:pPr>
              <w:pStyle w:val="TableBodyText"/>
              <w:rPr>
                <w:rStyle w:val="Bold"/>
              </w:rPr>
            </w:pPr>
            <w:r w:rsidRPr="00742853">
              <w:rPr>
                <w:rStyle w:val="Bold"/>
              </w:rPr>
              <w:t xml:space="preserve">Total </w:t>
            </w:r>
            <w:r w:rsidR="00DC0A06">
              <w:rPr>
                <w:rStyle w:val="Bold"/>
              </w:rPr>
              <w:t xml:space="preserve">Build, Own and Operate </w:t>
            </w:r>
            <w:r w:rsidRPr="00742853">
              <w:rPr>
                <w:rStyle w:val="Bold"/>
              </w:rPr>
              <w:t xml:space="preserve"> commitment</w:t>
            </w:r>
          </w:p>
        </w:tc>
        <w:tc>
          <w:tcPr>
            <w:tcW w:w="809" w:type="pct"/>
            <w:tcBorders>
              <w:top w:val="single" w:sz="4" w:space="0" w:color="auto"/>
              <w:bottom w:val="single" w:sz="4" w:space="0" w:color="auto"/>
            </w:tcBorders>
            <w:vAlign w:val="top"/>
          </w:tcPr>
          <w:p w14:paraId="3D7D86F3" w14:textId="6C4D1810" w:rsidR="00742853" w:rsidRDefault="00742853"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t>N/A</w:t>
            </w:r>
          </w:p>
        </w:tc>
        <w:tc>
          <w:tcPr>
            <w:tcW w:w="805" w:type="pct"/>
            <w:tcBorders>
              <w:top w:val="single" w:sz="4" w:space="0" w:color="auto"/>
              <w:bottom w:val="single" w:sz="4" w:space="0" w:color="auto"/>
            </w:tcBorders>
            <w:vAlign w:val="top"/>
          </w:tcPr>
          <w:p w14:paraId="13AEE8FA" w14:textId="030625DC" w:rsidR="00742853" w:rsidRDefault="00742853" w:rsidP="00FE44D0">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2,303</w:t>
            </w:r>
          </w:p>
        </w:tc>
      </w:tr>
    </w:tbl>
    <w:p w14:paraId="5D77747E" w14:textId="1A3FFECD" w:rsidR="00742853" w:rsidRDefault="00742853" w:rsidP="003B2899">
      <w:pPr>
        <w:pStyle w:val="Heading3"/>
      </w:pPr>
      <w:bookmarkStart w:id="1092" w:name="Note54"/>
      <w:bookmarkStart w:id="1093" w:name="_Toc89723142"/>
      <w:bookmarkStart w:id="1094" w:name="_Ref89844148"/>
      <w:bookmarkStart w:id="1095" w:name="_Ref89845595"/>
      <w:bookmarkStart w:id="1096" w:name="_Toc90326086"/>
      <w:bookmarkStart w:id="1097" w:name="_Toc93659492"/>
      <w:r>
        <w:lastRenderedPageBreak/>
        <w:t xml:space="preserve">5.4 </w:t>
      </w:r>
      <w:bookmarkEnd w:id="1092"/>
      <w:r w:rsidR="00DC0A06">
        <w:t>Victorian Desalination Plant</w:t>
      </w:r>
      <w:r>
        <w:t xml:space="preserve"> service concession arrangement</w:t>
      </w:r>
      <w:bookmarkEnd w:id="1093"/>
      <w:bookmarkEnd w:id="1094"/>
      <w:bookmarkEnd w:id="1095"/>
      <w:bookmarkEnd w:id="1096"/>
      <w:bookmarkEnd w:id="1097"/>
    </w:p>
    <w:p w14:paraId="1AD31638" w14:textId="77777777" w:rsidR="00742853" w:rsidRDefault="00742853" w:rsidP="003B2899">
      <w:pPr>
        <w:pStyle w:val="Heading4"/>
      </w:pPr>
      <w:r>
        <w:t>Victorian Desalination Project Arrangement</w:t>
      </w:r>
    </w:p>
    <w:p w14:paraId="4F855B19" w14:textId="2F082FE5" w:rsidR="00742853" w:rsidRDefault="00742853" w:rsidP="003B2899">
      <w:pPr>
        <w:pStyle w:val="BodyText"/>
        <w:keepNext/>
        <w:keepLines/>
      </w:pPr>
      <w:r>
        <w:t>The State of Victoria entered into a 30-year Public Private Partnership (PPP) arrangement with the AquaSure consortium (AquaSure) on 30 July 2009. The Victorian Desalination Project was initiated to design, build, finance and operate a desalination plant, transfer pipeline and 220 kV underground power cable capable of supplying 150GL of water per annum into the Melbourne network. Construction of the Victorian Desalination Project began in 2009 and the lease term commenced in 2012 upon successful commissioning. AquaSure is required to transfer the project assets to the State at the end of the project term for no additional payment by the State. The desalination plant assets will transfer from the State to the Corporation at the end of the project contract term (presently planned for 2039).</w:t>
      </w:r>
    </w:p>
    <w:p w14:paraId="277A0A22" w14:textId="099714AE" w:rsidR="00742853" w:rsidRDefault="00742853" w:rsidP="00742853">
      <w:pPr>
        <w:pStyle w:val="BodyText"/>
      </w:pPr>
      <w:r>
        <w:t xml:space="preserve">Under the arrangement, the State has an obligation to make Water Security Payments (WSPs) to the consortium provided the plant is maintained to the appropriate standard. The </w:t>
      </w:r>
      <w:r w:rsidR="00DC0A06">
        <w:t>Water Security Payments</w:t>
      </w:r>
      <w:r>
        <w:t xml:space="preserve"> have two components: capital payments for the project assets and other expenses for operating, maintenance and lifecycle costs. The State will also make Water Usage Payments (WUPs) for any water that is ordered and delivered to the required standard. Water can be ordered annually for flexible amounts from 0GL to 150GL (in set increments). The arrangement also requires a minimum number of Renewable Energy Certificates (RECs) to be purchased to offset the electricity used by the plant. The number of </w:t>
      </w:r>
      <w:r w:rsidR="00A52F94">
        <w:t>Renewable Energy Certificates</w:t>
      </w:r>
      <w:r>
        <w:t xml:space="preserve"> that are consumed will vary based on the volume of water produced by the plant. The number of banked </w:t>
      </w:r>
      <w:r w:rsidR="00A52F94">
        <w:t>Renewable Energy Certificates</w:t>
      </w:r>
      <w:r>
        <w:t xml:space="preserve"> that remain at the end of the supply period are controlled by the State and not recognised by the Corporation.</w:t>
      </w:r>
    </w:p>
    <w:p w14:paraId="73CE2F9C" w14:textId="0B582678" w:rsidR="00742853" w:rsidRDefault="00742853" w:rsidP="00742853">
      <w:pPr>
        <w:pStyle w:val="BodyText"/>
      </w:pPr>
      <w:r>
        <w:t xml:space="preserve">An arrangement was entered into by the State and the Corporation, where a Statement of Obligations (SoO) was issued to the Corporation under section 4I of the </w:t>
      </w:r>
      <w:r w:rsidRPr="00742853">
        <w:rPr>
          <w:rStyle w:val="ItalicText"/>
        </w:rPr>
        <w:t>Water Industry Act 1994</w:t>
      </w:r>
      <w:r>
        <w:t xml:space="preserve"> that required the Corporation to pay all monies as required by the State under the project deed with AquaSure. This includes payment of the </w:t>
      </w:r>
      <w:r w:rsidR="00DC0A06">
        <w:t>Water Security Payments</w:t>
      </w:r>
      <w:r>
        <w:t xml:space="preserve"> and </w:t>
      </w:r>
      <w:r w:rsidR="00DC0A06">
        <w:t>Water Usage Payments</w:t>
      </w:r>
      <w:r>
        <w:t xml:space="preserve"> in accordance with the Project Deed. The Corporation makes these payments to </w:t>
      </w:r>
      <w:r w:rsidR="0030196D">
        <w:t>Department of Environment, Land, Water and Planning</w:t>
      </w:r>
      <w:r>
        <w:t xml:space="preserve"> which is managing the contract with AquaSure on behalf of the State.</w:t>
      </w:r>
    </w:p>
    <w:p w14:paraId="591931F9" w14:textId="04D5211A" w:rsidR="00EE43B2" w:rsidRDefault="00742853" w:rsidP="00742853">
      <w:pPr>
        <w:pStyle w:val="BodyText"/>
      </w:pPr>
      <w:r>
        <w:t xml:space="preserve">The Corporation also entered into a Victorian Desalination Project Water Interface Agreement (WIA) and a Supplementary </w:t>
      </w:r>
      <w:r w:rsidR="00DC0A06">
        <w:t>Water Interface Agreement</w:t>
      </w:r>
      <w:r>
        <w:t xml:space="preserve"> with the State to record the terms of the interface and financial arrangements between the project and the Corporation.</w:t>
      </w:r>
    </w:p>
    <w:p w14:paraId="3C500DDD" w14:textId="77777777" w:rsidR="00742853" w:rsidRDefault="00742853" w:rsidP="00742853">
      <w:pPr>
        <w:pStyle w:val="Heading4"/>
      </w:pPr>
      <w:r>
        <w:t>Service Concession Assessment and Policy</w:t>
      </w:r>
    </w:p>
    <w:p w14:paraId="4D137CF6" w14:textId="76030807" w:rsidR="00742853" w:rsidRDefault="00742853" w:rsidP="00742853">
      <w:pPr>
        <w:pStyle w:val="BodyText"/>
      </w:pPr>
      <w:r>
        <w:t xml:space="preserve">The State (in conjunction with the Corporation) has assessed the agreements between AquaSure, </w:t>
      </w:r>
      <w:r w:rsidR="0030196D">
        <w:t>Department of Environment, Land, Water and Planning</w:t>
      </w:r>
      <w:r>
        <w:t xml:space="preserve"> (on behalf of the State) and the Corporation, and concluded that the agreements are connected and should form one single commercial arrangement. Under the combined arrangement, the Corporation is considered the ultimate grantor under AASB 1059, and AquaSure the private sector operator that provides public services on behalf of the Corporation. Accordingly, the Corporation applies AASB 1059 to the </w:t>
      </w:r>
      <w:r w:rsidR="00DC0A06">
        <w:t>Victorian Desalination Plant</w:t>
      </w:r>
      <w:r>
        <w:t xml:space="preserve"> arrangement. Service concession assets are recognised under property plant and equipment in note </w:t>
      </w:r>
      <w:r w:rsidR="00C9560B">
        <w:fldChar w:fldCharType="begin"/>
      </w:r>
      <w:r w:rsidR="00C9560B">
        <w:instrText xml:space="preserve"> REF Note41 \h </w:instrText>
      </w:r>
      <w:r w:rsidR="00C9560B">
        <w:fldChar w:fldCharType="separate"/>
      </w:r>
      <w:r w:rsidR="00472151">
        <w:t xml:space="preserve">4.1 </w:t>
      </w:r>
      <w:r w:rsidR="00C9560B">
        <w:fldChar w:fldCharType="end"/>
      </w:r>
      <w:r>
        <w:t xml:space="preserve">and related liabilities are disclosed under interest bearing liabilities in note </w:t>
      </w:r>
      <w:r w:rsidR="002B0B65">
        <w:fldChar w:fldCharType="begin"/>
      </w:r>
      <w:r w:rsidR="002B0B65">
        <w:instrText xml:space="preserve"> REF Note51 \h </w:instrText>
      </w:r>
      <w:r w:rsidR="002B0B65">
        <w:fldChar w:fldCharType="separate"/>
      </w:r>
      <w:r w:rsidR="00472151" w:rsidRPr="00300324">
        <w:t xml:space="preserve">5.1 </w:t>
      </w:r>
      <w:r w:rsidR="002B0B65">
        <w:fldChar w:fldCharType="end"/>
      </w:r>
      <w:r>
        <w:t xml:space="preserve"> respectively.</w:t>
      </w:r>
    </w:p>
    <w:p w14:paraId="45BB4B55" w14:textId="77777777" w:rsidR="00742853" w:rsidRDefault="00742853" w:rsidP="00742853">
      <w:pPr>
        <w:pStyle w:val="Heading4"/>
      </w:pPr>
      <w:r>
        <w:t>Changes in arrangement occurring in the current year</w:t>
      </w:r>
    </w:p>
    <w:p w14:paraId="6897E373" w14:textId="2A37E548" w:rsidR="00742853" w:rsidRDefault="00742853" w:rsidP="00742853">
      <w:pPr>
        <w:pStyle w:val="BodyText"/>
      </w:pPr>
      <w:r>
        <w:t>As at 30 June 2021 AquaSure had produced the 125GL for the 2020-21 water order (125GL for the 2019-20 water order).</w:t>
      </w:r>
    </w:p>
    <w:p w14:paraId="14910261" w14:textId="28096621" w:rsidR="00742853" w:rsidRDefault="00742853" w:rsidP="00742853">
      <w:pPr>
        <w:pStyle w:val="BodyText"/>
      </w:pPr>
      <w:r>
        <w:t>On 31 March 2021 the Acting Minister for Water announced the 2021-22 Supply Notice with a Required Annual Water Volume for 125GL (2020-21 Supply Notice: 125GL) and non-binding forecasts of 125GL for 2022-23 and 2023-24 (2020-21 non-binding forecast: 150GL for 2021-22 and 2022-23).</w:t>
      </w:r>
    </w:p>
    <w:p w14:paraId="11076E4F" w14:textId="741A6B51" w:rsidR="00742853" w:rsidRDefault="00DC0A06" w:rsidP="003B2899">
      <w:pPr>
        <w:pStyle w:val="Heading4"/>
      </w:pPr>
      <w:r>
        <w:lastRenderedPageBreak/>
        <w:t>Victorian Desalination Plant</w:t>
      </w:r>
      <w:r w:rsidR="00742853">
        <w:t xml:space="preserve"> service concession arrangement liability</w:t>
      </w:r>
    </w:p>
    <w:p w14:paraId="340CBC57" w14:textId="2BD440E4" w:rsidR="00742853" w:rsidRDefault="00742853" w:rsidP="003B2899">
      <w:pPr>
        <w:pStyle w:val="BodyText"/>
        <w:keepNext/>
        <w:keepLines/>
      </w:pPr>
      <w:r>
        <w:t xml:space="preserve">As per information provided by </w:t>
      </w:r>
      <w:r w:rsidR="0030196D">
        <w:t>Department of Environment, Land, Water and Planning</w:t>
      </w:r>
      <w:r>
        <w:t xml:space="preserve"> (in accordance with the </w:t>
      </w:r>
      <w:r w:rsidR="00DC0A06">
        <w:t>Water Interface Agreement</w:t>
      </w:r>
      <w:r>
        <w:t>), the Corporation has recognised the following service concession liability:</w:t>
      </w:r>
    </w:p>
    <w:tbl>
      <w:tblPr>
        <w:tblStyle w:val="Style1"/>
        <w:tblW w:w="5000" w:type="pct"/>
        <w:tblLook w:val="04A0" w:firstRow="1" w:lastRow="0" w:firstColumn="1" w:lastColumn="0" w:noHBand="0" w:noVBand="1"/>
      </w:tblPr>
      <w:tblGrid>
        <w:gridCol w:w="3402"/>
        <w:gridCol w:w="1560"/>
        <w:gridCol w:w="1560"/>
        <w:gridCol w:w="1558"/>
        <w:gridCol w:w="1551"/>
      </w:tblGrid>
      <w:tr w:rsidR="00074D1A" w:rsidRPr="00005E4B" w14:paraId="6B73DCBE"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tcBorders>
            <w:vAlign w:val="bottom"/>
          </w:tcPr>
          <w:p w14:paraId="12C0734D" w14:textId="77777777" w:rsidR="00742853" w:rsidRPr="00005E4B" w:rsidRDefault="00742853" w:rsidP="00005E4B">
            <w:bookmarkStart w:id="1098" w:name="ColumnTitle_83"/>
            <w:r w:rsidRPr="00005E4B">
              <w:t>Item</w:t>
            </w:r>
          </w:p>
        </w:tc>
        <w:tc>
          <w:tcPr>
            <w:tcW w:w="810" w:type="pct"/>
            <w:tcBorders>
              <w:top w:val="single" w:sz="4" w:space="0" w:color="auto"/>
            </w:tcBorders>
            <w:vAlign w:val="bottom"/>
          </w:tcPr>
          <w:p w14:paraId="19D08B0E" w14:textId="2B0E4543"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xml:space="preserve">Minimum future </w:t>
            </w:r>
            <w:r w:rsidR="00005E4B">
              <w:t xml:space="preserve"> </w:t>
            </w:r>
            <w:r w:rsidRPr="00005E4B">
              <w:t>payments</w:t>
            </w:r>
            <w:r w:rsidR="00005E4B">
              <w:t xml:space="preserve"> </w:t>
            </w:r>
            <w:r w:rsidR="00005E4B">
              <w:br/>
            </w:r>
            <w:r w:rsidRPr="00005E4B">
              <w:t xml:space="preserve">(exc GST) </w:t>
            </w:r>
          </w:p>
          <w:p w14:paraId="2FBEEC66" w14:textId="17F41E68" w:rsidR="00074D1A" w:rsidRPr="00005E4B" w:rsidRDefault="00074D1A" w:rsidP="00005E4B">
            <w:pPr>
              <w:cnfStyle w:val="100000000000" w:firstRow="1" w:lastRow="0" w:firstColumn="0" w:lastColumn="0" w:oddVBand="0" w:evenVBand="0" w:oddHBand="0" w:evenHBand="0" w:firstRowFirstColumn="0" w:firstRowLastColumn="0" w:lastRowFirstColumn="0" w:lastRowLastColumn="0"/>
            </w:pPr>
            <w:r w:rsidRPr="00005E4B">
              <w:t>2021</w:t>
            </w:r>
          </w:p>
          <w:p w14:paraId="6837C8AB" w14:textId="7073541A"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thousands)</w:t>
            </w:r>
          </w:p>
        </w:tc>
        <w:tc>
          <w:tcPr>
            <w:tcW w:w="810" w:type="pct"/>
            <w:tcBorders>
              <w:top w:val="single" w:sz="4" w:space="0" w:color="auto"/>
            </w:tcBorders>
            <w:vAlign w:val="bottom"/>
          </w:tcPr>
          <w:p w14:paraId="03324DEE" w14:textId="756DFE58" w:rsidR="00074D1A"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xml:space="preserve">Minimum future </w:t>
            </w:r>
            <w:r w:rsidR="00005E4B">
              <w:t xml:space="preserve"> p</w:t>
            </w:r>
            <w:r w:rsidRPr="00005E4B">
              <w:t>ayments</w:t>
            </w:r>
          </w:p>
          <w:p w14:paraId="7C1405F2" w14:textId="58FE64DA"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xml:space="preserve">(exc GST) </w:t>
            </w:r>
          </w:p>
          <w:p w14:paraId="326FDA4F" w14:textId="3C456B65" w:rsidR="00074D1A" w:rsidRPr="00005E4B" w:rsidRDefault="00074D1A" w:rsidP="00005E4B">
            <w:pPr>
              <w:cnfStyle w:val="100000000000" w:firstRow="1" w:lastRow="0" w:firstColumn="0" w:lastColumn="0" w:oddVBand="0" w:evenVBand="0" w:oddHBand="0" w:evenHBand="0" w:firstRowFirstColumn="0" w:firstRowLastColumn="0" w:lastRowFirstColumn="0" w:lastRowLastColumn="0"/>
            </w:pPr>
            <w:r w:rsidRPr="00005E4B">
              <w:t>2020</w:t>
            </w:r>
          </w:p>
          <w:p w14:paraId="2734FEDD" w14:textId="77777777"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thousands)</w:t>
            </w:r>
          </w:p>
        </w:tc>
        <w:tc>
          <w:tcPr>
            <w:tcW w:w="809" w:type="pct"/>
            <w:tcBorders>
              <w:top w:val="single" w:sz="4" w:space="0" w:color="auto"/>
            </w:tcBorders>
            <w:vAlign w:val="bottom"/>
          </w:tcPr>
          <w:p w14:paraId="75153866" w14:textId="39D845CD" w:rsidR="00074D1A"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Present value</w:t>
            </w:r>
            <w:r w:rsidR="00005E4B">
              <w:t xml:space="preserve"> </w:t>
            </w:r>
            <w:r w:rsidRPr="00005E4B">
              <w:t xml:space="preserve">of minimum </w:t>
            </w:r>
            <w:r w:rsidR="00005E4B">
              <w:t xml:space="preserve"> </w:t>
            </w:r>
            <w:r w:rsidRPr="00005E4B">
              <w:t xml:space="preserve">future </w:t>
            </w:r>
            <w:r w:rsidR="00005E4B">
              <w:t>p</w:t>
            </w:r>
            <w:r w:rsidRPr="00005E4B">
              <w:t xml:space="preserve">ayments </w:t>
            </w:r>
          </w:p>
          <w:p w14:paraId="7F7BD753" w14:textId="29553CFC"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xml:space="preserve">(exc GST) </w:t>
            </w:r>
          </w:p>
          <w:p w14:paraId="461148DE" w14:textId="3F250F61" w:rsidR="00074D1A" w:rsidRPr="00005E4B" w:rsidRDefault="00074D1A" w:rsidP="00005E4B">
            <w:pPr>
              <w:cnfStyle w:val="100000000000" w:firstRow="1" w:lastRow="0" w:firstColumn="0" w:lastColumn="0" w:oddVBand="0" w:evenVBand="0" w:oddHBand="0" w:evenHBand="0" w:firstRowFirstColumn="0" w:firstRowLastColumn="0" w:lastRowFirstColumn="0" w:lastRowLastColumn="0"/>
            </w:pPr>
            <w:r w:rsidRPr="00005E4B">
              <w:t>2021</w:t>
            </w:r>
          </w:p>
          <w:p w14:paraId="38C275C8" w14:textId="4D0074A7"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thousands)</w:t>
            </w:r>
          </w:p>
        </w:tc>
        <w:tc>
          <w:tcPr>
            <w:tcW w:w="805" w:type="pct"/>
            <w:tcBorders>
              <w:top w:val="single" w:sz="4" w:space="0" w:color="auto"/>
            </w:tcBorders>
            <w:vAlign w:val="bottom"/>
          </w:tcPr>
          <w:p w14:paraId="1D70F2F6" w14:textId="171D7EAF" w:rsidR="00074D1A"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Present value</w:t>
            </w:r>
            <w:r w:rsidR="00005E4B">
              <w:t xml:space="preserve"> </w:t>
            </w:r>
            <w:r w:rsidRPr="00005E4B">
              <w:t xml:space="preserve">of minimum </w:t>
            </w:r>
            <w:r w:rsidR="00005E4B">
              <w:t xml:space="preserve"> </w:t>
            </w:r>
            <w:r w:rsidRPr="00005E4B">
              <w:t xml:space="preserve">future </w:t>
            </w:r>
            <w:r w:rsidR="00005E4B">
              <w:t>p</w:t>
            </w:r>
            <w:r w:rsidRPr="00005E4B">
              <w:t xml:space="preserve">ayments </w:t>
            </w:r>
          </w:p>
          <w:p w14:paraId="37223821" w14:textId="11258870"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xml:space="preserve">(exc GST) </w:t>
            </w:r>
          </w:p>
          <w:p w14:paraId="67EFDEB1" w14:textId="265D110D" w:rsidR="00074D1A" w:rsidRPr="00005E4B" w:rsidRDefault="00074D1A" w:rsidP="00005E4B">
            <w:pPr>
              <w:cnfStyle w:val="100000000000" w:firstRow="1" w:lastRow="0" w:firstColumn="0" w:lastColumn="0" w:oddVBand="0" w:evenVBand="0" w:oddHBand="0" w:evenHBand="0" w:firstRowFirstColumn="0" w:firstRowLastColumn="0" w:lastRowFirstColumn="0" w:lastRowLastColumn="0"/>
            </w:pPr>
            <w:r w:rsidRPr="00005E4B">
              <w:t>2020</w:t>
            </w:r>
          </w:p>
          <w:p w14:paraId="36D02DA5" w14:textId="77777777" w:rsidR="00742853" w:rsidRPr="00005E4B" w:rsidRDefault="00742853" w:rsidP="00005E4B">
            <w:pPr>
              <w:cnfStyle w:val="100000000000" w:firstRow="1" w:lastRow="0" w:firstColumn="0" w:lastColumn="0" w:oddVBand="0" w:evenVBand="0" w:oddHBand="0" w:evenHBand="0" w:firstRowFirstColumn="0" w:firstRowLastColumn="0" w:lastRowFirstColumn="0" w:lastRowLastColumn="0"/>
            </w:pPr>
            <w:r w:rsidRPr="00005E4B">
              <w:t>($ thousands)</w:t>
            </w:r>
          </w:p>
        </w:tc>
      </w:tr>
      <w:bookmarkEnd w:id="1098"/>
      <w:tr w:rsidR="00074D1A" w:rsidRPr="00300324" w14:paraId="7D9B5577" w14:textId="77777777" w:rsidTr="00DF0E64">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tcBorders>
            <w:vAlign w:val="top"/>
          </w:tcPr>
          <w:p w14:paraId="2C051C2F" w14:textId="2AA089FB" w:rsidR="00742853" w:rsidRPr="00EE43B2" w:rsidRDefault="00DC0A06" w:rsidP="00005E4B">
            <w:pPr>
              <w:pStyle w:val="TableBodyText"/>
              <w:rPr>
                <w:rStyle w:val="Bold"/>
              </w:rPr>
            </w:pPr>
            <w:r>
              <w:rPr>
                <w:rStyle w:val="Bold"/>
              </w:rPr>
              <w:t>Victorian Desalination Plant</w:t>
            </w:r>
            <w:r w:rsidR="00074D1A">
              <w:rPr>
                <w:rStyle w:val="Bold"/>
              </w:rPr>
              <w:t xml:space="preserve"> service concession arrangement liability</w:t>
            </w:r>
          </w:p>
        </w:tc>
        <w:tc>
          <w:tcPr>
            <w:tcW w:w="810" w:type="pct"/>
            <w:tcBorders>
              <w:top w:val="single" w:sz="4" w:space="0" w:color="auto"/>
            </w:tcBorders>
            <w:vAlign w:val="top"/>
          </w:tcPr>
          <w:p w14:paraId="1B7035A8" w14:textId="144C744C" w:rsidR="00742853" w:rsidRPr="00DF0E64"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rsidRPr="00DF0E64">
              <w:t>NA</w:t>
            </w:r>
          </w:p>
        </w:tc>
        <w:tc>
          <w:tcPr>
            <w:tcW w:w="810" w:type="pct"/>
            <w:tcBorders>
              <w:top w:val="single" w:sz="4" w:space="0" w:color="auto"/>
            </w:tcBorders>
            <w:vAlign w:val="top"/>
          </w:tcPr>
          <w:p w14:paraId="5B1706B9" w14:textId="34427D27" w:rsidR="00742853" w:rsidRPr="00DF0E64"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rsidRPr="00DF0E64">
              <w:t>N/A</w:t>
            </w:r>
          </w:p>
        </w:tc>
        <w:tc>
          <w:tcPr>
            <w:tcW w:w="809" w:type="pct"/>
            <w:tcBorders>
              <w:top w:val="single" w:sz="4" w:space="0" w:color="auto"/>
            </w:tcBorders>
            <w:vAlign w:val="top"/>
          </w:tcPr>
          <w:p w14:paraId="6E2A3AE4" w14:textId="2C3B1950" w:rsidR="00742853" w:rsidRPr="00DF0E64"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rsidRPr="00DF0E64">
              <w:t>N/A</w:t>
            </w:r>
          </w:p>
        </w:tc>
        <w:tc>
          <w:tcPr>
            <w:tcW w:w="805" w:type="pct"/>
            <w:tcBorders>
              <w:top w:val="single" w:sz="4" w:space="0" w:color="auto"/>
            </w:tcBorders>
            <w:vAlign w:val="top"/>
          </w:tcPr>
          <w:p w14:paraId="1D69C445" w14:textId="06012BFB" w:rsidR="00742853" w:rsidRPr="00DF0E64"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rsidRPr="00DF0E64">
              <w:t>N/A</w:t>
            </w:r>
          </w:p>
        </w:tc>
      </w:tr>
      <w:tr w:rsidR="00074D1A" w:rsidRPr="00300324" w14:paraId="2D5DBA18" w14:textId="77777777" w:rsidTr="00DF0E64">
        <w:tc>
          <w:tcPr>
            <w:cnfStyle w:val="001000000000" w:firstRow="0" w:lastRow="0" w:firstColumn="1" w:lastColumn="0" w:oddVBand="0" w:evenVBand="0" w:oddHBand="0" w:evenHBand="0" w:firstRowFirstColumn="0" w:firstRowLastColumn="0" w:lastRowFirstColumn="0" w:lastRowLastColumn="0"/>
            <w:tcW w:w="1766" w:type="pct"/>
            <w:vAlign w:val="top"/>
          </w:tcPr>
          <w:p w14:paraId="4B2AC498" w14:textId="358CF55B" w:rsidR="00742853" w:rsidRDefault="00DF0E64" w:rsidP="00005E4B">
            <w:pPr>
              <w:pStyle w:val="TableBodyText"/>
            </w:pPr>
            <w:r>
              <w:t>Less than 1 year</w:t>
            </w:r>
          </w:p>
        </w:tc>
        <w:tc>
          <w:tcPr>
            <w:tcW w:w="810" w:type="pct"/>
            <w:vAlign w:val="top"/>
          </w:tcPr>
          <w:p w14:paraId="5A0EFC14" w14:textId="724DAA38"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422,025</w:t>
            </w:r>
          </w:p>
        </w:tc>
        <w:tc>
          <w:tcPr>
            <w:tcW w:w="810" w:type="pct"/>
            <w:vAlign w:val="top"/>
          </w:tcPr>
          <w:p w14:paraId="42C4D98E" w14:textId="71B1BBCF"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441,738</w:t>
            </w:r>
          </w:p>
        </w:tc>
        <w:tc>
          <w:tcPr>
            <w:tcW w:w="809" w:type="pct"/>
            <w:vAlign w:val="top"/>
          </w:tcPr>
          <w:p w14:paraId="0FE8F328" w14:textId="60FA3684"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20,693</w:t>
            </w:r>
          </w:p>
        </w:tc>
        <w:tc>
          <w:tcPr>
            <w:tcW w:w="805" w:type="pct"/>
            <w:vAlign w:val="top"/>
          </w:tcPr>
          <w:p w14:paraId="14DAEA5D" w14:textId="3BE7CBFD"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38,064</w:t>
            </w:r>
          </w:p>
        </w:tc>
      </w:tr>
      <w:tr w:rsidR="00074D1A" w:rsidRPr="00300324" w14:paraId="1BD2EFED" w14:textId="77777777" w:rsidTr="00DF0E64">
        <w:tc>
          <w:tcPr>
            <w:cnfStyle w:val="001000000000" w:firstRow="0" w:lastRow="0" w:firstColumn="1" w:lastColumn="0" w:oddVBand="0" w:evenVBand="0" w:oddHBand="0" w:evenHBand="0" w:firstRowFirstColumn="0" w:firstRowLastColumn="0" w:lastRowFirstColumn="0" w:lastRowLastColumn="0"/>
            <w:tcW w:w="1766" w:type="pct"/>
            <w:vAlign w:val="top"/>
          </w:tcPr>
          <w:p w14:paraId="7FB8E90E" w14:textId="2701502B" w:rsidR="00742853" w:rsidRDefault="00DF0E64" w:rsidP="00005E4B">
            <w:pPr>
              <w:pStyle w:val="TableBodyText"/>
            </w:pPr>
            <w:r>
              <w:t>1 year but less than 5 years</w:t>
            </w:r>
          </w:p>
        </w:tc>
        <w:tc>
          <w:tcPr>
            <w:tcW w:w="810" w:type="pct"/>
            <w:vAlign w:val="top"/>
          </w:tcPr>
          <w:p w14:paraId="4325209D" w14:textId="540B5C17"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1,774,367</w:t>
            </w:r>
          </w:p>
        </w:tc>
        <w:tc>
          <w:tcPr>
            <w:tcW w:w="810" w:type="pct"/>
            <w:vAlign w:val="top"/>
          </w:tcPr>
          <w:p w14:paraId="73D1C315" w14:textId="15F6C59E"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1,743,898</w:t>
            </w:r>
          </w:p>
        </w:tc>
        <w:tc>
          <w:tcPr>
            <w:tcW w:w="809" w:type="pct"/>
            <w:vAlign w:val="top"/>
          </w:tcPr>
          <w:p w14:paraId="135D53ED" w14:textId="1A7A1666"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210,069</w:t>
            </w:r>
          </w:p>
        </w:tc>
        <w:tc>
          <w:tcPr>
            <w:tcW w:w="805" w:type="pct"/>
            <w:vAlign w:val="top"/>
          </w:tcPr>
          <w:p w14:paraId="5135E65A" w14:textId="5507ED3E"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160,098</w:t>
            </w:r>
          </w:p>
        </w:tc>
      </w:tr>
      <w:tr w:rsidR="00074D1A" w:rsidRPr="00300324" w14:paraId="4E93E1A2" w14:textId="77777777" w:rsidTr="00DF0E64">
        <w:tc>
          <w:tcPr>
            <w:cnfStyle w:val="001000000000" w:firstRow="0" w:lastRow="0" w:firstColumn="1" w:lastColumn="0" w:oddVBand="0" w:evenVBand="0" w:oddHBand="0" w:evenHBand="0" w:firstRowFirstColumn="0" w:firstRowLastColumn="0" w:lastRowFirstColumn="0" w:lastRowLastColumn="0"/>
            <w:tcW w:w="1766" w:type="pct"/>
            <w:vAlign w:val="top"/>
          </w:tcPr>
          <w:p w14:paraId="064B19CA" w14:textId="0A400E6A" w:rsidR="00742853" w:rsidRDefault="00DF0E64" w:rsidP="00005E4B">
            <w:pPr>
              <w:pStyle w:val="TableBodyText"/>
            </w:pPr>
            <w:r>
              <w:t>Later than 5 years</w:t>
            </w:r>
          </w:p>
        </w:tc>
        <w:tc>
          <w:tcPr>
            <w:tcW w:w="810" w:type="pct"/>
            <w:vAlign w:val="top"/>
          </w:tcPr>
          <w:p w14:paraId="0A801A2C" w14:textId="0920CCBD"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6,479,252</w:t>
            </w:r>
          </w:p>
        </w:tc>
        <w:tc>
          <w:tcPr>
            <w:tcW w:w="810" w:type="pct"/>
            <w:vAlign w:val="top"/>
          </w:tcPr>
          <w:p w14:paraId="0A2900D3" w14:textId="53FB94BA"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6,931,746</w:t>
            </w:r>
          </w:p>
        </w:tc>
        <w:tc>
          <w:tcPr>
            <w:tcW w:w="809" w:type="pct"/>
            <w:vAlign w:val="top"/>
          </w:tcPr>
          <w:p w14:paraId="47E0D98F" w14:textId="415F06CB"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3,334,159</w:t>
            </w:r>
          </w:p>
        </w:tc>
        <w:tc>
          <w:tcPr>
            <w:tcW w:w="805" w:type="pct"/>
            <w:vAlign w:val="top"/>
          </w:tcPr>
          <w:p w14:paraId="62115918" w14:textId="523B50C6"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3,404,822</w:t>
            </w:r>
          </w:p>
        </w:tc>
      </w:tr>
      <w:tr w:rsidR="00074D1A" w:rsidRPr="00807157" w14:paraId="604987DA" w14:textId="77777777" w:rsidTr="00DF0E64">
        <w:tc>
          <w:tcPr>
            <w:cnfStyle w:val="001000000000" w:firstRow="0" w:lastRow="0" w:firstColumn="1" w:lastColumn="0" w:oddVBand="0" w:evenVBand="0" w:oddHBand="0" w:evenHBand="0" w:firstRowFirstColumn="0" w:firstRowLastColumn="0" w:lastRowFirstColumn="0" w:lastRowLastColumn="0"/>
            <w:tcW w:w="1766" w:type="pct"/>
            <w:vAlign w:val="top"/>
          </w:tcPr>
          <w:p w14:paraId="1A43DD9E" w14:textId="36102B25" w:rsidR="00742853" w:rsidRPr="00807157" w:rsidRDefault="00DF0E64" w:rsidP="00005E4B">
            <w:pPr>
              <w:pStyle w:val="TableBodyText"/>
              <w:rPr>
                <w:rStyle w:val="Bold"/>
              </w:rPr>
            </w:pPr>
            <w:r w:rsidRPr="00807157">
              <w:rPr>
                <w:rStyle w:val="Bold"/>
              </w:rPr>
              <w:t>Minimum future liability payments</w:t>
            </w:r>
          </w:p>
        </w:tc>
        <w:tc>
          <w:tcPr>
            <w:tcW w:w="810" w:type="pct"/>
            <w:vAlign w:val="top"/>
          </w:tcPr>
          <w:p w14:paraId="71845E0E" w14:textId="436D6417"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8,675,644</w:t>
            </w:r>
          </w:p>
        </w:tc>
        <w:tc>
          <w:tcPr>
            <w:tcW w:w="810" w:type="pct"/>
            <w:vAlign w:val="top"/>
          </w:tcPr>
          <w:p w14:paraId="3899C11A" w14:textId="580BB22B"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9,117,382</w:t>
            </w:r>
          </w:p>
        </w:tc>
        <w:tc>
          <w:tcPr>
            <w:tcW w:w="809" w:type="pct"/>
            <w:vAlign w:val="top"/>
          </w:tcPr>
          <w:p w14:paraId="286EAD5B" w14:textId="6521FEFB"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3,564,921</w:t>
            </w:r>
          </w:p>
        </w:tc>
        <w:tc>
          <w:tcPr>
            <w:tcW w:w="805" w:type="pct"/>
            <w:vAlign w:val="top"/>
          </w:tcPr>
          <w:p w14:paraId="7D91DFF4" w14:textId="7644D1FE"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3,602,984</w:t>
            </w:r>
          </w:p>
        </w:tc>
      </w:tr>
      <w:tr w:rsidR="00074D1A" w:rsidRPr="00300324" w14:paraId="5CAD5EF2" w14:textId="77777777" w:rsidTr="00807157">
        <w:tc>
          <w:tcPr>
            <w:cnfStyle w:val="001000000000" w:firstRow="0" w:lastRow="0" w:firstColumn="1" w:lastColumn="0" w:oddVBand="0" w:evenVBand="0" w:oddHBand="0" w:evenHBand="0" w:firstRowFirstColumn="0" w:firstRowLastColumn="0" w:lastRowFirstColumn="0" w:lastRowLastColumn="0"/>
            <w:tcW w:w="1766" w:type="pct"/>
            <w:tcBorders>
              <w:bottom w:val="single" w:sz="4" w:space="0" w:color="auto"/>
            </w:tcBorders>
            <w:vAlign w:val="top"/>
          </w:tcPr>
          <w:p w14:paraId="7FEDABE7" w14:textId="39537D63" w:rsidR="00742853" w:rsidRDefault="00DF0E64" w:rsidP="00005E4B">
            <w:pPr>
              <w:pStyle w:val="TableBodyText"/>
            </w:pPr>
            <w:r>
              <w:t>Less: Future finance charges</w:t>
            </w:r>
          </w:p>
        </w:tc>
        <w:tc>
          <w:tcPr>
            <w:tcW w:w="810" w:type="pct"/>
            <w:tcBorders>
              <w:bottom w:val="single" w:sz="4" w:space="0" w:color="auto"/>
            </w:tcBorders>
            <w:vAlign w:val="top"/>
          </w:tcPr>
          <w:p w14:paraId="50ACFE4E" w14:textId="1FF8319C"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(5,110,723)</w:t>
            </w:r>
          </w:p>
        </w:tc>
        <w:tc>
          <w:tcPr>
            <w:tcW w:w="810" w:type="pct"/>
            <w:tcBorders>
              <w:bottom w:val="single" w:sz="4" w:space="0" w:color="auto"/>
            </w:tcBorders>
            <w:vAlign w:val="top"/>
          </w:tcPr>
          <w:p w14:paraId="5BE8CAD5" w14:textId="23ACBC37"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(5,514,398)</w:t>
            </w:r>
          </w:p>
        </w:tc>
        <w:tc>
          <w:tcPr>
            <w:tcW w:w="809" w:type="pct"/>
            <w:tcBorders>
              <w:bottom w:val="single" w:sz="4" w:space="0" w:color="auto"/>
            </w:tcBorders>
            <w:vAlign w:val="top"/>
          </w:tcPr>
          <w:p w14:paraId="3D1E975C" w14:textId="788DE7C0"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bottom w:val="single" w:sz="4" w:space="0" w:color="auto"/>
            </w:tcBorders>
            <w:vAlign w:val="top"/>
          </w:tcPr>
          <w:p w14:paraId="0CBA286C" w14:textId="000A23E7"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74D1A" w:rsidRPr="00807157" w14:paraId="40F3A95B" w14:textId="77777777" w:rsidTr="00807157">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bottom w:val="single" w:sz="4" w:space="0" w:color="auto"/>
            </w:tcBorders>
            <w:vAlign w:val="top"/>
          </w:tcPr>
          <w:p w14:paraId="02204E19" w14:textId="53DE66CA" w:rsidR="00742853" w:rsidRPr="00807157" w:rsidRDefault="00DF0E64" w:rsidP="00005E4B">
            <w:pPr>
              <w:pStyle w:val="TableBodyText"/>
              <w:rPr>
                <w:rStyle w:val="Bold"/>
              </w:rPr>
            </w:pPr>
            <w:r w:rsidRPr="00807157">
              <w:rPr>
                <w:rStyle w:val="Bold"/>
              </w:rPr>
              <w:t>Total liability</w:t>
            </w:r>
          </w:p>
        </w:tc>
        <w:tc>
          <w:tcPr>
            <w:tcW w:w="810" w:type="pct"/>
            <w:tcBorders>
              <w:top w:val="single" w:sz="4" w:space="0" w:color="auto"/>
              <w:bottom w:val="single" w:sz="4" w:space="0" w:color="auto"/>
            </w:tcBorders>
            <w:vAlign w:val="top"/>
          </w:tcPr>
          <w:p w14:paraId="4577A512" w14:textId="0A6A1358"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3,564,921</w:t>
            </w:r>
          </w:p>
        </w:tc>
        <w:tc>
          <w:tcPr>
            <w:tcW w:w="810" w:type="pct"/>
            <w:tcBorders>
              <w:top w:val="single" w:sz="4" w:space="0" w:color="auto"/>
              <w:bottom w:val="single" w:sz="4" w:space="0" w:color="auto"/>
            </w:tcBorders>
            <w:vAlign w:val="top"/>
          </w:tcPr>
          <w:p w14:paraId="2C60C2F1" w14:textId="27457AF1"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3,602,984</w:t>
            </w:r>
          </w:p>
        </w:tc>
        <w:tc>
          <w:tcPr>
            <w:tcW w:w="809" w:type="pct"/>
            <w:tcBorders>
              <w:top w:val="single" w:sz="4" w:space="0" w:color="auto"/>
              <w:bottom w:val="single" w:sz="4" w:space="0" w:color="auto"/>
            </w:tcBorders>
            <w:vAlign w:val="top"/>
          </w:tcPr>
          <w:p w14:paraId="29B69E57" w14:textId="2D409DA8"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3,564,921</w:t>
            </w:r>
          </w:p>
        </w:tc>
        <w:tc>
          <w:tcPr>
            <w:tcW w:w="805" w:type="pct"/>
            <w:tcBorders>
              <w:top w:val="single" w:sz="4" w:space="0" w:color="auto"/>
              <w:bottom w:val="single" w:sz="4" w:space="0" w:color="auto"/>
            </w:tcBorders>
            <w:vAlign w:val="top"/>
          </w:tcPr>
          <w:p w14:paraId="17235153" w14:textId="64518420" w:rsidR="00742853" w:rsidRPr="00807157" w:rsidRDefault="00DF0E64"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3,602,984</w:t>
            </w:r>
          </w:p>
        </w:tc>
      </w:tr>
      <w:tr w:rsidR="00074D1A" w:rsidRPr="00300324" w14:paraId="2E53C8E9" w14:textId="77777777" w:rsidTr="00807157">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tcBorders>
            <w:vAlign w:val="top"/>
          </w:tcPr>
          <w:p w14:paraId="5EB4D77B" w14:textId="5A5D3D86" w:rsidR="00742853" w:rsidRDefault="00DF0E64" w:rsidP="00005E4B">
            <w:pPr>
              <w:pStyle w:val="TableBodyText"/>
            </w:pPr>
            <w:r>
              <w:t>Representing liability:</w:t>
            </w:r>
          </w:p>
        </w:tc>
        <w:tc>
          <w:tcPr>
            <w:tcW w:w="810" w:type="pct"/>
            <w:tcBorders>
              <w:top w:val="single" w:sz="4" w:space="0" w:color="auto"/>
            </w:tcBorders>
            <w:vAlign w:val="top"/>
          </w:tcPr>
          <w:p w14:paraId="298BCDF1" w14:textId="5920F53B"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top w:val="single" w:sz="4" w:space="0" w:color="auto"/>
            </w:tcBorders>
            <w:vAlign w:val="top"/>
          </w:tcPr>
          <w:p w14:paraId="5ABB7834" w14:textId="5D47E0E6" w:rsidR="00742853" w:rsidRDefault="00742853"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Borders>
              <w:top w:val="single" w:sz="4" w:space="0" w:color="auto"/>
            </w:tcBorders>
            <w:vAlign w:val="top"/>
          </w:tcPr>
          <w:p w14:paraId="38DA54AC" w14:textId="18ED4668"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top w:val="single" w:sz="4" w:space="0" w:color="auto"/>
            </w:tcBorders>
            <w:vAlign w:val="top"/>
          </w:tcPr>
          <w:p w14:paraId="64FF39A8" w14:textId="098A6F5C"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74D1A" w:rsidRPr="00300324" w14:paraId="77F9CAF6" w14:textId="77777777" w:rsidTr="00DF0E64">
        <w:tc>
          <w:tcPr>
            <w:cnfStyle w:val="001000000000" w:firstRow="0" w:lastRow="0" w:firstColumn="1" w:lastColumn="0" w:oddVBand="0" w:evenVBand="0" w:oddHBand="0" w:evenHBand="0" w:firstRowFirstColumn="0" w:firstRowLastColumn="0" w:lastRowFirstColumn="0" w:lastRowLastColumn="0"/>
            <w:tcW w:w="1766" w:type="pct"/>
            <w:vAlign w:val="top"/>
          </w:tcPr>
          <w:p w14:paraId="5F4F552E" w14:textId="2EF18E8F" w:rsidR="00742853" w:rsidRDefault="00DF0E64" w:rsidP="00005E4B">
            <w:pPr>
              <w:pStyle w:val="TableBodyText"/>
            </w:pPr>
            <w:r>
              <w:t xml:space="preserve">Current (refer to </w:t>
            </w:r>
            <w:r w:rsidR="00F42066">
              <w:fldChar w:fldCharType="begin"/>
            </w:r>
            <w:r w:rsidR="00F42066">
              <w:instrText xml:space="preserve"> REF Note51 \h </w:instrText>
            </w:r>
            <w:r w:rsidR="00F42066">
              <w:fldChar w:fldCharType="separate"/>
            </w:r>
            <w:r w:rsidR="00472151" w:rsidRPr="00300324">
              <w:t xml:space="preserve">5.1 </w:t>
            </w:r>
            <w:r w:rsidR="00F42066">
              <w:fldChar w:fldCharType="end"/>
            </w:r>
            <w:r>
              <w:t xml:space="preserve">) </w:t>
            </w:r>
            <w:hyperlink w:anchor="NoteaTable54" w:history="1">
              <w:r w:rsidRPr="00DF0E64">
                <w:rPr>
                  <w:rStyle w:val="Hyperlink"/>
                </w:rPr>
                <w:t>refer note</w:t>
              </w:r>
            </w:hyperlink>
          </w:p>
        </w:tc>
        <w:tc>
          <w:tcPr>
            <w:tcW w:w="810" w:type="pct"/>
            <w:vAlign w:val="top"/>
          </w:tcPr>
          <w:p w14:paraId="74460C7B" w14:textId="25653537"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vAlign w:val="top"/>
          </w:tcPr>
          <w:p w14:paraId="0183AAF1" w14:textId="392B196F"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5739AA5D" w14:textId="617D13B4"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20,693</w:t>
            </w:r>
          </w:p>
        </w:tc>
        <w:tc>
          <w:tcPr>
            <w:tcW w:w="805" w:type="pct"/>
            <w:vAlign w:val="top"/>
          </w:tcPr>
          <w:p w14:paraId="3341A23D" w14:textId="3E6DBAF0"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38,064</w:t>
            </w:r>
          </w:p>
        </w:tc>
      </w:tr>
      <w:tr w:rsidR="00074D1A" w:rsidRPr="00300324" w14:paraId="09489091" w14:textId="77777777" w:rsidTr="00005E4B">
        <w:tc>
          <w:tcPr>
            <w:cnfStyle w:val="001000000000" w:firstRow="0" w:lastRow="0" w:firstColumn="1" w:lastColumn="0" w:oddVBand="0" w:evenVBand="0" w:oddHBand="0" w:evenHBand="0" w:firstRowFirstColumn="0" w:firstRowLastColumn="0" w:lastRowFirstColumn="0" w:lastRowLastColumn="0"/>
            <w:tcW w:w="1766" w:type="pct"/>
            <w:tcBorders>
              <w:bottom w:val="single" w:sz="4" w:space="0" w:color="auto"/>
            </w:tcBorders>
            <w:vAlign w:val="top"/>
          </w:tcPr>
          <w:p w14:paraId="44EC2BAD" w14:textId="6BC83E84" w:rsidR="00DF0E64" w:rsidRDefault="00DF0E64" w:rsidP="00005E4B">
            <w:pPr>
              <w:pStyle w:val="TableBodyText"/>
            </w:pPr>
            <w:r>
              <w:t xml:space="preserve">Non-current (refer to </w:t>
            </w:r>
            <w:r w:rsidR="00F42066">
              <w:fldChar w:fldCharType="begin"/>
            </w:r>
            <w:r w:rsidR="00F42066">
              <w:instrText xml:space="preserve"> REF Note51 \h </w:instrText>
            </w:r>
            <w:r w:rsidR="00F42066">
              <w:fldChar w:fldCharType="separate"/>
            </w:r>
            <w:r w:rsidR="00472151" w:rsidRPr="00300324">
              <w:t xml:space="preserve">5.1 </w:t>
            </w:r>
            <w:r w:rsidR="00F42066">
              <w:fldChar w:fldCharType="end"/>
            </w:r>
            <w:r>
              <w:t xml:space="preserve">) </w:t>
            </w:r>
            <w:hyperlink w:anchor="NoteaTable54" w:history="1">
              <w:r w:rsidRPr="00DF0E64">
                <w:rPr>
                  <w:rStyle w:val="Hyperlink"/>
                </w:rPr>
                <w:t>refer note</w:t>
              </w:r>
            </w:hyperlink>
          </w:p>
        </w:tc>
        <w:tc>
          <w:tcPr>
            <w:tcW w:w="810" w:type="pct"/>
            <w:tcBorders>
              <w:bottom w:val="single" w:sz="4" w:space="0" w:color="auto"/>
            </w:tcBorders>
            <w:vAlign w:val="top"/>
          </w:tcPr>
          <w:p w14:paraId="15047D9F" w14:textId="71BFCE4F"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tcBorders>
              <w:bottom w:val="single" w:sz="4" w:space="0" w:color="auto"/>
            </w:tcBorders>
            <w:vAlign w:val="top"/>
          </w:tcPr>
          <w:p w14:paraId="33546816" w14:textId="013CD002" w:rsidR="00742853" w:rsidRDefault="00742853" w:rsidP="00005E4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Borders>
              <w:bottom w:val="single" w:sz="4" w:space="0" w:color="auto"/>
            </w:tcBorders>
            <w:vAlign w:val="top"/>
          </w:tcPr>
          <w:p w14:paraId="3B485F0E" w14:textId="3517909C"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3,544,228</w:t>
            </w:r>
          </w:p>
        </w:tc>
        <w:tc>
          <w:tcPr>
            <w:tcW w:w="805" w:type="pct"/>
            <w:tcBorders>
              <w:bottom w:val="single" w:sz="4" w:space="0" w:color="auto"/>
            </w:tcBorders>
            <w:vAlign w:val="top"/>
          </w:tcPr>
          <w:p w14:paraId="4829DE79" w14:textId="0BDFA0F7" w:rsidR="00742853" w:rsidRDefault="00DF0E64" w:rsidP="00005E4B">
            <w:pPr>
              <w:pStyle w:val="TableBodyText"/>
              <w:cnfStyle w:val="000000000000" w:firstRow="0" w:lastRow="0" w:firstColumn="0" w:lastColumn="0" w:oddVBand="0" w:evenVBand="0" w:oddHBand="0" w:evenHBand="0" w:firstRowFirstColumn="0" w:firstRowLastColumn="0" w:lastRowFirstColumn="0" w:lastRowLastColumn="0"/>
            </w:pPr>
            <w:r>
              <w:t>3,564,920</w:t>
            </w:r>
          </w:p>
        </w:tc>
      </w:tr>
      <w:tr w:rsidR="00807157" w:rsidRPr="00807157" w14:paraId="71559244" w14:textId="77777777" w:rsidTr="00005E4B">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bottom w:val="single" w:sz="4" w:space="0" w:color="auto"/>
            </w:tcBorders>
            <w:vAlign w:val="top"/>
          </w:tcPr>
          <w:p w14:paraId="5E44BDB5" w14:textId="684CEBC2" w:rsidR="00807157" w:rsidRPr="00005E4B" w:rsidRDefault="00807157" w:rsidP="00005E4B">
            <w:pPr>
              <w:pStyle w:val="TableBodyText"/>
              <w:rPr>
                <w:rStyle w:val="Bold"/>
              </w:rPr>
            </w:pPr>
            <w:r w:rsidRPr="00005E4B">
              <w:rPr>
                <w:rStyle w:val="Bold"/>
              </w:rPr>
              <w:t>Total liability</w:t>
            </w:r>
          </w:p>
        </w:tc>
        <w:tc>
          <w:tcPr>
            <w:tcW w:w="810" w:type="pct"/>
            <w:tcBorders>
              <w:top w:val="single" w:sz="4" w:space="0" w:color="auto"/>
              <w:bottom w:val="single" w:sz="4" w:space="0" w:color="auto"/>
            </w:tcBorders>
            <w:vAlign w:val="top"/>
          </w:tcPr>
          <w:p w14:paraId="0E2EA2E5" w14:textId="7BC1369A" w:rsidR="00807157" w:rsidRPr="00807157" w:rsidRDefault="00807157" w:rsidP="00005E4B">
            <w:pPr>
              <w:pStyle w:val="TableBodyText"/>
              <w:cnfStyle w:val="000000000000" w:firstRow="0" w:lastRow="0" w:firstColumn="0" w:lastColumn="0" w:oddVBand="0" w:evenVBand="0" w:oddHBand="0" w:evenHBand="0" w:firstRowFirstColumn="0" w:firstRowLastColumn="0" w:lastRowFirstColumn="0" w:lastRowLastColumn="0"/>
            </w:pPr>
            <w:r w:rsidRPr="00807157">
              <w:t>N/A</w:t>
            </w:r>
          </w:p>
        </w:tc>
        <w:tc>
          <w:tcPr>
            <w:tcW w:w="810" w:type="pct"/>
            <w:tcBorders>
              <w:top w:val="single" w:sz="4" w:space="0" w:color="auto"/>
              <w:bottom w:val="single" w:sz="4" w:space="0" w:color="auto"/>
            </w:tcBorders>
            <w:vAlign w:val="top"/>
          </w:tcPr>
          <w:p w14:paraId="2E2BF260" w14:textId="521C7048" w:rsidR="00807157" w:rsidRPr="00807157" w:rsidRDefault="00807157" w:rsidP="00005E4B">
            <w:pPr>
              <w:pStyle w:val="TableBodyText"/>
              <w:cnfStyle w:val="000000000000" w:firstRow="0" w:lastRow="0" w:firstColumn="0" w:lastColumn="0" w:oddVBand="0" w:evenVBand="0" w:oddHBand="0" w:evenHBand="0" w:firstRowFirstColumn="0" w:firstRowLastColumn="0" w:lastRowFirstColumn="0" w:lastRowLastColumn="0"/>
            </w:pPr>
            <w:r w:rsidRPr="00807157">
              <w:t>N/A</w:t>
            </w:r>
          </w:p>
        </w:tc>
        <w:tc>
          <w:tcPr>
            <w:tcW w:w="809" w:type="pct"/>
            <w:tcBorders>
              <w:top w:val="single" w:sz="4" w:space="0" w:color="auto"/>
              <w:bottom w:val="single" w:sz="4" w:space="0" w:color="auto"/>
            </w:tcBorders>
            <w:vAlign w:val="top"/>
          </w:tcPr>
          <w:p w14:paraId="66FE15C7" w14:textId="6BBB2467" w:rsidR="00807157" w:rsidRPr="00005E4B" w:rsidRDefault="00807157"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005E4B">
              <w:rPr>
                <w:rStyle w:val="Bold"/>
              </w:rPr>
              <w:t>3,564,921</w:t>
            </w:r>
          </w:p>
        </w:tc>
        <w:tc>
          <w:tcPr>
            <w:tcW w:w="805" w:type="pct"/>
            <w:tcBorders>
              <w:top w:val="single" w:sz="4" w:space="0" w:color="auto"/>
              <w:bottom w:val="single" w:sz="4" w:space="0" w:color="auto"/>
            </w:tcBorders>
            <w:vAlign w:val="top"/>
          </w:tcPr>
          <w:p w14:paraId="3C966961" w14:textId="52BCB633" w:rsidR="00807157" w:rsidRPr="00005E4B" w:rsidRDefault="00807157" w:rsidP="00005E4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005E4B">
              <w:rPr>
                <w:rStyle w:val="Bold"/>
              </w:rPr>
              <w:t>3,062,984</w:t>
            </w:r>
          </w:p>
        </w:tc>
      </w:tr>
    </w:tbl>
    <w:p w14:paraId="488D8019" w14:textId="77777777" w:rsidR="00DF0E64" w:rsidRDefault="00DF0E64" w:rsidP="00DF0E64">
      <w:pPr>
        <w:pStyle w:val="BodyText"/>
      </w:pPr>
      <w:r>
        <w:t>Note:</w:t>
      </w:r>
    </w:p>
    <w:p w14:paraId="55106B07" w14:textId="3DD9FF1E" w:rsidR="00DF0E64" w:rsidRDefault="00DF0E64" w:rsidP="00DF0E64">
      <w:pPr>
        <w:pStyle w:val="BodyText"/>
      </w:pPr>
      <w:bookmarkStart w:id="1099" w:name="NoteaTable54"/>
      <w:r>
        <w:t xml:space="preserve">(a) </w:t>
      </w:r>
      <w:bookmarkEnd w:id="1099"/>
      <w:r>
        <w:t>The present value of the minimum future payments have been discounted to 30 June of the respective financial years using the weighted average interest rate of 11.28% (2019-20: 11.28%). These payments exclude finance charges.</w:t>
      </w:r>
    </w:p>
    <w:p w14:paraId="71E6C561" w14:textId="2D886C00" w:rsidR="00DF0E64" w:rsidRDefault="00DC0A06" w:rsidP="00807157">
      <w:pPr>
        <w:pStyle w:val="Heading4"/>
      </w:pPr>
      <w:r>
        <w:t>Victorian Desalination Plant</w:t>
      </w:r>
      <w:r w:rsidR="00DF0E64">
        <w:t xml:space="preserve"> service concession arrangement – other commitments payable</w:t>
      </w:r>
    </w:p>
    <w:p w14:paraId="60F2B57C" w14:textId="61823AD0" w:rsidR="00DF0E64" w:rsidRDefault="00DF0E64" w:rsidP="00DF0E64">
      <w:pPr>
        <w:pStyle w:val="BodyText"/>
      </w:pPr>
      <w:r>
        <w:t xml:space="preserve">Under the </w:t>
      </w:r>
      <w:r w:rsidR="00DC0A06">
        <w:t>Public Private Partnership</w:t>
      </w:r>
      <w:r>
        <w:t xml:space="preserve"> arrangement that the state entered into with AquaSure, the State is required to make base water security payments,</w:t>
      </w:r>
      <w:r w:rsidR="00807157">
        <w:t xml:space="preserve"> </w:t>
      </w:r>
      <w:r>
        <w:t xml:space="preserve">provided the plant is maintained to the appropriate standard. These payments are for costs related to the </w:t>
      </w:r>
      <w:r w:rsidR="00DC0A06">
        <w:t>Victorian Desalination Plant</w:t>
      </w:r>
      <w:r>
        <w:t>'s operation,</w:t>
      </w:r>
      <w:r w:rsidR="00807157">
        <w:t xml:space="preserve"> </w:t>
      </w:r>
      <w:r>
        <w:t>maintenance and life cycle costs. The nominal amounts for the other commitments below represent the charges payable under the</w:t>
      </w:r>
      <w:r w:rsidR="00807157">
        <w:t xml:space="preserve"> </w:t>
      </w:r>
      <w:r>
        <w:t>agreement at the end of the reporting period for these costs.</w:t>
      </w:r>
    </w:p>
    <w:p w14:paraId="049687B9" w14:textId="4D8EE148" w:rsidR="00742853" w:rsidRDefault="00DF0E64" w:rsidP="003B2899">
      <w:pPr>
        <w:pStyle w:val="BodyText"/>
        <w:keepNext/>
        <w:keepLines/>
      </w:pPr>
      <w:r>
        <w:lastRenderedPageBreak/>
        <w:t xml:space="preserve">The other commitments payable are disclosed based on information provided by </w:t>
      </w:r>
      <w:r w:rsidR="0030196D">
        <w:t>Department of Environment, Land, Water and Planning</w:t>
      </w:r>
      <w:r>
        <w:t xml:space="preserve"> (in accordance with the </w:t>
      </w:r>
      <w:r w:rsidR="00DC0A06">
        <w:t>Water Interface Agreement</w:t>
      </w:r>
      <w:r>
        <w:t>):</w:t>
      </w:r>
    </w:p>
    <w:tbl>
      <w:tblPr>
        <w:tblStyle w:val="Style1"/>
        <w:tblW w:w="5000" w:type="pct"/>
        <w:tblLook w:val="04A0" w:firstRow="1" w:lastRow="0" w:firstColumn="1" w:lastColumn="0" w:noHBand="0" w:noVBand="1"/>
      </w:tblPr>
      <w:tblGrid>
        <w:gridCol w:w="6522"/>
        <w:gridCol w:w="1558"/>
        <w:gridCol w:w="1551"/>
      </w:tblGrid>
      <w:tr w:rsidR="00807157" w:rsidRPr="00E65CDA" w14:paraId="3BD1EE5E"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tcBorders>
            <w:vAlign w:val="bottom"/>
          </w:tcPr>
          <w:p w14:paraId="2318AEAC" w14:textId="77777777" w:rsidR="00807157" w:rsidRPr="00E65CDA" w:rsidRDefault="00807157" w:rsidP="003B2899">
            <w:pPr>
              <w:keepNext/>
              <w:keepLines/>
            </w:pPr>
            <w:bookmarkStart w:id="1100" w:name="ColumnTitle_84"/>
            <w:r w:rsidRPr="00E65CDA">
              <w:t>Item</w:t>
            </w:r>
          </w:p>
        </w:tc>
        <w:tc>
          <w:tcPr>
            <w:tcW w:w="809" w:type="pct"/>
            <w:tcBorders>
              <w:top w:val="single" w:sz="4" w:space="0" w:color="auto"/>
            </w:tcBorders>
            <w:vAlign w:val="bottom"/>
          </w:tcPr>
          <w:p w14:paraId="480A1AF2" w14:textId="77777777" w:rsidR="00807157" w:rsidRPr="00E65CDA" w:rsidRDefault="00807157" w:rsidP="003B2899">
            <w:pPr>
              <w:keepNext/>
              <w:keepLines/>
              <w:cnfStyle w:val="100000000000" w:firstRow="1" w:lastRow="0" w:firstColumn="0" w:lastColumn="0" w:oddVBand="0" w:evenVBand="0" w:oddHBand="0" w:evenHBand="0" w:firstRowFirstColumn="0" w:firstRowLastColumn="0" w:lastRowFirstColumn="0" w:lastRowLastColumn="0"/>
            </w:pPr>
            <w:r w:rsidRPr="00E65CDA">
              <w:t>2021</w:t>
            </w:r>
          </w:p>
          <w:p w14:paraId="46B89825" w14:textId="77777777" w:rsidR="00807157" w:rsidRPr="00E65CDA" w:rsidRDefault="00807157" w:rsidP="003B2899">
            <w:pPr>
              <w:keepNext/>
              <w:keepLines/>
              <w:cnfStyle w:val="100000000000" w:firstRow="1" w:lastRow="0" w:firstColumn="0" w:lastColumn="0" w:oddVBand="0" w:evenVBand="0" w:oddHBand="0" w:evenHBand="0" w:firstRowFirstColumn="0" w:firstRowLastColumn="0" w:lastRowFirstColumn="0" w:lastRowLastColumn="0"/>
            </w:pPr>
            <w:r w:rsidRPr="00E65CDA">
              <w:t>($ thousands)</w:t>
            </w:r>
          </w:p>
        </w:tc>
        <w:tc>
          <w:tcPr>
            <w:tcW w:w="805" w:type="pct"/>
            <w:tcBorders>
              <w:top w:val="single" w:sz="4" w:space="0" w:color="auto"/>
            </w:tcBorders>
            <w:vAlign w:val="bottom"/>
          </w:tcPr>
          <w:p w14:paraId="42B60C34" w14:textId="77777777" w:rsidR="00807157" w:rsidRPr="00E65CDA" w:rsidRDefault="00807157" w:rsidP="003B2899">
            <w:pPr>
              <w:keepNext/>
              <w:keepLines/>
              <w:cnfStyle w:val="100000000000" w:firstRow="1" w:lastRow="0" w:firstColumn="0" w:lastColumn="0" w:oddVBand="0" w:evenVBand="0" w:oddHBand="0" w:evenHBand="0" w:firstRowFirstColumn="0" w:firstRowLastColumn="0" w:lastRowFirstColumn="0" w:lastRowLastColumn="0"/>
            </w:pPr>
            <w:r w:rsidRPr="00E65CDA">
              <w:t>2020</w:t>
            </w:r>
          </w:p>
          <w:p w14:paraId="5CFEF38A" w14:textId="77777777" w:rsidR="00807157" w:rsidRPr="00E65CDA" w:rsidRDefault="00807157" w:rsidP="003B2899">
            <w:pPr>
              <w:keepNext/>
              <w:keepLines/>
              <w:cnfStyle w:val="100000000000" w:firstRow="1" w:lastRow="0" w:firstColumn="0" w:lastColumn="0" w:oddVBand="0" w:evenVBand="0" w:oddHBand="0" w:evenHBand="0" w:firstRowFirstColumn="0" w:firstRowLastColumn="0" w:lastRowFirstColumn="0" w:lastRowLastColumn="0"/>
            </w:pPr>
            <w:r w:rsidRPr="00E65CDA">
              <w:t>($ thousands)</w:t>
            </w:r>
          </w:p>
        </w:tc>
      </w:tr>
      <w:bookmarkEnd w:id="1100"/>
      <w:tr w:rsidR="00807157" w:rsidRPr="00300324" w14:paraId="3B2946E4" w14:textId="77777777" w:rsidTr="00807157">
        <w:tc>
          <w:tcPr>
            <w:cnfStyle w:val="001000000000" w:firstRow="0" w:lastRow="0" w:firstColumn="1" w:lastColumn="0" w:oddVBand="0" w:evenVBand="0" w:oddHBand="0" w:evenHBand="0" w:firstRowFirstColumn="0" w:firstRowLastColumn="0" w:lastRowFirstColumn="0" w:lastRowLastColumn="0"/>
            <w:tcW w:w="3386" w:type="pct"/>
            <w:vAlign w:val="top"/>
          </w:tcPr>
          <w:p w14:paraId="3C7F158E" w14:textId="77777777" w:rsidR="00807157" w:rsidRDefault="00807157" w:rsidP="003B2899">
            <w:pPr>
              <w:pStyle w:val="TableBodyText"/>
              <w:keepNext/>
              <w:keepLines/>
            </w:pPr>
            <w:r>
              <w:t>Less than 1 year</w:t>
            </w:r>
          </w:p>
        </w:tc>
        <w:tc>
          <w:tcPr>
            <w:tcW w:w="809" w:type="pct"/>
            <w:vAlign w:val="top"/>
          </w:tcPr>
          <w:p w14:paraId="2160A66F" w14:textId="1F3467D6" w:rsidR="00807157" w:rsidRDefault="00807157"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240,661</w:t>
            </w:r>
          </w:p>
        </w:tc>
        <w:tc>
          <w:tcPr>
            <w:tcW w:w="805" w:type="pct"/>
            <w:vAlign w:val="top"/>
          </w:tcPr>
          <w:p w14:paraId="13DDB303" w14:textId="37A425F0" w:rsidR="00807157" w:rsidRDefault="00807157"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239,059</w:t>
            </w:r>
          </w:p>
        </w:tc>
      </w:tr>
      <w:tr w:rsidR="00807157" w:rsidRPr="00300324" w14:paraId="2198FF9D" w14:textId="77777777" w:rsidTr="00807157">
        <w:tc>
          <w:tcPr>
            <w:cnfStyle w:val="001000000000" w:firstRow="0" w:lastRow="0" w:firstColumn="1" w:lastColumn="0" w:oddVBand="0" w:evenVBand="0" w:oddHBand="0" w:evenHBand="0" w:firstRowFirstColumn="0" w:firstRowLastColumn="0" w:lastRowFirstColumn="0" w:lastRowLastColumn="0"/>
            <w:tcW w:w="3386" w:type="pct"/>
            <w:vAlign w:val="top"/>
          </w:tcPr>
          <w:p w14:paraId="399179A3" w14:textId="77777777" w:rsidR="00807157" w:rsidRDefault="00807157" w:rsidP="003B2899">
            <w:pPr>
              <w:pStyle w:val="TableBodyText"/>
              <w:keepNext/>
              <w:keepLines/>
            </w:pPr>
            <w:r>
              <w:t>1 year but less than 5 years</w:t>
            </w:r>
          </w:p>
        </w:tc>
        <w:tc>
          <w:tcPr>
            <w:tcW w:w="809" w:type="pct"/>
            <w:vAlign w:val="top"/>
          </w:tcPr>
          <w:p w14:paraId="514433CC" w14:textId="3E252F6A" w:rsidR="00807157" w:rsidRDefault="00807157"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658,061</w:t>
            </w:r>
          </w:p>
        </w:tc>
        <w:tc>
          <w:tcPr>
            <w:tcW w:w="805" w:type="pct"/>
            <w:vAlign w:val="top"/>
          </w:tcPr>
          <w:p w14:paraId="4083F69F" w14:textId="2EEB2B04" w:rsidR="00807157" w:rsidRDefault="00807157"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650,464</w:t>
            </w:r>
          </w:p>
        </w:tc>
      </w:tr>
      <w:tr w:rsidR="00807157" w:rsidRPr="00300324" w14:paraId="1F3C3193" w14:textId="77777777" w:rsidTr="00807157">
        <w:tc>
          <w:tcPr>
            <w:cnfStyle w:val="001000000000" w:firstRow="0" w:lastRow="0" w:firstColumn="1" w:lastColumn="0" w:oddVBand="0" w:evenVBand="0" w:oddHBand="0" w:evenHBand="0" w:firstRowFirstColumn="0" w:firstRowLastColumn="0" w:lastRowFirstColumn="0" w:lastRowLastColumn="0"/>
            <w:tcW w:w="3386" w:type="pct"/>
            <w:tcBorders>
              <w:bottom w:val="single" w:sz="4" w:space="0" w:color="auto"/>
            </w:tcBorders>
            <w:vAlign w:val="top"/>
          </w:tcPr>
          <w:p w14:paraId="0592F950" w14:textId="7925F17C" w:rsidR="00807157" w:rsidRDefault="00807157" w:rsidP="00E65CDA">
            <w:pPr>
              <w:pStyle w:val="TableBodyText"/>
            </w:pPr>
            <w:r>
              <w:t>Later than 5 years</w:t>
            </w:r>
          </w:p>
        </w:tc>
        <w:tc>
          <w:tcPr>
            <w:tcW w:w="809" w:type="pct"/>
            <w:tcBorders>
              <w:bottom w:val="single" w:sz="4" w:space="0" w:color="auto"/>
            </w:tcBorders>
            <w:vAlign w:val="top"/>
          </w:tcPr>
          <w:p w14:paraId="2DAB2263" w14:textId="4EBD8280" w:rsid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pPr>
            <w:r>
              <w:t>3,064,038</w:t>
            </w:r>
          </w:p>
        </w:tc>
        <w:tc>
          <w:tcPr>
            <w:tcW w:w="805" w:type="pct"/>
            <w:tcBorders>
              <w:bottom w:val="single" w:sz="4" w:space="0" w:color="auto"/>
            </w:tcBorders>
            <w:vAlign w:val="top"/>
          </w:tcPr>
          <w:p w14:paraId="1952F98C" w14:textId="0BD5EAF4" w:rsid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pPr>
            <w:r>
              <w:t>3,307,587</w:t>
            </w:r>
          </w:p>
        </w:tc>
      </w:tr>
      <w:tr w:rsidR="00807157" w:rsidRPr="00807157" w14:paraId="527CF8FD" w14:textId="77777777" w:rsidTr="00807157">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tcBorders>
            <w:vAlign w:val="top"/>
          </w:tcPr>
          <w:p w14:paraId="63469357" w14:textId="0D517956" w:rsidR="00807157" w:rsidRPr="00807157" w:rsidRDefault="00807157" w:rsidP="00E65CDA">
            <w:pPr>
              <w:pStyle w:val="TableBodyText"/>
              <w:rPr>
                <w:rStyle w:val="Bold"/>
              </w:rPr>
            </w:pPr>
            <w:r>
              <w:rPr>
                <w:rStyle w:val="Bold"/>
              </w:rPr>
              <w:t xml:space="preserve">Total other commitments (inclusive of GST) </w:t>
            </w:r>
            <w:hyperlink w:anchor="NoteaTable54VDP" w:history="1">
              <w:r w:rsidRPr="00807157">
                <w:rPr>
                  <w:rStyle w:val="Hyperlink"/>
                </w:rPr>
                <w:t>refer note a</w:t>
              </w:r>
            </w:hyperlink>
            <w:r>
              <w:rPr>
                <w:rStyle w:val="Bold"/>
              </w:rPr>
              <w:t xml:space="preserve"> </w:t>
            </w:r>
            <w:hyperlink w:anchor="NotecTable54VDP" w:history="1">
              <w:r w:rsidRPr="00807157">
                <w:rPr>
                  <w:rStyle w:val="Hyperlink"/>
                </w:rPr>
                <w:t>refer note c</w:t>
              </w:r>
            </w:hyperlink>
          </w:p>
        </w:tc>
        <w:tc>
          <w:tcPr>
            <w:tcW w:w="809" w:type="pct"/>
            <w:tcBorders>
              <w:top w:val="single" w:sz="4" w:space="0" w:color="auto"/>
            </w:tcBorders>
            <w:vAlign w:val="top"/>
          </w:tcPr>
          <w:p w14:paraId="63C49A04" w14:textId="1ED64B3F" w:rsidR="00807157" w:rsidRP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3,962,760</w:t>
            </w:r>
          </w:p>
        </w:tc>
        <w:tc>
          <w:tcPr>
            <w:tcW w:w="805" w:type="pct"/>
            <w:tcBorders>
              <w:top w:val="single" w:sz="4" w:space="0" w:color="auto"/>
            </w:tcBorders>
            <w:vAlign w:val="top"/>
          </w:tcPr>
          <w:p w14:paraId="08557BD9" w14:textId="340B48F2" w:rsidR="00807157" w:rsidRP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4,197,110</w:t>
            </w:r>
          </w:p>
        </w:tc>
      </w:tr>
      <w:tr w:rsidR="00807157" w:rsidRPr="00300324" w14:paraId="4D24D348" w14:textId="77777777" w:rsidTr="00807157">
        <w:tc>
          <w:tcPr>
            <w:cnfStyle w:val="001000000000" w:firstRow="0" w:lastRow="0" w:firstColumn="1" w:lastColumn="0" w:oddVBand="0" w:evenVBand="0" w:oddHBand="0" w:evenHBand="0" w:firstRowFirstColumn="0" w:firstRowLastColumn="0" w:lastRowFirstColumn="0" w:lastRowLastColumn="0"/>
            <w:tcW w:w="3386" w:type="pct"/>
            <w:tcBorders>
              <w:bottom w:val="single" w:sz="4" w:space="0" w:color="auto"/>
            </w:tcBorders>
            <w:vAlign w:val="top"/>
          </w:tcPr>
          <w:p w14:paraId="1F68F4DA" w14:textId="473ED96C" w:rsidR="00807157" w:rsidRDefault="00807157" w:rsidP="00E65CDA">
            <w:pPr>
              <w:pStyle w:val="TableBodyText"/>
            </w:pPr>
            <w:r>
              <w:t>Less GST recoverable from the Australian Taxation Office</w:t>
            </w:r>
          </w:p>
        </w:tc>
        <w:tc>
          <w:tcPr>
            <w:tcW w:w="809" w:type="pct"/>
            <w:tcBorders>
              <w:bottom w:val="single" w:sz="4" w:space="0" w:color="auto"/>
            </w:tcBorders>
            <w:vAlign w:val="top"/>
          </w:tcPr>
          <w:p w14:paraId="4F047A47" w14:textId="2B621EBC" w:rsid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pPr>
            <w:r>
              <w:t>(360,251)</w:t>
            </w:r>
          </w:p>
        </w:tc>
        <w:tc>
          <w:tcPr>
            <w:tcW w:w="805" w:type="pct"/>
            <w:tcBorders>
              <w:bottom w:val="single" w:sz="4" w:space="0" w:color="auto"/>
            </w:tcBorders>
            <w:vAlign w:val="top"/>
          </w:tcPr>
          <w:p w14:paraId="79D3CB22" w14:textId="350951DE" w:rsid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pPr>
            <w:r>
              <w:t>(381,555)</w:t>
            </w:r>
          </w:p>
        </w:tc>
      </w:tr>
      <w:tr w:rsidR="00807157" w:rsidRPr="00807157" w14:paraId="7183321E" w14:textId="77777777" w:rsidTr="00807157">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bottom w:val="single" w:sz="4" w:space="0" w:color="auto"/>
            </w:tcBorders>
            <w:vAlign w:val="top"/>
          </w:tcPr>
          <w:p w14:paraId="18CA5BC8" w14:textId="5312F1FC" w:rsidR="00807157" w:rsidRPr="00807157" w:rsidRDefault="00807157" w:rsidP="00E65CDA">
            <w:pPr>
              <w:pStyle w:val="TableBodyText"/>
              <w:rPr>
                <w:rStyle w:val="Bold"/>
              </w:rPr>
            </w:pPr>
            <w:r>
              <w:rPr>
                <w:rStyle w:val="Bold"/>
              </w:rPr>
              <w:t>Total other commitments (exclusive of GST)</w:t>
            </w:r>
          </w:p>
        </w:tc>
        <w:tc>
          <w:tcPr>
            <w:tcW w:w="809" w:type="pct"/>
            <w:tcBorders>
              <w:top w:val="single" w:sz="4" w:space="0" w:color="auto"/>
              <w:bottom w:val="single" w:sz="4" w:space="0" w:color="auto"/>
            </w:tcBorders>
            <w:vAlign w:val="top"/>
          </w:tcPr>
          <w:p w14:paraId="03AB1801" w14:textId="7A577F20" w:rsidR="00807157" w:rsidRP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3,602,509</w:t>
            </w:r>
          </w:p>
        </w:tc>
        <w:tc>
          <w:tcPr>
            <w:tcW w:w="805" w:type="pct"/>
            <w:tcBorders>
              <w:top w:val="single" w:sz="4" w:space="0" w:color="auto"/>
              <w:bottom w:val="single" w:sz="4" w:space="0" w:color="auto"/>
            </w:tcBorders>
            <w:vAlign w:val="top"/>
          </w:tcPr>
          <w:p w14:paraId="55C49489" w14:textId="0928B5D8" w:rsidR="00807157" w:rsidRP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3,815,555</w:t>
            </w:r>
          </w:p>
        </w:tc>
      </w:tr>
      <w:tr w:rsidR="00807157" w:rsidRPr="00807157" w14:paraId="7B698596" w14:textId="77777777" w:rsidTr="00807157">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bottom w:val="single" w:sz="4" w:space="0" w:color="auto"/>
            </w:tcBorders>
            <w:vAlign w:val="top"/>
          </w:tcPr>
          <w:p w14:paraId="5126ADBF" w14:textId="09A89B62" w:rsidR="00807157" w:rsidRPr="00807157" w:rsidRDefault="00807157" w:rsidP="00E65CDA">
            <w:pPr>
              <w:pStyle w:val="TableBodyText"/>
              <w:rPr>
                <w:rStyle w:val="Bold"/>
              </w:rPr>
            </w:pPr>
            <w:r w:rsidRPr="00807157">
              <w:rPr>
                <w:rStyle w:val="Bold"/>
              </w:rPr>
              <w:t>Present value of other commitments</w:t>
            </w:r>
            <w:r w:rsidR="00B279EF">
              <w:rPr>
                <w:rStyle w:val="Bold"/>
              </w:rPr>
              <w:t xml:space="preserve"> </w:t>
            </w:r>
            <w:hyperlink w:anchor="NotebTable54VDP" w:history="1">
              <w:r w:rsidR="00B279EF" w:rsidRPr="00B279EF">
                <w:rPr>
                  <w:rStyle w:val="Hyperlink"/>
                </w:rPr>
                <w:t>refer note b</w:t>
              </w:r>
            </w:hyperlink>
          </w:p>
        </w:tc>
        <w:tc>
          <w:tcPr>
            <w:tcW w:w="809" w:type="pct"/>
            <w:tcBorders>
              <w:top w:val="single" w:sz="4" w:space="0" w:color="auto"/>
              <w:bottom w:val="single" w:sz="4" w:space="0" w:color="auto"/>
            </w:tcBorders>
            <w:vAlign w:val="top"/>
          </w:tcPr>
          <w:p w14:paraId="733AAF91" w14:textId="5F603B8A" w:rsidR="00807157" w:rsidRP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1,532,975</w:t>
            </w:r>
          </w:p>
        </w:tc>
        <w:tc>
          <w:tcPr>
            <w:tcW w:w="805" w:type="pct"/>
            <w:tcBorders>
              <w:top w:val="single" w:sz="4" w:space="0" w:color="auto"/>
              <w:bottom w:val="single" w:sz="4" w:space="0" w:color="auto"/>
            </w:tcBorders>
            <w:vAlign w:val="top"/>
          </w:tcPr>
          <w:p w14:paraId="2D6E4C15" w14:textId="3CA290EB" w:rsidR="00807157" w:rsidRPr="00807157" w:rsidRDefault="00807157" w:rsidP="00E65CDA">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07157">
              <w:rPr>
                <w:rStyle w:val="Bold"/>
              </w:rPr>
              <w:t>1,552,895</w:t>
            </w:r>
          </w:p>
        </w:tc>
      </w:tr>
    </w:tbl>
    <w:p w14:paraId="79392ABC" w14:textId="77777777" w:rsidR="00807157" w:rsidRDefault="00807157" w:rsidP="00807157">
      <w:pPr>
        <w:pStyle w:val="BodyText"/>
      </w:pPr>
      <w:r>
        <w:t>Note:</w:t>
      </w:r>
    </w:p>
    <w:p w14:paraId="39E55D0B" w14:textId="5AF084FD" w:rsidR="00807157" w:rsidRDefault="00807157" w:rsidP="00807157">
      <w:pPr>
        <w:pStyle w:val="BodyText"/>
      </w:pPr>
      <w:bookmarkStart w:id="1101" w:name="NoteaTable54VDP"/>
      <w:r>
        <w:t xml:space="preserve">(a) </w:t>
      </w:r>
      <w:bookmarkEnd w:id="1101"/>
      <w:r>
        <w:t>The ‘other commitments’ are updated to reflect indexation factors, such as Consumer Price Index, Producer Price Index, Chemical Index and Average Weekly Earnings Index. Commitments are updated for the change in actual amounts paid, and forecast percentage increases are based on the original forecasted indices and applied to the adjusted actual payments. This methodology has been applied to reduce volatility in the forecast ‘other commitments’.</w:t>
      </w:r>
    </w:p>
    <w:p w14:paraId="38D75B7D" w14:textId="28E642C7" w:rsidR="00807157" w:rsidRDefault="00807157" w:rsidP="00807157">
      <w:pPr>
        <w:pStyle w:val="BodyText"/>
      </w:pPr>
      <w:bookmarkStart w:id="1102" w:name="NotebTable54VDP"/>
      <w:r>
        <w:t xml:space="preserve">(b) </w:t>
      </w:r>
      <w:bookmarkEnd w:id="1102"/>
      <w:r>
        <w:t>The present value of the ‘other commitments’ has been discounted to 30 June of the respective financial years. The basis for discounting has been to take each 12 month period of cash flows and discount these cash flows at the end of the period using the annual discount rate. The discount rate used to calculate the present value of the commitment is 9.99% (2019-20: 9.99%) which is the nominal pre-tax discount rate representative of the overall risk of the project at inception.</w:t>
      </w:r>
    </w:p>
    <w:p w14:paraId="517F170E" w14:textId="2E718C1C" w:rsidR="00742853" w:rsidRDefault="00807157" w:rsidP="00807157">
      <w:pPr>
        <w:pStyle w:val="BodyText"/>
      </w:pPr>
      <w:bookmarkStart w:id="1103" w:name="NotecTable54VDP"/>
      <w:r>
        <w:t>(c)</w:t>
      </w:r>
      <w:bookmarkEnd w:id="1103"/>
      <w:r>
        <w:t xml:space="preserve"> Net costs associated with the 125 billion litres of water for 2020-21 financial year have been reflected in commitments for 2020-21 (2019-20: 125 billion litres of water). The announcement of the 125GL water order for 2021-22 is a binding commitment and has been included in 2021-22. The announcement of the 125GL water order for 2022-23 and 2023-24 are non-binding commitments and have not been included.</w:t>
      </w:r>
    </w:p>
    <w:p w14:paraId="7E7DB4C6" w14:textId="77777777" w:rsidR="00B279EF" w:rsidRDefault="00B279EF" w:rsidP="00B279EF">
      <w:pPr>
        <w:pStyle w:val="Heading2"/>
      </w:pPr>
      <w:bookmarkStart w:id="1104" w:name="_Toc89723143"/>
      <w:bookmarkStart w:id="1105" w:name="_Toc89723246"/>
      <w:bookmarkStart w:id="1106" w:name="_Toc89723306"/>
      <w:bookmarkStart w:id="1107" w:name="_Ref89806874"/>
      <w:bookmarkStart w:id="1108" w:name="_Ref89844180"/>
      <w:bookmarkStart w:id="1109" w:name="_Toc89860572"/>
      <w:bookmarkStart w:id="1110" w:name="_Toc89860716"/>
      <w:bookmarkStart w:id="1111" w:name="_Toc90326087"/>
      <w:bookmarkStart w:id="1112" w:name="_Toc93659493"/>
      <w:r>
        <w:t>Risk management</w:t>
      </w:r>
      <w:bookmarkEnd w:id="1104"/>
      <w:bookmarkEnd w:id="1105"/>
      <w:bookmarkEnd w:id="1106"/>
      <w:bookmarkEnd w:id="1107"/>
      <w:bookmarkEnd w:id="1108"/>
      <w:bookmarkEnd w:id="1109"/>
      <w:bookmarkEnd w:id="1110"/>
      <w:bookmarkEnd w:id="1111"/>
      <w:bookmarkEnd w:id="1112"/>
    </w:p>
    <w:p w14:paraId="378D0ABD" w14:textId="77777777" w:rsidR="00B279EF" w:rsidRDefault="00B279EF" w:rsidP="00B279EF">
      <w:pPr>
        <w:pStyle w:val="Heading3"/>
      </w:pPr>
      <w:bookmarkStart w:id="1113" w:name="_Toc89723144"/>
      <w:bookmarkStart w:id="1114" w:name="_Toc90326088"/>
      <w:bookmarkStart w:id="1115" w:name="_Toc93659494"/>
      <w:r>
        <w:t>Introduction</w:t>
      </w:r>
      <w:bookmarkEnd w:id="1113"/>
      <w:bookmarkEnd w:id="1114"/>
      <w:bookmarkEnd w:id="1115"/>
    </w:p>
    <w:p w14:paraId="48126950" w14:textId="77A098C9" w:rsidR="00B279EF" w:rsidRDefault="00B279EF" w:rsidP="00B279EF">
      <w:pPr>
        <w:pStyle w:val="BodyText"/>
      </w:pPr>
      <w:r>
        <w:t>The Corporation is exposed to financial risks from both its activities and outside factors. In addition, it is often necessary to make judgements and estimates associated with recognition and measurement of items in the financial statements.</w:t>
      </w:r>
    </w:p>
    <w:p w14:paraId="274BE618" w14:textId="4791D30B" w:rsidR="00B279EF" w:rsidRDefault="00B279EF" w:rsidP="00B279EF">
      <w:pPr>
        <w:pStyle w:val="BodyText"/>
      </w:pPr>
      <w:r>
        <w:t>This section presents information on financial instruments, contingent assets and liabilities, and fair value determinations regarding the Corporation's financial assets and liabilities.</w:t>
      </w:r>
    </w:p>
    <w:p w14:paraId="25C6E297" w14:textId="77777777" w:rsidR="00B279EF" w:rsidRPr="00B279EF" w:rsidRDefault="00B279EF" w:rsidP="00B279EF">
      <w:pPr>
        <w:pStyle w:val="BodyText"/>
        <w:rPr>
          <w:rStyle w:val="Bold"/>
        </w:rPr>
      </w:pPr>
      <w:r w:rsidRPr="00B279EF">
        <w:rPr>
          <w:rStyle w:val="Bold"/>
        </w:rPr>
        <w:t>Structure</w:t>
      </w:r>
    </w:p>
    <w:p w14:paraId="167AF1F2" w14:textId="1A4E3D82"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_Ref89845709 \h  \* MERGEFORMAT </w:instrText>
      </w:r>
      <w:r w:rsidRPr="006777C8">
        <w:rPr>
          <w:color w:val="0000FF"/>
          <w:u w:val="single"/>
        </w:rPr>
      </w:r>
      <w:r w:rsidRPr="006777C8">
        <w:rPr>
          <w:color w:val="0000FF"/>
          <w:u w:val="single"/>
        </w:rPr>
        <w:fldChar w:fldCharType="separate"/>
      </w:r>
      <w:r w:rsidR="00472151">
        <w:t xml:space="preserve">6.1 </w:t>
      </w:r>
      <w:r w:rsidR="00472151" w:rsidRPr="00472151">
        <w:rPr>
          <w:color w:val="0000FF"/>
          <w:u w:val="single"/>
        </w:rPr>
        <w:t>Financial instruments</w:t>
      </w:r>
      <w:r w:rsidRPr="006777C8">
        <w:rPr>
          <w:color w:val="0000FF"/>
          <w:u w:val="single"/>
        </w:rPr>
        <w:fldChar w:fldCharType="end"/>
      </w:r>
    </w:p>
    <w:p w14:paraId="10484FA4" w14:textId="4C09956F"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_Ref89845715 \h  \* MERGEFORMAT </w:instrText>
      </w:r>
      <w:r w:rsidRPr="006777C8">
        <w:rPr>
          <w:color w:val="0000FF"/>
          <w:u w:val="single"/>
        </w:rPr>
      </w:r>
      <w:r w:rsidRPr="006777C8">
        <w:rPr>
          <w:color w:val="0000FF"/>
          <w:u w:val="single"/>
        </w:rPr>
        <w:fldChar w:fldCharType="separate"/>
      </w:r>
      <w:r w:rsidR="00472151">
        <w:t xml:space="preserve">6.2 </w:t>
      </w:r>
      <w:r w:rsidR="00472151" w:rsidRPr="00472151">
        <w:rPr>
          <w:color w:val="0000FF"/>
          <w:u w:val="single"/>
        </w:rPr>
        <w:t>Fair value determination of financial assets and liabilities</w:t>
      </w:r>
      <w:r w:rsidRPr="006777C8">
        <w:rPr>
          <w:color w:val="0000FF"/>
          <w:u w:val="single"/>
        </w:rPr>
        <w:fldChar w:fldCharType="end"/>
      </w:r>
    </w:p>
    <w:p w14:paraId="1D8D0DA1" w14:textId="4BFE2DA4"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_Ref89845721 \h  \* MERGEFORMAT </w:instrText>
      </w:r>
      <w:r w:rsidRPr="006777C8">
        <w:rPr>
          <w:color w:val="0000FF"/>
          <w:u w:val="single"/>
        </w:rPr>
      </w:r>
      <w:r w:rsidRPr="006777C8">
        <w:rPr>
          <w:color w:val="0000FF"/>
          <w:u w:val="single"/>
        </w:rPr>
        <w:fldChar w:fldCharType="separate"/>
      </w:r>
      <w:r w:rsidR="00472151">
        <w:t xml:space="preserve">6.3 </w:t>
      </w:r>
      <w:r w:rsidR="00472151" w:rsidRPr="00472151">
        <w:rPr>
          <w:color w:val="0000FF"/>
          <w:u w:val="single"/>
        </w:rPr>
        <w:t>Contingent assets and liabilities</w:t>
      </w:r>
      <w:r w:rsidRPr="006777C8">
        <w:rPr>
          <w:color w:val="0000FF"/>
          <w:u w:val="single"/>
        </w:rPr>
        <w:fldChar w:fldCharType="end"/>
      </w:r>
    </w:p>
    <w:p w14:paraId="21990B69" w14:textId="24DFAC55" w:rsidR="00742853" w:rsidRDefault="00B279EF" w:rsidP="00B279EF">
      <w:pPr>
        <w:pStyle w:val="Heading3"/>
      </w:pPr>
      <w:bookmarkStart w:id="1116" w:name="Note61"/>
      <w:bookmarkStart w:id="1117" w:name="_Toc89723145"/>
      <w:bookmarkStart w:id="1118" w:name="_Ref89807365"/>
      <w:bookmarkStart w:id="1119" w:name="_Ref89844197"/>
      <w:bookmarkStart w:id="1120" w:name="_Ref89845709"/>
      <w:bookmarkStart w:id="1121" w:name="_Toc90326089"/>
      <w:bookmarkStart w:id="1122" w:name="_Toc93659495"/>
      <w:r>
        <w:lastRenderedPageBreak/>
        <w:t xml:space="preserve">6.1 </w:t>
      </w:r>
      <w:bookmarkEnd w:id="1116"/>
      <w:r>
        <w:t>Financial instruments</w:t>
      </w:r>
      <w:bookmarkEnd w:id="1117"/>
      <w:bookmarkEnd w:id="1118"/>
      <w:bookmarkEnd w:id="1119"/>
      <w:bookmarkEnd w:id="1120"/>
      <w:bookmarkEnd w:id="1121"/>
      <w:bookmarkEnd w:id="1122"/>
    </w:p>
    <w:p w14:paraId="75D0CF3A" w14:textId="11331647" w:rsidR="00B279EF" w:rsidRDefault="00B279EF" w:rsidP="00B279EF">
      <w:pPr>
        <w:pStyle w:val="BodyText"/>
      </w:pPr>
      <w:r>
        <w:t>Financial instruments arise out of contractual agreements that give rise to a financial asset of one entity and a financial liability or equity instrument of another entity. Due to the nature of the Corporation’s activities, certain financial assets and financial liabilities arise under statute rather than a contract (for example, taxes). Such assets and liabilities do not meet the definition of financial instruments.</w:t>
      </w:r>
    </w:p>
    <w:p w14:paraId="412D0F68" w14:textId="0D75ABFF" w:rsidR="00B279EF" w:rsidRDefault="00B279EF" w:rsidP="00B279EF">
      <w:pPr>
        <w:pStyle w:val="BodyText"/>
      </w:pPr>
      <w:r>
        <w:t>The Corporation's principal financial instruments are contractual in nature and comprise:</w:t>
      </w:r>
    </w:p>
    <w:p w14:paraId="78B4DF18" w14:textId="5A2A3C70" w:rsidR="00B279EF" w:rsidRDefault="00B279EF" w:rsidP="00B279EF">
      <w:pPr>
        <w:pStyle w:val="ListBullet"/>
      </w:pPr>
      <w:r>
        <w:t>cash and cash equivalents</w:t>
      </w:r>
    </w:p>
    <w:p w14:paraId="17DD6DEE" w14:textId="77777777" w:rsidR="00B279EF" w:rsidRDefault="00B279EF" w:rsidP="00B279EF">
      <w:pPr>
        <w:pStyle w:val="ListBullet"/>
      </w:pPr>
      <w:r>
        <w:t>trade debtors and other receivables</w:t>
      </w:r>
    </w:p>
    <w:p w14:paraId="354E2B0E" w14:textId="0E0CAABA" w:rsidR="00B279EF" w:rsidRDefault="00B279EF" w:rsidP="00C778D6">
      <w:pPr>
        <w:pStyle w:val="ListBullet"/>
      </w:pPr>
      <w:r>
        <w:t>payables (including trade creditors, interest payable, accruals and other payables)</w:t>
      </w:r>
    </w:p>
    <w:p w14:paraId="12D68DCF" w14:textId="7EAFC7A7" w:rsidR="00B279EF" w:rsidRDefault="00DC0A06" w:rsidP="00B279EF">
      <w:pPr>
        <w:pStyle w:val="ListBullet"/>
      </w:pPr>
      <w:r>
        <w:t>Victorian Desalination Plant</w:t>
      </w:r>
      <w:r w:rsidR="00B279EF">
        <w:t xml:space="preserve"> service concession liability</w:t>
      </w:r>
    </w:p>
    <w:p w14:paraId="59BB58F8" w14:textId="77777777" w:rsidR="00B279EF" w:rsidRDefault="00B279EF" w:rsidP="00B279EF">
      <w:pPr>
        <w:pStyle w:val="ListBullet"/>
      </w:pPr>
      <w:r>
        <w:t>lease liabilities</w:t>
      </w:r>
    </w:p>
    <w:p w14:paraId="0BAD0E58" w14:textId="07DC8F8A" w:rsidR="00EE43B2" w:rsidRDefault="00B279EF" w:rsidP="00C778D6">
      <w:pPr>
        <w:pStyle w:val="ListBullet"/>
      </w:pPr>
      <w:r>
        <w:t>borrowings (including short term, floating rate notes and fixed interest).</w:t>
      </w:r>
    </w:p>
    <w:p w14:paraId="5E10AF2C" w14:textId="77BBC1CE" w:rsidR="00B279EF" w:rsidRDefault="00B279EF" w:rsidP="00B279EF">
      <w:pPr>
        <w:pStyle w:val="BodyText"/>
      </w:pPr>
      <w:r>
        <w:t>The Corporation's policy on financial instruments is noted below.</w:t>
      </w:r>
    </w:p>
    <w:p w14:paraId="4D8B90A1" w14:textId="77777777" w:rsidR="001F069E" w:rsidRDefault="00B279EF" w:rsidP="001F069E">
      <w:pPr>
        <w:pStyle w:val="Heading4"/>
      </w:pPr>
      <w:r>
        <w:t>Classification and measurement of financial instruments</w:t>
      </w:r>
    </w:p>
    <w:p w14:paraId="0C6162BF" w14:textId="7E385005" w:rsidR="00B279EF" w:rsidRDefault="00B279EF" w:rsidP="00B279EF">
      <w:pPr>
        <w:pStyle w:val="BodyText"/>
      </w:pPr>
      <w:r>
        <w:t>Receivables and cash are financial instruments with fixed and determinable payments that are not quoted on an active market. Financial assets are initially measured at fair value minus any direct transaction costs. Subsequent to initial measurement, receivables are measured at amortised cost as the objective is to collect the contractual cash flows.</w:t>
      </w:r>
    </w:p>
    <w:p w14:paraId="54EDC5D2" w14:textId="6BD0F170" w:rsidR="00B279EF" w:rsidRDefault="00B279EF" w:rsidP="00B279EF">
      <w:pPr>
        <w:pStyle w:val="BodyText"/>
      </w:pPr>
      <w:r>
        <w:t>The following assets are held with the objective to collect the contractual cash flows:</w:t>
      </w:r>
    </w:p>
    <w:p w14:paraId="40CAF543" w14:textId="17A8CE37" w:rsidR="00B279EF" w:rsidRDefault="00B279EF" w:rsidP="00B279EF">
      <w:pPr>
        <w:pStyle w:val="ListBullet"/>
      </w:pPr>
      <w:r>
        <w:t>cash and cash equivalents</w:t>
      </w:r>
    </w:p>
    <w:p w14:paraId="57FF5853" w14:textId="77777777" w:rsidR="00B279EF" w:rsidRDefault="00B279EF" w:rsidP="00B279EF">
      <w:pPr>
        <w:pStyle w:val="ListBullet"/>
      </w:pPr>
      <w:r>
        <w:t>trade debtors and other receivables.</w:t>
      </w:r>
    </w:p>
    <w:p w14:paraId="2BEA466A" w14:textId="06997A18" w:rsidR="00B279EF" w:rsidRDefault="00B279EF" w:rsidP="00B279EF">
      <w:pPr>
        <w:pStyle w:val="BodyText"/>
      </w:pPr>
      <w:r>
        <w:t>Financial liabilities are initially recognised at fair value. These financial instruments are measured at amortised cost with any difference between the initial recognised amount and the redemption value being recognised in the profit and loss, over the period of the interest bearing liability using the effective interest rate method. The Corporation recognises the following liabilities:</w:t>
      </w:r>
    </w:p>
    <w:p w14:paraId="60C9E441" w14:textId="77777777" w:rsidR="00B279EF" w:rsidRDefault="00B279EF" w:rsidP="00B279EF">
      <w:pPr>
        <w:pStyle w:val="ListBullet"/>
      </w:pPr>
      <w:r>
        <w:t>trade creditors, accruals and interest payable</w:t>
      </w:r>
    </w:p>
    <w:p w14:paraId="3C4689F3" w14:textId="53E7A8B9" w:rsidR="00B279EF" w:rsidRDefault="00DC0A06" w:rsidP="00B279EF">
      <w:pPr>
        <w:pStyle w:val="ListBullet"/>
      </w:pPr>
      <w:r>
        <w:t>Victorian Desalination Plant</w:t>
      </w:r>
      <w:r w:rsidR="00B279EF">
        <w:t xml:space="preserve"> service concession liability</w:t>
      </w:r>
    </w:p>
    <w:p w14:paraId="67F1E873" w14:textId="77777777" w:rsidR="00B279EF" w:rsidRDefault="00B279EF" w:rsidP="00B279EF">
      <w:pPr>
        <w:pStyle w:val="ListBullet"/>
      </w:pPr>
      <w:r>
        <w:t>lease liabilities</w:t>
      </w:r>
    </w:p>
    <w:p w14:paraId="466F7764" w14:textId="362D1247" w:rsidR="00B279EF" w:rsidRDefault="00B279EF" w:rsidP="00B279EF">
      <w:pPr>
        <w:pStyle w:val="ListBullet"/>
      </w:pPr>
      <w:r>
        <w:t>other payables</w:t>
      </w:r>
    </w:p>
    <w:p w14:paraId="2D982321" w14:textId="02B5458A" w:rsidR="00EE43B2" w:rsidRDefault="00B279EF" w:rsidP="00C778D6">
      <w:pPr>
        <w:pStyle w:val="ListBullet"/>
      </w:pPr>
      <w:r>
        <w:t>borrowings (including short term, floating rate notes and fixed interest).</w:t>
      </w:r>
    </w:p>
    <w:p w14:paraId="15CFDA7F" w14:textId="269D73C5" w:rsidR="00B279EF" w:rsidRDefault="00B279EF" w:rsidP="00B279EF">
      <w:pPr>
        <w:pStyle w:val="Heading4"/>
      </w:pPr>
      <w:r>
        <w:t>Derecognition of financial assets</w:t>
      </w:r>
    </w:p>
    <w:p w14:paraId="4BC8A1F6" w14:textId="469C3528" w:rsidR="00EE43B2" w:rsidRDefault="00B279EF" w:rsidP="00B279EF">
      <w:pPr>
        <w:pStyle w:val="BodyText"/>
      </w:pPr>
      <w:r>
        <w:t>Financial assets are derecognised when the rights to receive cash flows from the financial assets have expired or have been transferred and the Corporation has transferred substantially all the risks and rewards of ownership.</w:t>
      </w:r>
    </w:p>
    <w:p w14:paraId="1F41EF11" w14:textId="77777777" w:rsidR="00B279EF" w:rsidRDefault="00B279EF" w:rsidP="00B279EF">
      <w:pPr>
        <w:pStyle w:val="Heading4"/>
      </w:pPr>
      <w:r>
        <w:t>Impairment of financial assets</w:t>
      </w:r>
    </w:p>
    <w:p w14:paraId="71B01E17" w14:textId="01BF2727" w:rsidR="00B279EF" w:rsidRDefault="00B279EF" w:rsidP="00B279EF">
      <w:pPr>
        <w:pStyle w:val="BodyText"/>
      </w:pPr>
      <w:r>
        <w:t>The Corporation applies the AASB 9 simplified approach to measuring expected credit losses which uses a lifetime expected loss allowance for contractual receivables. On this basis, an assessment undertaken by management has identified that historical debt write-offs and future expected losses are immaterial. As such, there is no allowance for expected credit losses as at 30 June 2021 (2019-20: nil).</w:t>
      </w:r>
    </w:p>
    <w:tbl>
      <w:tblPr>
        <w:tblStyle w:val="Style1"/>
        <w:tblW w:w="5000" w:type="pct"/>
        <w:tblLook w:val="04A0" w:firstRow="1" w:lastRow="0" w:firstColumn="1" w:lastColumn="0" w:noHBand="0" w:noVBand="1"/>
      </w:tblPr>
      <w:tblGrid>
        <w:gridCol w:w="6522"/>
        <w:gridCol w:w="1558"/>
        <w:gridCol w:w="1551"/>
      </w:tblGrid>
      <w:tr w:rsidR="00B279EF" w:rsidRPr="001F069E" w14:paraId="61260558"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tcBorders>
            <w:vAlign w:val="bottom"/>
          </w:tcPr>
          <w:p w14:paraId="46731862" w14:textId="5AFE25D5" w:rsidR="00B279EF" w:rsidRPr="001F069E" w:rsidRDefault="00B279EF" w:rsidP="001F069E">
            <w:bookmarkStart w:id="1123" w:name="ColumnTitle_85"/>
            <w:r w:rsidRPr="001F069E">
              <w:lastRenderedPageBreak/>
              <w:t>Categories of financial instruments</w:t>
            </w:r>
          </w:p>
        </w:tc>
        <w:tc>
          <w:tcPr>
            <w:tcW w:w="809" w:type="pct"/>
            <w:tcBorders>
              <w:top w:val="single" w:sz="4" w:space="0" w:color="auto"/>
            </w:tcBorders>
            <w:vAlign w:val="bottom"/>
          </w:tcPr>
          <w:p w14:paraId="487B300F" w14:textId="77777777" w:rsidR="00B279EF" w:rsidRPr="001F069E" w:rsidRDefault="00B279EF" w:rsidP="001F069E">
            <w:pPr>
              <w:cnfStyle w:val="100000000000" w:firstRow="1" w:lastRow="0" w:firstColumn="0" w:lastColumn="0" w:oddVBand="0" w:evenVBand="0" w:oddHBand="0" w:evenHBand="0" w:firstRowFirstColumn="0" w:firstRowLastColumn="0" w:lastRowFirstColumn="0" w:lastRowLastColumn="0"/>
            </w:pPr>
            <w:r w:rsidRPr="001F069E">
              <w:t>2021</w:t>
            </w:r>
          </w:p>
          <w:p w14:paraId="38EF7BBA" w14:textId="77777777" w:rsidR="00B279EF" w:rsidRPr="001F069E" w:rsidRDefault="00B279EF" w:rsidP="001F069E">
            <w:pPr>
              <w:cnfStyle w:val="100000000000" w:firstRow="1" w:lastRow="0" w:firstColumn="0" w:lastColumn="0" w:oddVBand="0" w:evenVBand="0" w:oddHBand="0" w:evenHBand="0" w:firstRowFirstColumn="0" w:firstRowLastColumn="0" w:lastRowFirstColumn="0" w:lastRowLastColumn="0"/>
            </w:pPr>
            <w:r w:rsidRPr="001F069E">
              <w:t>($ thousands)</w:t>
            </w:r>
          </w:p>
        </w:tc>
        <w:tc>
          <w:tcPr>
            <w:tcW w:w="805" w:type="pct"/>
            <w:tcBorders>
              <w:top w:val="single" w:sz="4" w:space="0" w:color="auto"/>
            </w:tcBorders>
            <w:vAlign w:val="bottom"/>
          </w:tcPr>
          <w:p w14:paraId="566A64F6" w14:textId="77777777" w:rsidR="00B279EF" w:rsidRPr="001F069E" w:rsidRDefault="00B279EF" w:rsidP="001F069E">
            <w:pPr>
              <w:cnfStyle w:val="100000000000" w:firstRow="1" w:lastRow="0" w:firstColumn="0" w:lastColumn="0" w:oddVBand="0" w:evenVBand="0" w:oddHBand="0" w:evenHBand="0" w:firstRowFirstColumn="0" w:firstRowLastColumn="0" w:lastRowFirstColumn="0" w:lastRowLastColumn="0"/>
            </w:pPr>
            <w:r w:rsidRPr="001F069E">
              <w:t>2020</w:t>
            </w:r>
          </w:p>
          <w:p w14:paraId="4AB01BC4" w14:textId="77777777" w:rsidR="00B279EF" w:rsidRPr="001F069E" w:rsidRDefault="00B279EF" w:rsidP="001F069E">
            <w:pPr>
              <w:cnfStyle w:val="100000000000" w:firstRow="1" w:lastRow="0" w:firstColumn="0" w:lastColumn="0" w:oddVBand="0" w:evenVBand="0" w:oddHBand="0" w:evenHBand="0" w:firstRowFirstColumn="0" w:firstRowLastColumn="0" w:lastRowFirstColumn="0" w:lastRowLastColumn="0"/>
            </w:pPr>
            <w:r w:rsidRPr="001F069E">
              <w:t>($ thousands)</w:t>
            </w:r>
          </w:p>
        </w:tc>
      </w:tr>
      <w:bookmarkEnd w:id="1123"/>
      <w:tr w:rsidR="00B279EF" w:rsidRPr="00300324" w14:paraId="5DDF0365"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0AA7E454" w14:textId="294A689A" w:rsidR="00B279EF" w:rsidRPr="00B52171" w:rsidRDefault="006035FB" w:rsidP="001F069E">
            <w:pPr>
              <w:pStyle w:val="TableBodyText"/>
              <w:rPr>
                <w:rStyle w:val="Bold"/>
              </w:rPr>
            </w:pPr>
            <w:r w:rsidRPr="00B52171">
              <w:rPr>
                <w:rStyle w:val="Bold"/>
              </w:rPr>
              <w:t>Financial assets</w:t>
            </w:r>
          </w:p>
        </w:tc>
        <w:tc>
          <w:tcPr>
            <w:tcW w:w="809" w:type="pct"/>
            <w:vAlign w:val="top"/>
          </w:tcPr>
          <w:p w14:paraId="65EF1872" w14:textId="4D0F5564"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2089B485" w14:textId="30C7540D"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N/A</w:t>
            </w:r>
          </w:p>
        </w:tc>
      </w:tr>
      <w:tr w:rsidR="00B279EF" w:rsidRPr="00300324" w14:paraId="5181CA9F"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4F92128E" w14:textId="4A6B351C" w:rsidR="00B279EF" w:rsidRDefault="006035FB" w:rsidP="001F069E">
            <w:pPr>
              <w:pStyle w:val="TableBodyText"/>
            </w:pPr>
            <w:r>
              <w:t>Cash and cash equivalents</w:t>
            </w:r>
          </w:p>
        </w:tc>
        <w:tc>
          <w:tcPr>
            <w:tcW w:w="809" w:type="pct"/>
            <w:vAlign w:val="top"/>
          </w:tcPr>
          <w:p w14:paraId="31DEBBC3" w14:textId="1423165C"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3,703</w:t>
            </w:r>
          </w:p>
        </w:tc>
        <w:tc>
          <w:tcPr>
            <w:tcW w:w="805" w:type="pct"/>
            <w:vAlign w:val="top"/>
          </w:tcPr>
          <w:p w14:paraId="48D5EA14" w14:textId="28A04611"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14,324</w:t>
            </w:r>
          </w:p>
        </w:tc>
      </w:tr>
      <w:tr w:rsidR="00B279EF" w:rsidRPr="00300324" w14:paraId="3129D782"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7B4708EE" w14:textId="322731D2" w:rsidR="00B279EF" w:rsidRDefault="006035FB" w:rsidP="001F069E">
            <w:pPr>
              <w:pStyle w:val="TableBodyText"/>
            </w:pPr>
            <w:r>
              <w:t>Trade debtors</w:t>
            </w:r>
          </w:p>
        </w:tc>
        <w:tc>
          <w:tcPr>
            <w:tcW w:w="809" w:type="pct"/>
            <w:vAlign w:val="top"/>
          </w:tcPr>
          <w:p w14:paraId="6F2E8420" w14:textId="5E4F33E8"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43,707</w:t>
            </w:r>
          </w:p>
        </w:tc>
        <w:tc>
          <w:tcPr>
            <w:tcW w:w="805" w:type="pct"/>
            <w:vAlign w:val="top"/>
          </w:tcPr>
          <w:p w14:paraId="668FAE97" w14:textId="15576000"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40,983</w:t>
            </w:r>
          </w:p>
        </w:tc>
      </w:tr>
      <w:tr w:rsidR="006035FB" w:rsidRPr="00300324" w14:paraId="2C708807" w14:textId="77777777" w:rsidTr="006035FB">
        <w:tc>
          <w:tcPr>
            <w:cnfStyle w:val="001000000000" w:firstRow="0" w:lastRow="0" w:firstColumn="1" w:lastColumn="0" w:oddVBand="0" w:evenVBand="0" w:oddHBand="0" w:evenHBand="0" w:firstRowFirstColumn="0" w:firstRowLastColumn="0" w:lastRowFirstColumn="0" w:lastRowLastColumn="0"/>
            <w:tcW w:w="3386" w:type="pct"/>
            <w:tcBorders>
              <w:bottom w:val="single" w:sz="4" w:space="0" w:color="auto"/>
            </w:tcBorders>
            <w:vAlign w:val="top"/>
          </w:tcPr>
          <w:p w14:paraId="6EBD53DB" w14:textId="4DA3BF0A" w:rsidR="006035FB" w:rsidRDefault="006035FB" w:rsidP="001F069E">
            <w:pPr>
              <w:pStyle w:val="TableBodyText"/>
            </w:pPr>
            <w:r>
              <w:t>Other receivables</w:t>
            </w:r>
          </w:p>
        </w:tc>
        <w:tc>
          <w:tcPr>
            <w:tcW w:w="809" w:type="pct"/>
            <w:tcBorders>
              <w:bottom w:val="single" w:sz="4" w:space="0" w:color="auto"/>
            </w:tcBorders>
            <w:vAlign w:val="top"/>
          </w:tcPr>
          <w:p w14:paraId="7046EFB1" w14:textId="2F11F00D"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42,673</w:t>
            </w:r>
          </w:p>
        </w:tc>
        <w:tc>
          <w:tcPr>
            <w:tcW w:w="805" w:type="pct"/>
            <w:tcBorders>
              <w:bottom w:val="single" w:sz="4" w:space="0" w:color="auto"/>
            </w:tcBorders>
            <w:vAlign w:val="top"/>
          </w:tcPr>
          <w:p w14:paraId="6C66524F" w14:textId="551FFA60"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47,397</w:t>
            </w:r>
          </w:p>
        </w:tc>
      </w:tr>
      <w:tr w:rsidR="006035FB" w:rsidRPr="006035FB" w14:paraId="66A325FA" w14:textId="77777777" w:rsidTr="006035FB">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tcBorders>
            <w:vAlign w:val="top"/>
          </w:tcPr>
          <w:p w14:paraId="5C1F5DCC" w14:textId="7D88CBF9" w:rsidR="006035FB" w:rsidRPr="006035FB" w:rsidRDefault="006035FB" w:rsidP="001F069E">
            <w:pPr>
              <w:pStyle w:val="TableBodyText"/>
              <w:rPr>
                <w:rStyle w:val="Bold"/>
              </w:rPr>
            </w:pPr>
            <w:r w:rsidRPr="006035FB">
              <w:rPr>
                <w:rStyle w:val="Bold"/>
              </w:rPr>
              <w:t>Total financial assets</w:t>
            </w:r>
          </w:p>
        </w:tc>
        <w:tc>
          <w:tcPr>
            <w:tcW w:w="809" w:type="pct"/>
            <w:tcBorders>
              <w:top w:val="single" w:sz="4" w:space="0" w:color="auto"/>
            </w:tcBorders>
            <w:vAlign w:val="top"/>
          </w:tcPr>
          <w:p w14:paraId="3A5E54F2" w14:textId="39BED013" w:rsidR="006035FB" w:rsidRP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35FB">
              <w:rPr>
                <w:rStyle w:val="Bold"/>
              </w:rPr>
              <w:t>90,083</w:t>
            </w:r>
          </w:p>
        </w:tc>
        <w:tc>
          <w:tcPr>
            <w:tcW w:w="805" w:type="pct"/>
            <w:tcBorders>
              <w:top w:val="single" w:sz="4" w:space="0" w:color="auto"/>
            </w:tcBorders>
            <w:vAlign w:val="top"/>
          </w:tcPr>
          <w:p w14:paraId="4FED88BA" w14:textId="03174713" w:rsidR="006035FB" w:rsidRP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6035FB">
              <w:rPr>
                <w:rStyle w:val="Bold"/>
              </w:rPr>
              <w:t>102,704</w:t>
            </w:r>
          </w:p>
        </w:tc>
      </w:tr>
      <w:tr w:rsidR="006035FB" w:rsidRPr="00300324" w14:paraId="04DD8655"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5BE725EE" w14:textId="714BAFBC" w:rsidR="006035FB" w:rsidRPr="006035FB" w:rsidRDefault="006035FB" w:rsidP="001F069E">
            <w:pPr>
              <w:pStyle w:val="TableBodyText"/>
              <w:rPr>
                <w:rStyle w:val="Bold"/>
              </w:rPr>
            </w:pPr>
            <w:r w:rsidRPr="006035FB">
              <w:rPr>
                <w:rStyle w:val="Bold"/>
              </w:rPr>
              <w:t>Financial liabilities</w:t>
            </w:r>
          </w:p>
        </w:tc>
        <w:tc>
          <w:tcPr>
            <w:tcW w:w="809" w:type="pct"/>
            <w:vAlign w:val="top"/>
          </w:tcPr>
          <w:p w14:paraId="4DA6F081" w14:textId="1D9EA0C2"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186564ED" w14:textId="4E56C457"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N/A</w:t>
            </w:r>
          </w:p>
        </w:tc>
      </w:tr>
      <w:tr w:rsidR="006035FB" w:rsidRPr="00300324" w14:paraId="6C65B4EB"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704082E1" w14:textId="5ED39F25" w:rsidR="006035FB" w:rsidRDefault="006035FB" w:rsidP="001F069E">
            <w:pPr>
              <w:pStyle w:val="TableBodyText"/>
            </w:pPr>
            <w:r>
              <w:t>Payables</w:t>
            </w:r>
          </w:p>
        </w:tc>
        <w:tc>
          <w:tcPr>
            <w:tcW w:w="809" w:type="pct"/>
            <w:vAlign w:val="top"/>
          </w:tcPr>
          <w:p w14:paraId="75E9D4A4" w14:textId="7B4072E6"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361,350</w:t>
            </w:r>
          </w:p>
        </w:tc>
        <w:tc>
          <w:tcPr>
            <w:tcW w:w="805" w:type="pct"/>
            <w:vAlign w:val="top"/>
          </w:tcPr>
          <w:p w14:paraId="268F8ECA" w14:textId="36FF090C"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322,135</w:t>
            </w:r>
          </w:p>
        </w:tc>
      </w:tr>
      <w:tr w:rsidR="006035FB" w:rsidRPr="00300324" w14:paraId="43427447"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68F0A789" w14:textId="4051F878" w:rsidR="006035FB" w:rsidRDefault="00DC0A06" w:rsidP="001F069E">
            <w:pPr>
              <w:pStyle w:val="TableBodyText"/>
            </w:pPr>
            <w:r>
              <w:t>Victorian Desalination Plant</w:t>
            </w:r>
            <w:r w:rsidR="006035FB">
              <w:t xml:space="preserve"> service concession liability</w:t>
            </w:r>
          </w:p>
        </w:tc>
        <w:tc>
          <w:tcPr>
            <w:tcW w:w="809" w:type="pct"/>
            <w:vAlign w:val="top"/>
          </w:tcPr>
          <w:p w14:paraId="73582B8D" w14:textId="4202134E"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3,564,921</w:t>
            </w:r>
          </w:p>
        </w:tc>
        <w:tc>
          <w:tcPr>
            <w:tcW w:w="805" w:type="pct"/>
            <w:vAlign w:val="top"/>
          </w:tcPr>
          <w:p w14:paraId="188BB8EF" w14:textId="244D0945"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3,602,984</w:t>
            </w:r>
          </w:p>
        </w:tc>
      </w:tr>
      <w:tr w:rsidR="006035FB" w:rsidRPr="00300324" w14:paraId="27FB69DC"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6DD1DAA3" w14:textId="1D3AEA25" w:rsidR="006035FB" w:rsidRDefault="006035FB" w:rsidP="001F069E">
            <w:pPr>
              <w:pStyle w:val="TableBodyText"/>
            </w:pPr>
            <w:r>
              <w:t>Lease liabilities</w:t>
            </w:r>
          </w:p>
        </w:tc>
        <w:tc>
          <w:tcPr>
            <w:tcW w:w="809" w:type="pct"/>
            <w:vAlign w:val="top"/>
          </w:tcPr>
          <w:p w14:paraId="26BD965A" w14:textId="5C9A008A"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50,892</w:t>
            </w:r>
          </w:p>
        </w:tc>
        <w:tc>
          <w:tcPr>
            <w:tcW w:w="805" w:type="pct"/>
            <w:vAlign w:val="top"/>
          </w:tcPr>
          <w:p w14:paraId="523DCD57" w14:textId="780DF21D" w:rsidR="006035FB"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57,444</w:t>
            </w:r>
          </w:p>
        </w:tc>
      </w:tr>
      <w:tr w:rsidR="00B279EF" w:rsidRPr="00807157" w14:paraId="1228F729"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2D3D6B59" w14:textId="7B655BB0" w:rsidR="00B279EF" w:rsidRPr="00807157" w:rsidRDefault="006035FB" w:rsidP="001F069E">
            <w:pPr>
              <w:pStyle w:val="TableBodyText"/>
            </w:pPr>
            <w:r>
              <w:t>Short-term borrowings</w:t>
            </w:r>
          </w:p>
        </w:tc>
        <w:tc>
          <w:tcPr>
            <w:tcW w:w="809" w:type="pct"/>
            <w:vAlign w:val="top"/>
          </w:tcPr>
          <w:p w14:paraId="284BF5FF" w14:textId="69CE8158" w:rsidR="00B279EF" w:rsidRPr="00807157"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66,445</w:t>
            </w:r>
          </w:p>
        </w:tc>
        <w:tc>
          <w:tcPr>
            <w:tcW w:w="805" w:type="pct"/>
            <w:vAlign w:val="top"/>
          </w:tcPr>
          <w:p w14:paraId="0529081D" w14:textId="6DD9C38D" w:rsidR="00B279EF" w:rsidRPr="00807157"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289,300</w:t>
            </w:r>
          </w:p>
        </w:tc>
      </w:tr>
      <w:tr w:rsidR="00B279EF" w:rsidRPr="00300324" w14:paraId="4E340FA5" w14:textId="77777777" w:rsidTr="006035FB">
        <w:tc>
          <w:tcPr>
            <w:cnfStyle w:val="001000000000" w:firstRow="0" w:lastRow="0" w:firstColumn="1" w:lastColumn="0" w:oddVBand="0" w:evenVBand="0" w:oddHBand="0" w:evenHBand="0" w:firstRowFirstColumn="0" w:firstRowLastColumn="0" w:lastRowFirstColumn="0" w:lastRowLastColumn="0"/>
            <w:tcW w:w="3386" w:type="pct"/>
            <w:vAlign w:val="top"/>
          </w:tcPr>
          <w:p w14:paraId="489EA354" w14:textId="6DE9806F" w:rsidR="00B279EF" w:rsidRDefault="006035FB" w:rsidP="001F069E">
            <w:pPr>
              <w:pStyle w:val="TableBodyText"/>
            </w:pPr>
            <w:r>
              <w:t>Floating rates notes</w:t>
            </w:r>
          </w:p>
        </w:tc>
        <w:tc>
          <w:tcPr>
            <w:tcW w:w="809" w:type="pct"/>
            <w:vAlign w:val="top"/>
          </w:tcPr>
          <w:p w14:paraId="08ECB9A4" w14:textId="4A768152"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135,000</w:t>
            </w:r>
          </w:p>
        </w:tc>
        <w:tc>
          <w:tcPr>
            <w:tcW w:w="805" w:type="pct"/>
            <w:vAlign w:val="top"/>
          </w:tcPr>
          <w:p w14:paraId="7C9A802C" w14:textId="50D40576" w:rsidR="00B279EF"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325,000</w:t>
            </w:r>
          </w:p>
        </w:tc>
      </w:tr>
      <w:tr w:rsidR="00B279EF" w:rsidRPr="00807157" w14:paraId="1C43C606" w14:textId="77777777" w:rsidTr="006035FB">
        <w:tc>
          <w:tcPr>
            <w:cnfStyle w:val="001000000000" w:firstRow="0" w:lastRow="0" w:firstColumn="1" w:lastColumn="0" w:oddVBand="0" w:evenVBand="0" w:oddHBand="0" w:evenHBand="0" w:firstRowFirstColumn="0" w:firstRowLastColumn="0" w:lastRowFirstColumn="0" w:lastRowLastColumn="0"/>
            <w:tcW w:w="3386" w:type="pct"/>
            <w:tcBorders>
              <w:bottom w:val="single" w:sz="4" w:space="0" w:color="auto"/>
            </w:tcBorders>
            <w:vAlign w:val="top"/>
          </w:tcPr>
          <w:p w14:paraId="3E4909EE" w14:textId="4519A27E" w:rsidR="00B279EF" w:rsidRPr="00807157" w:rsidRDefault="006035FB" w:rsidP="001F069E">
            <w:pPr>
              <w:pStyle w:val="TableBodyText"/>
            </w:pPr>
            <w:r>
              <w:t>Fixe</w:t>
            </w:r>
            <w:r w:rsidR="00463C24">
              <w:t>d</w:t>
            </w:r>
            <w:r>
              <w:t xml:space="preserve"> interest</w:t>
            </w:r>
          </w:p>
        </w:tc>
        <w:tc>
          <w:tcPr>
            <w:tcW w:w="809" w:type="pct"/>
            <w:tcBorders>
              <w:bottom w:val="single" w:sz="4" w:space="0" w:color="auto"/>
            </w:tcBorders>
            <w:vAlign w:val="top"/>
          </w:tcPr>
          <w:p w14:paraId="130EB2E6" w14:textId="7FBF0E56" w:rsidR="00B279EF" w:rsidRPr="00807157"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4,045,000</w:t>
            </w:r>
          </w:p>
        </w:tc>
        <w:tc>
          <w:tcPr>
            <w:tcW w:w="805" w:type="pct"/>
            <w:tcBorders>
              <w:bottom w:val="single" w:sz="4" w:space="0" w:color="auto"/>
            </w:tcBorders>
            <w:vAlign w:val="top"/>
          </w:tcPr>
          <w:p w14:paraId="35F1E750" w14:textId="3832887C" w:rsidR="00B279EF" w:rsidRPr="00807157" w:rsidRDefault="006035FB" w:rsidP="001F069E">
            <w:pPr>
              <w:pStyle w:val="TableBodyText"/>
              <w:cnfStyle w:val="000000000000" w:firstRow="0" w:lastRow="0" w:firstColumn="0" w:lastColumn="0" w:oddVBand="0" w:evenVBand="0" w:oddHBand="0" w:evenHBand="0" w:firstRowFirstColumn="0" w:firstRowLastColumn="0" w:lastRowFirstColumn="0" w:lastRowLastColumn="0"/>
            </w:pPr>
            <w:r>
              <w:t>3,540,000</w:t>
            </w:r>
          </w:p>
        </w:tc>
      </w:tr>
      <w:tr w:rsidR="00B279EF" w:rsidRPr="00807157" w14:paraId="3B97D2A8" w14:textId="77777777" w:rsidTr="006035FB">
        <w:tc>
          <w:tcPr>
            <w:cnfStyle w:val="001000000000" w:firstRow="0" w:lastRow="0" w:firstColumn="1" w:lastColumn="0" w:oddVBand="0" w:evenVBand="0" w:oddHBand="0" w:evenHBand="0" w:firstRowFirstColumn="0" w:firstRowLastColumn="0" w:lastRowFirstColumn="0" w:lastRowLastColumn="0"/>
            <w:tcW w:w="3386" w:type="pct"/>
            <w:tcBorders>
              <w:top w:val="single" w:sz="4" w:space="0" w:color="auto"/>
              <w:bottom w:val="single" w:sz="4" w:space="0" w:color="auto"/>
            </w:tcBorders>
            <w:vAlign w:val="top"/>
          </w:tcPr>
          <w:p w14:paraId="6F10A579" w14:textId="1AEAF805" w:rsidR="00B279EF" w:rsidRPr="00807157" w:rsidRDefault="006035FB" w:rsidP="001F069E">
            <w:pPr>
              <w:pStyle w:val="TableBodyText"/>
              <w:rPr>
                <w:rStyle w:val="Bold"/>
              </w:rPr>
            </w:pPr>
            <w:r>
              <w:rPr>
                <w:rStyle w:val="Bold"/>
              </w:rPr>
              <w:t>Total financial liabilities</w:t>
            </w:r>
          </w:p>
        </w:tc>
        <w:tc>
          <w:tcPr>
            <w:tcW w:w="809" w:type="pct"/>
            <w:tcBorders>
              <w:top w:val="single" w:sz="4" w:space="0" w:color="auto"/>
              <w:bottom w:val="single" w:sz="4" w:space="0" w:color="auto"/>
            </w:tcBorders>
            <w:vAlign w:val="top"/>
          </w:tcPr>
          <w:p w14:paraId="6CA9163B" w14:textId="2C7313B3" w:rsidR="00B279EF" w:rsidRPr="00807157" w:rsidRDefault="006035FB" w:rsidP="001F069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8,223,608</w:t>
            </w:r>
          </w:p>
        </w:tc>
        <w:tc>
          <w:tcPr>
            <w:tcW w:w="805" w:type="pct"/>
            <w:tcBorders>
              <w:top w:val="single" w:sz="4" w:space="0" w:color="auto"/>
              <w:bottom w:val="single" w:sz="4" w:space="0" w:color="auto"/>
            </w:tcBorders>
            <w:vAlign w:val="top"/>
          </w:tcPr>
          <w:p w14:paraId="2DC6B844" w14:textId="4CDB6C5E" w:rsidR="00B279EF" w:rsidRPr="00807157" w:rsidRDefault="006035FB" w:rsidP="001F069E">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8,136,863</w:t>
            </w:r>
          </w:p>
        </w:tc>
      </w:tr>
    </w:tbl>
    <w:p w14:paraId="461B8AEC" w14:textId="77777777" w:rsidR="00B52171" w:rsidRDefault="00B52171" w:rsidP="00B52171">
      <w:pPr>
        <w:pStyle w:val="Heading4"/>
      </w:pPr>
      <w:r>
        <w:t>Financial risk management</w:t>
      </w:r>
    </w:p>
    <w:p w14:paraId="1D4DAA6F" w14:textId="29AD5F32" w:rsidR="00B279EF" w:rsidRDefault="00B52171" w:rsidP="00B52171">
      <w:pPr>
        <w:pStyle w:val="BodyText"/>
      </w:pPr>
      <w:r>
        <w:t>The objectives of the Corporation's Treasury Management Policy are to:</w:t>
      </w:r>
    </w:p>
    <w:p w14:paraId="0F64ED73" w14:textId="47F2872E" w:rsidR="00B52171" w:rsidRDefault="00B52171" w:rsidP="00C778D6">
      <w:pPr>
        <w:pStyle w:val="ListBullet"/>
      </w:pPr>
      <w:r>
        <w:t>manage the Corporation's cost of borrowings through effective control and management of interest rate risk</w:t>
      </w:r>
    </w:p>
    <w:p w14:paraId="7D78E7CC" w14:textId="04567A5E" w:rsidR="00B52171" w:rsidRDefault="00B52171" w:rsidP="00C778D6">
      <w:pPr>
        <w:pStyle w:val="ListBullet"/>
      </w:pPr>
      <w:r>
        <w:t>manage the Corporation's cost of borrowings in line with the revenue provided in the applicable Pricing Determination to cover the cost of debt</w:t>
      </w:r>
    </w:p>
    <w:p w14:paraId="277221F2" w14:textId="2E7E98FF" w:rsidR="00B52171" w:rsidRDefault="00B52171" w:rsidP="00C778D6">
      <w:pPr>
        <w:pStyle w:val="ListBullet"/>
      </w:pPr>
      <w:r>
        <w:t>manage working capital requirements by ensuring sufficient cash resources and funds are available to meet daily and long-term liquidity needs within approved parameters, while utilising excess cash to reduce debt balances</w:t>
      </w:r>
    </w:p>
    <w:p w14:paraId="6BBC4F0B" w14:textId="2C9EDC05" w:rsidR="00300324" w:rsidRDefault="00B52171" w:rsidP="00C778D6">
      <w:pPr>
        <w:pStyle w:val="ListBullet"/>
      </w:pPr>
      <w:r>
        <w:t>ensure that adequate financial accommodation facilities are in place to meet the short and long-term liquidity needs</w:t>
      </w:r>
    </w:p>
    <w:p w14:paraId="4C239219" w14:textId="591576FB" w:rsidR="00B52171" w:rsidRDefault="00B52171" w:rsidP="00C778D6">
      <w:pPr>
        <w:pStyle w:val="ListBullet"/>
      </w:pPr>
      <w:r>
        <w:t>ensure that all financial and operational risk exposures are identified and managed</w:t>
      </w:r>
    </w:p>
    <w:p w14:paraId="66CA1BC4" w14:textId="77777777" w:rsidR="00B52171" w:rsidRDefault="00B52171" w:rsidP="00C778D6">
      <w:pPr>
        <w:pStyle w:val="ListBullet"/>
      </w:pPr>
      <w:r>
        <w:t>ensure adequate internal controls and staffing</w:t>
      </w:r>
    </w:p>
    <w:p w14:paraId="4576514E" w14:textId="7DF80302" w:rsidR="00B52171" w:rsidRDefault="00B52171" w:rsidP="00C778D6">
      <w:pPr>
        <w:pStyle w:val="ListBullet"/>
      </w:pPr>
      <w:r>
        <w:t>maintain an indicative investment grade corporate credit rating and credit metrics.</w:t>
      </w:r>
    </w:p>
    <w:p w14:paraId="70E2B35A" w14:textId="78CE28E2" w:rsidR="00B52171" w:rsidRDefault="00B52171" w:rsidP="00B52171">
      <w:pPr>
        <w:pStyle w:val="BodyText"/>
      </w:pPr>
      <w:r>
        <w:t xml:space="preserve">These objectives are consistent with the Corporate Risk Management Policy and Framework of the Corporation, the Corporation's </w:t>
      </w:r>
      <w:r w:rsidRPr="00B52171">
        <w:rPr>
          <w:rStyle w:val="ItalicText"/>
        </w:rPr>
        <w:t>Financial Sustainability Strategy</w:t>
      </w:r>
      <w:r>
        <w:t>, Standing Directions issued by the Assistant Treasurer and the Victorian Public Sector Debt Management Objectives.</w:t>
      </w:r>
    </w:p>
    <w:p w14:paraId="57D6E80E" w14:textId="43678DA5" w:rsidR="00B52171" w:rsidRDefault="00B52171" w:rsidP="00B52171">
      <w:pPr>
        <w:pStyle w:val="BodyText"/>
      </w:pPr>
      <w:r>
        <w:t>The Corporation's Treasury Management Policy manages financial risk by:</w:t>
      </w:r>
    </w:p>
    <w:p w14:paraId="6EA8D804" w14:textId="644FE582" w:rsidR="00B52171" w:rsidRDefault="00B52171" w:rsidP="00C778D6">
      <w:pPr>
        <w:pStyle w:val="ListBullet"/>
      </w:pPr>
      <w:r>
        <w:t>managing the financial risks arising from the regulatory price determination process, specifically the mismatch between the regulator’s revenue allowance for debt costs and actual debt costs throughout the regulatory period</w:t>
      </w:r>
    </w:p>
    <w:p w14:paraId="22555421" w14:textId="2954E2DD" w:rsidR="00B52171" w:rsidRDefault="00B52171" w:rsidP="00B52171">
      <w:pPr>
        <w:pStyle w:val="ListBullet"/>
      </w:pPr>
      <w:r>
        <w:t>actively managing liquidity and funding risk</w:t>
      </w:r>
    </w:p>
    <w:p w14:paraId="3E8943C4" w14:textId="77777777" w:rsidR="00B52171" w:rsidRDefault="00B52171" w:rsidP="00B52171">
      <w:pPr>
        <w:pStyle w:val="BodyText"/>
      </w:pPr>
      <w:r>
        <w:lastRenderedPageBreak/>
        <w:t>The following are the key measures used to manage financial risk:</w:t>
      </w:r>
    </w:p>
    <w:p w14:paraId="06E5545F" w14:textId="706E1201" w:rsidR="00B52171" w:rsidRDefault="00B52171" w:rsidP="00B52171">
      <w:pPr>
        <w:pStyle w:val="BodyText"/>
      </w:pPr>
      <w:r w:rsidRPr="00B52171">
        <w:rPr>
          <w:rStyle w:val="Bold"/>
        </w:rPr>
        <w:t>Portfolio composition (that is, fixed and floating)</w:t>
      </w:r>
      <w:r>
        <w:t xml:space="preserve"> – During the 2020-21 financial year, the Corporation reviewed its Treasury Management Policy and have made no changes from the prior year bands by which it manages its debt portfolio:</w:t>
      </w:r>
    </w:p>
    <w:p w14:paraId="26E2787C" w14:textId="47B24434" w:rsidR="00B52171" w:rsidRDefault="00B52171" w:rsidP="00B52171">
      <w:pPr>
        <w:pStyle w:val="BodyText"/>
        <w:tabs>
          <w:tab w:val="left" w:pos="3969"/>
        </w:tabs>
      </w:pPr>
      <w:r>
        <w:t>Floating interest rate borrowings</w:t>
      </w:r>
      <w:r>
        <w:tab/>
        <w:t>0-30%</w:t>
      </w:r>
    </w:p>
    <w:p w14:paraId="5934FAD2" w14:textId="454680A2" w:rsidR="00B52171" w:rsidRDefault="00B52171" w:rsidP="00B52171">
      <w:pPr>
        <w:pStyle w:val="BodyText"/>
        <w:tabs>
          <w:tab w:val="left" w:pos="3969"/>
        </w:tabs>
      </w:pPr>
      <w:r>
        <w:t>Fixed interest rate borrowings</w:t>
      </w:r>
      <w:r>
        <w:tab/>
        <w:t>70-100%</w:t>
      </w:r>
    </w:p>
    <w:p w14:paraId="3FB24564" w14:textId="3562DBD0" w:rsidR="00B52171" w:rsidRDefault="00B52171" w:rsidP="00B52171">
      <w:pPr>
        <w:pStyle w:val="BodyText"/>
      </w:pPr>
      <w:r w:rsidRPr="00B52171">
        <w:rPr>
          <w:rStyle w:val="Bold"/>
        </w:rPr>
        <w:t xml:space="preserve">Physical maturity profile </w:t>
      </w:r>
      <w:r>
        <w:t>– Debt maturity of fixed and floating rate notes is not to exceed 15 per cent of the total debt portfolio in any financial year.</w:t>
      </w:r>
    </w:p>
    <w:p w14:paraId="7D699CF3" w14:textId="723C85E1" w:rsidR="00B52171" w:rsidRDefault="00B52171" w:rsidP="00B52171">
      <w:pPr>
        <w:pStyle w:val="BodyText"/>
      </w:pPr>
      <w:r w:rsidRPr="00B52171">
        <w:rPr>
          <w:rStyle w:val="Bold"/>
        </w:rPr>
        <w:t>Interest rate risk profile</w:t>
      </w:r>
      <w:r>
        <w:t xml:space="preserve"> – Interest Rate Swaps and Forward Rate Agreements are used to mitigate the risk from adverse interest rate increases where the actual interest rates paid to finance debt are at risk of being higher than the debt allowance received in revenue to finance debt. The Corporation's goal is to align the actual interest rate risk profile to the profile used by the Essential Services Commission (ESC) in setting our revenue.</w:t>
      </w:r>
    </w:p>
    <w:p w14:paraId="4031D84A" w14:textId="543841B9" w:rsidR="00B52171" w:rsidRDefault="00B52171" w:rsidP="00B52171">
      <w:pPr>
        <w:pStyle w:val="BodyText"/>
      </w:pPr>
      <w:r>
        <w:t xml:space="preserve">Aligning the interest rate repricing profile of the debt portfolio with the annual regulatory weighted average cost of capital (WACC) reset based on the 10-year trailing average approach used by the </w:t>
      </w:r>
      <w:r w:rsidR="00965CBF">
        <w:t>Essential Services Commission</w:t>
      </w:r>
      <w:r>
        <w:t xml:space="preserve"> to determine revenue aims to reduce the regulatory interest rate mismatch risk. The Corporation also aims to align the modified duration of its debt portfolio in line with the regulatory benchmark portfolio.</w:t>
      </w:r>
    </w:p>
    <w:p w14:paraId="395BF505" w14:textId="74255492" w:rsidR="00B52171" w:rsidRDefault="00B52171" w:rsidP="00B52171">
      <w:pPr>
        <w:pStyle w:val="BodyText"/>
      </w:pPr>
      <w:r w:rsidRPr="00B52171">
        <w:rPr>
          <w:rStyle w:val="Bold"/>
        </w:rPr>
        <w:t>Financing arrangements</w:t>
      </w:r>
      <w:r>
        <w:t xml:space="preserve"> – The capacity to borrow funds and manage the associated risks is subject to the provisions of the </w:t>
      </w:r>
      <w:r w:rsidRPr="00B52171">
        <w:rPr>
          <w:rStyle w:val="ItalicText"/>
        </w:rPr>
        <w:t>Borrowing and Investment Powers Act 1987</w:t>
      </w:r>
      <w:r>
        <w:t>. In accordance with this Act, the Treasurer of Victoria issues an annual approval, permitting new borrowings and the refinancing of all loan maturities for that year and non-maturing loans upon request. All funding is sourced from the Treasury Corporation of Victoria (TCV).</w:t>
      </w:r>
    </w:p>
    <w:p w14:paraId="6FFFB8DA" w14:textId="592F9FFD" w:rsidR="00B52171" w:rsidRDefault="00B52171" w:rsidP="00B52171">
      <w:pPr>
        <w:pStyle w:val="BodyText"/>
      </w:pPr>
      <w:r>
        <w:t>The Corporation's total approved maximum borrowing limit for 2020-21 of $4,468.8 million (2019-20: $4,383.0 million) was not exceeded at any stage throughout the financial year.</w:t>
      </w:r>
    </w:p>
    <w:p w14:paraId="10D0753E" w14:textId="2839E8D3" w:rsidR="00B52171" w:rsidRDefault="00B52171" w:rsidP="00B52171">
      <w:pPr>
        <w:pStyle w:val="BodyText"/>
      </w:pPr>
      <w:r w:rsidRPr="00B52171">
        <w:rPr>
          <w:rStyle w:val="Bold"/>
        </w:rPr>
        <w:t>Capital management</w:t>
      </w:r>
      <w:r>
        <w:t xml:space="preserve"> – The Corporation manages its finances in order to maintain a stable and appropriate capital structure given the financial risk profile and the regulated nature of its business. The Corporation’s aim is to maintain credit metrics consistent with an investment grade long-term corporate credit rating.</w:t>
      </w:r>
    </w:p>
    <w:p w14:paraId="1D9C7437" w14:textId="74883823" w:rsidR="00B52171" w:rsidRDefault="00B52171" w:rsidP="00B52171">
      <w:pPr>
        <w:pStyle w:val="BodyText"/>
      </w:pPr>
      <w:r>
        <w:t>The Corporation has the following externally imposed limits in relation to capital management:</w:t>
      </w:r>
    </w:p>
    <w:p w14:paraId="03162752" w14:textId="7980B3C0" w:rsidR="00B52171" w:rsidRDefault="00B52171" w:rsidP="00C778D6">
      <w:pPr>
        <w:pStyle w:val="ListBullet"/>
      </w:pPr>
      <w:r>
        <w:t xml:space="preserve">financial accommodation cannot exceed the approval limits set by the Treasurer of Victoria pursuant to the </w:t>
      </w:r>
      <w:r w:rsidRPr="00B52171">
        <w:rPr>
          <w:rStyle w:val="ItalicText"/>
        </w:rPr>
        <w:t>Borrowing and Investment Powers Act 1987</w:t>
      </w:r>
    </w:p>
    <w:p w14:paraId="17503B1A" w14:textId="407AB448" w:rsidR="00B52171" w:rsidRDefault="00B52171" w:rsidP="00C778D6">
      <w:pPr>
        <w:pStyle w:val="ListBullet"/>
      </w:pPr>
      <w:r>
        <w:t xml:space="preserve">the Corporation, with the exception of working capital accounts with overdraft facilities, is required to borrow and invest exclusively with </w:t>
      </w:r>
      <w:r w:rsidR="00DC0A06">
        <w:t>Treasury Corporation of Victoria</w:t>
      </w:r>
      <w:r>
        <w:t>.</w:t>
      </w:r>
    </w:p>
    <w:p w14:paraId="75B5A6A8" w14:textId="6C0B63A6" w:rsidR="00B52171" w:rsidRDefault="00B52171" w:rsidP="00B52171">
      <w:pPr>
        <w:pStyle w:val="BodyText"/>
      </w:pPr>
      <w:r>
        <w:t>The Corporation's gearing ratio (Total Debt/Total Assets) at</w:t>
      </w:r>
      <w:r w:rsidR="00D4236C">
        <w:t xml:space="preserve"> </w:t>
      </w:r>
      <w:r>
        <w:t>30 June 2021 was 50.1 per cent (2019-20: 50.8 per cent) and</w:t>
      </w:r>
      <w:r w:rsidR="00D4236C">
        <w:t xml:space="preserve"> </w:t>
      </w:r>
      <w:r>
        <w:t>interest cover cash ratio was 2.2 times (2019-20: 2.2 times).</w:t>
      </w:r>
    </w:p>
    <w:p w14:paraId="3C1E3EB2" w14:textId="4498F049" w:rsidR="00B52171" w:rsidRDefault="00B52171" w:rsidP="00B52171">
      <w:pPr>
        <w:pStyle w:val="BodyText"/>
      </w:pPr>
      <w:r>
        <w:t>Gearing and interest cover ratios are some of a number of</w:t>
      </w:r>
      <w:r w:rsidR="00D4236C">
        <w:t xml:space="preserve"> </w:t>
      </w:r>
      <w:r>
        <w:t>benchmarks that are considered by the Board when considering</w:t>
      </w:r>
      <w:r w:rsidR="00D4236C">
        <w:t xml:space="preserve"> </w:t>
      </w:r>
      <w:r>
        <w:t>an appropriate capital structure. These ratios are approved via</w:t>
      </w:r>
      <w:r w:rsidR="00D4236C">
        <w:t xml:space="preserve"> </w:t>
      </w:r>
      <w:r>
        <w:t xml:space="preserve">the </w:t>
      </w:r>
      <w:r w:rsidRPr="00D4236C">
        <w:rPr>
          <w:rStyle w:val="ItalicText"/>
        </w:rPr>
        <w:t>Corporate Plan</w:t>
      </w:r>
      <w:r>
        <w:t>.</w:t>
      </w:r>
    </w:p>
    <w:p w14:paraId="1D61D9E4" w14:textId="77777777" w:rsidR="00D4236C" w:rsidRDefault="00D4236C" w:rsidP="003B2899">
      <w:pPr>
        <w:pStyle w:val="Heading4"/>
      </w:pPr>
      <w:r>
        <w:lastRenderedPageBreak/>
        <w:t>6.1.1 Interest rate risk</w:t>
      </w:r>
    </w:p>
    <w:p w14:paraId="3A46FDCE" w14:textId="4DF0BF24" w:rsidR="00D4236C" w:rsidRPr="00B4513B" w:rsidRDefault="00D4236C" w:rsidP="003B2899">
      <w:pPr>
        <w:pStyle w:val="BodyText"/>
        <w:keepNext/>
        <w:rPr>
          <w:rStyle w:val="Bold"/>
        </w:rPr>
      </w:pPr>
      <w:r w:rsidRPr="00B4513B">
        <w:rPr>
          <w:rStyle w:val="Bold"/>
        </w:rPr>
        <w:t>Interest rate exposure as at 30 June 2021</w:t>
      </w:r>
    </w:p>
    <w:tbl>
      <w:tblPr>
        <w:tblStyle w:val="Style1"/>
        <w:tblW w:w="5000" w:type="pct"/>
        <w:tblLayout w:type="fixed"/>
        <w:tblLook w:val="04A0" w:firstRow="1" w:lastRow="0" w:firstColumn="1" w:lastColumn="0" w:noHBand="0" w:noVBand="1"/>
      </w:tblPr>
      <w:tblGrid>
        <w:gridCol w:w="2268"/>
        <w:gridCol w:w="1561"/>
        <w:gridCol w:w="1558"/>
        <w:gridCol w:w="1418"/>
        <w:gridCol w:w="1422"/>
        <w:gridCol w:w="1404"/>
      </w:tblGrid>
      <w:tr w:rsidR="00B4513B" w:rsidRPr="00D55981" w14:paraId="11E60616" w14:textId="6AD2AB28"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vAlign w:val="bottom"/>
          </w:tcPr>
          <w:p w14:paraId="29DFF6D6" w14:textId="7B9EEB78" w:rsidR="00B4513B" w:rsidRPr="00D55981" w:rsidRDefault="00B4513B" w:rsidP="00D55981">
            <w:bookmarkStart w:id="1124" w:name="ColumnTitle_86"/>
            <w:r w:rsidRPr="00D55981">
              <w:t>Item</w:t>
            </w:r>
          </w:p>
        </w:tc>
        <w:tc>
          <w:tcPr>
            <w:tcW w:w="810" w:type="pct"/>
            <w:tcBorders>
              <w:top w:val="single" w:sz="4" w:space="0" w:color="auto"/>
            </w:tcBorders>
            <w:vAlign w:val="bottom"/>
          </w:tcPr>
          <w:p w14:paraId="2B3C9C9E" w14:textId="1028EDEC"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Weighted</w:t>
            </w:r>
            <w:r w:rsidR="00D55981">
              <w:t xml:space="preserve"> </w:t>
            </w:r>
            <w:r w:rsidRPr="00D55981">
              <w:t>average</w:t>
            </w:r>
          </w:p>
          <w:p w14:paraId="0FCDCA23" w14:textId="2298B81D"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 thousands)</w:t>
            </w:r>
          </w:p>
        </w:tc>
        <w:tc>
          <w:tcPr>
            <w:tcW w:w="809" w:type="pct"/>
            <w:tcBorders>
              <w:top w:val="single" w:sz="4" w:space="0" w:color="auto"/>
            </w:tcBorders>
            <w:vAlign w:val="bottom"/>
          </w:tcPr>
          <w:p w14:paraId="41A45F64" w14:textId="55D54463"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Floating</w:t>
            </w:r>
            <w:r w:rsidR="00D55981">
              <w:t xml:space="preserve"> </w:t>
            </w:r>
            <w:r w:rsidRPr="00D55981">
              <w:t>interest</w:t>
            </w:r>
          </w:p>
          <w:p w14:paraId="14EA683B" w14:textId="63529C86"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 thousands)</w:t>
            </w:r>
          </w:p>
        </w:tc>
        <w:tc>
          <w:tcPr>
            <w:tcW w:w="736" w:type="pct"/>
            <w:tcBorders>
              <w:top w:val="single" w:sz="4" w:space="0" w:color="auto"/>
            </w:tcBorders>
            <w:vAlign w:val="bottom"/>
          </w:tcPr>
          <w:p w14:paraId="17C4692F" w14:textId="75232E53"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Fixed</w:t>
            </w:r>
            <w:r w:rsidR="00D55981">
              <w:t xml:space="preserve"> </w:t>
            </w:r>
            <w:r w:rsidRPr="00D55981">
              <w:t>interest</w:t>
            </w:r>
          </w:p>
          <w:p w14:paraId="65C76D96" w14:textId="3767DB08"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 thousands)</w:t>
            </w:r>
          </w:p>
        </w:tc>
        <w:tc>
          <w:tcPr>
            <w:tcW w:w="738" w:type="pct"/>
            <w:tcBorders>
              <w:top w:val="single" w:sz="4" w:space="0" w:color="auto"/>
            </w:tcBorders>
            <w:vAlign w:val="bottom"/>
          </w:tcPr>
          <w:p w14:paraId="1DB71F45" w14:textId="533FA907"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Non-interest</w:t>
            </w:r>
            <w:r w:rsidR="00D55981">
              <w:t xml:space="preserve"> </w:t>
            </w:r>
            <w:r w:rsidRPr="00D55981">
              <w:t>bearing</w:t>
            </w:r>
          </w:p>
          <w:p w14:paraId="328ACCF8" w14:textId="04B91C08"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 thousands)</w:t>
            </w:r>
          </w:p>
        </w:tc>
        <w:tc>
          <w:tcPr>
            <w:tcW w:w="729" w:type="pct"/>
            <w:tcBorders>
              <w:top w:val="single" w:sz="4" w:space="0" w:color="auto"/>
            </w:tcBorders>
            <w:vAlign w:val="bottom"/>
          </w:tcPr>
          <w:p w14:paraId="12301618" w14:textId="1454C0C1"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Total</w:t>
            </w:r>
            <w:r w:rsidR="00D55981">
              <w:t xml:space="preserve"> </w:t>
            </w:r>
            <w:r w:rsidRPr="00D55981">
              <w:t>carrying</w:t>
            </w:r>
            <w:r w:rsidR="00D55981">
              <w:t xml:space="preserve"> </w:t>
            </w:r>
            <w:r w:rsidRPr="00D55981">
              <w:t>amount</w:t>
            </w:r>
          </w:p>
          <w:p w14:paraId="2EFCFCB1" w14:textId="5BABCAA9" w:rsidR="00B4513B" w:rsidRPr="00D55981" w:rsidRDefault="00B4513B" w:rsidP="00D55981">
            <w:pPr>
              <w:cnfStyle w:val="100000000000" w:firstRow="1" w:lastRow="0" w:firstColumn="0" w:lastColumn="0" w:oddVBand="0" w:evenVBand="0" w:oddHBand="0" w:evenHBand="0" w:firstRowFirstColumn="0" w:firstRowLastColumn="0" w:lastRowFirstColumn="0" w:lastRowLastColumn="0"/>
            </w:pPr>
            <w:r w:rsidRPr="00D55981">
              <w:t>($ thousands)</w:t>
            </w:r>
          </w:p>
        </w:tc>
      </w:tr>
      <w:bookmarkEnd w:id="1124"/>
      <w:tr w:rsidR="00B4513B" w:rsidRPr="00300324" w14:paraId="42AB4B84" w14:textId="00645AA3"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4084321D" w14:textId="77777777" w:rsidR="00B4513B" w:rsidRPr="00B52171" w:rsidRDefault="00B4513B" w:rsidP="00D55981">
            <w:pPr>
              <w:pStyle w:val="TableBodyText"/>
              <w:rPr>
                <w:rStyle w:val="Bold"/>
              </w:rPr>
            </w:pPr>
            <w:r w:rsidRPr="00B52171">
              <w:rPr>
                <w:rStyle w:val="Bold"/>
              </w:rPr>
              <w:t>Financial assets</w:t>
            </w:r>
          </w:p>
        </w:tc>
        <w:tc>
          <w:tcPr>
            <w:tcW w:w="810" w:type="pct"/>
          </w:tcPr>
          <w:p w14:paraId="45C05926" w14:textId="736C29DD"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Pr>
          <w:p w14:paraId="303F1D07" w14:textId="546B2ABC"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2A835E40" w14:textId="1D5DBD97"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0CC37D51" w14:textId="77777777"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tcPr>
          <w:p w14:paraId="24F5D7F0" w14:textId="1516C18B"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r>
      <w:tr w:rsidR="00B4513B" w:rsidRPr="00300324" w14:paraId="109BD17C" w14:textId="787D766B"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407CDE8B" w14:textId="77777777" w:rsidR="00B4513B" w:rsidRDefault="00B4513B" w:rsidP="00D55981">
            <w:pPr>
              <w:pStyle w:val="TableBodyText"/>
            </w:pPr>
            <w:r>
              <w:t>Cash and cash equivalents</w:t>
            </w:r>
          </w:p>
        </w:tc>
        <w:tc>
          <w:tcPr>
            <w:tcW w:w="810" w:type="pct"/>
            <w:vAlign w:val="top"/>
          </w:tcPr>
          <w:p w14:paraId="11E09E04" w14:textId="294E62D1"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0.29%</w:t>
            </w:r>
          </w:p>
        </w:tc>
        <w:tc>
          <w:tcPr>
            <w:tcW w:w="809" w:type="pct"/>
            <w:vAlign w:val="top"/>
          </w:tcPr>
          <w:p w14:paraId="1C923F8C" w14:textId="70DFE04E"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3,703</w:t>
            </w:r>
          </w:p>
        </w:tc>
        <w:tc>
          <w:tcPr>
            <w:tcW w:w="736" w:type="pct"/>
            <w:vAlign w:val="top"/>
          </w:tcPr>
          <w:p w14:paraId="1172614D" w14:textId="74FF12BA"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6C0B828A" w14:textId="0C83DEC2"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0034D70B" w14:textId="151F69D4"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3,703</w:t>
            </w:r>
          </w:p>
        </w:tc>
      </w:tr>
      <w:tr w:rsidR="00B4513B" w:rsidRPr="00300324" w14:paraId="50CF9FC5" w14:textId="30E103D8"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44C04482" w14:textId="77777777" w:rsidR="00B4513B" w:rsidRDefault="00B4513B" w:rsidP="00D55981">
            <w:pPr>
              <w:pStyle w:val="TableBodyText"/>
            </w:pPr>
            <w:r>
              <w:t>Trade debtors</w:t>
            </w:r>
          </w:p>
        </w:tc>
        <w:tc>
          <w:tcPr>
            <w:tcW w:w="810" w:type="pct"/>
            <w:vAlign w:val="top"/>
          </w:tcPr>
          <w:p w14:paraId="11AAF323" w14:textId="742A0435"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6240E86B" w14:textId="475211D6"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1F110D7D" w14:textId="0358BEEB"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6C3F3B37" w14:textId="2D0D7D66"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43,707</w:t>
            </w:r>
          </w:p>
        </w:tc>
        <w:tc>
          <w:tcPr>
            <w:tcW w:w="729" w:type="pct"/>
            <w:vAlign w:val="top"/>
          </w:tcPr>
          <w:p w14:paraId="435D3EA3" w14:textId="68F507E1"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43,707</w:t>
            </w:r>
          </w:p>
        </w:tc>
      </w:tr>
      <w:tr w:rsidR="00B4513B" w:rsidRPr="00300324" w14:paraId="2B780405" w14:textId="013D5B3F" w:rsidTr="00B4513B">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vAlign w:val="top"/>
          </w:tcPr>
          <w:p w14:paraId="48312CE5" w14:textId="77777777" w:rsidR="00B4513B" w:rsidRDefault="00B4513B" w:rsidP="00D55981">
            <w:pPr>
              <w:pStyle w:val="TableBodyText"/>
            </w:pPr>
            <w:r>
              <w:t>Other receivables</w:t>
            </w:r>
          </w:p>
        </w:tc>
        <w:tc>
          <w:tcPr>
            <w:tcW w:w="810" w:type="pct"/>
            <w:tcBorders>
              <w:bottom w:val="single" w:sz="4" w:space="0" w:color="auto"/>
            </w:tcBorders>
            <w:vAlign w:val="top"/>
          </w:tcPr>
          <w:p w14:paraId="065D4BC6" w14:textId="00AD0111"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tcBorders>
              <w:bottom w:val="single" w:sz="4" w:space="0" w:color="auto"/>
            </w:tcBorders>
            <w:vAlign w:val="top"/>
          </w:tcPr>
          <w:p w14:paraId="5F1606F1" w14:textId="478F8560"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Borders>
              <w:bottom w:val="single" w:sz="4" w:space="0" w:color="auto"/>
            </w:tcBorders>
            <w:vAlign w:val="top"/>
          </w:tcPr>
          <w:p w14:paraId="21942F5A" w14:textId="3F530549"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tcBorders>
              <w:bottom w:val="single" w:sz="4" w:space="0" w:color="auto"/>
            </w:tcBorders>
            <w:vAlign w:val="top"/>
          </w:tcPr>
          <w:p w14:paraId="4CE94139" w14:textId="0EBE66F3"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42,673</w:t>
            </w:r>
          </w:p>
        </w:tc>
        <w:tc>
          <w:tcPr>
            <w:tcW w:w="729" w:type="pct"/>
            <w:tcBorders>
              <w:bottom w:val="single" w:sz="4" w:space="0" w:color="auto"/>
            </w:tcBorders>
            <w:vAlign w:val="top"/>
          </w:tcPr>
          <w:p w14:paraId="29E23277" w14:textId="53A2E3AE"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42,673</w:t>
            </w:r>
          </w:p>
        </w:tc>
      </w:tr>
      <w:tr w:rsidR="00B4513B" w:rsidRPr="006035FB" w14:paraId="5828A92C" w14:textId="6B855E2B" w:rsidTr="00B4513B">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vAlign w:val="top"/>
          </w:tcPr>
          <w:p w14:paraId="363F0544" w14:textId="77777777" w:rsidR="00B4513B" w:rsidRPr="006035FB" w:rsidRDefault="00B4513B" w:rsidP="00D55981">
            <w:pPr>
              <w:pStyle w:val="TableBodyText"/>
              <w:rPr>
                <w:rStyle w:val="Bold"/>
              </w:rPr>
            </w:pPr>
            <w:r w:rsidRPr="006035FB">
              <w:rPr>
                <w:rStyle w:val="Bold"/>
              </w:rPr>
              <w:t>Total financial assets</w:t>
            </w:r>
          </w:p>
        </w:tc>
        <w:tc>
          <w:tcPr>
            <w:tcW w:w="810" w:type="pct"/>
            <w:tcBorders>
              <w:top w:val="single" w:sz="4" w:space="0" w:color="auto"/>
            </w:tcBorders>
            <w:vAlign w:val="top"/>
          </w:tcPr>
          <w:p w14:paraId="11E19AF4" w14:textId="196F6C73" w:rsidR="00B4513B" w:rsidRPr="006035F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t>N/A</w:t>
            </w:r>
          </w:p>
        </w:tc>
        <w:tc>
          <w:tcPr>
            <w:tcW w:w="809" w:type="pct"/>
            <w:tcBorders>
              <w:top w:val="single" w:sz="4" w:space="0" w:color="auto"/>
            </w:tcBorders>
            <w:vAlign w:val="top"/>
          </w:tcPr>
          <w:p w14:paraId="4DE5C3EF" w14:textId="41DFA51D" w:rsidR="00B4513B" w:rsidRPr="006035F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3,703</w:t>
            </w:r>
          </w:p>
        </w:tc>
        <w:tc>
          <w:tcPr>
            <w:tcW w:w="736" w:type="pct"/>
            <w:tcBorders>
              <w:top w:val="single" w:sz="4" w:space="0" w:color="auto"/>
            </w:tcBorders>
            <w:vAlign w:val="top"/>
          </w:tcPr>
          <w:p w14:paraId="2AB9C630" w14:textId="7C7099DB" w:rsidR="00B4513B" w:rsidRPr="006035F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t>N/A</w:t>
            </w:r>
          </w:p>
        </w:tc>
        <w:tc>
          <w:tcPr>
            <w:tcW w:w="738" w:type="pct"/>
            <w:tcBorders>
              <w:top w:val="single" w:sz="4" w:space="0" w:color="auto"/>
            </w:tcBorders>
            <w:vAlign w:val="top"/>
          </w:tcPr>
          <w:p w14:paraId="33F4FA07" w14:textId="447B346A" w:rsidR="00B4513B" w:rsidRPr="006035F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86,380</w:t>
            </w:r>
          </w:p>
        </w:tc>
        <w:tc>
          <w:tcPr>
            <w:tcW w:w="729" w:type="pct"/>
            <w:tcBorders>
              <w:top w:val="single" w:sz="4" w:space="0" w:color="auto"/>
            </w:tcBorders>
            <w:vAlign w:val="top"/>
          </w:tcPr>
          <w:p w14:paraId="767A7E58" w14:textId="05FE558B" w:rsidR="00B4513B" w:rsidRPr="006035F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90,083</w:t>
            </w:r>
          </w:p>
        </w:tc>
      </w:tr>
      <w:tr w:rsidR="00B4513B" w:rsidRPr="00300324" w14:paraId="27777CCD" w14:textId="0106CF8C"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2AEED387" w14:textId="77777777" w:rsidR="00B4513B" w:rsidRPr="006035FB" w:rsidRDefault="00B4513B" w:rsidP="00D55981">
            <w:pPr>
              <w:pStyle w:val="TableBodyText"/>
              <w:rPr>
                <w:rStyle w:val="Bold"/>
              </w:rPr>
            </w:pPr>
            <w:r w:rsidRPr="006035FB">
              <w:rPr>
                <w:rStyle w:val="Bold"/>
              </w:rPr>
              <w:t>Financial liabilities</w:t>
            </w:r>
          </w:p>
        </w:tc>
        <w:tc>
          <w:tcPr>
            <w:tcW w:w="810" w:type="pct"/>
            <w:vAlign w:val="top"/>
          </w:tcPr>
          <w:p w14:paraId="06D9F219" w14:textId="41621C8F"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3940C68A" w14:textId="2EB6976F"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2735B404" w14:textId="27927936"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5247CC5A" w14:textId="77777777" w:rsidR="00B4513B" w:rsidRDefault="00B4513B"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7D54D797" w14:textId="6271E415"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r>
      <w:tr w:rsidR="00B4513B" w:rsidRPr="00300324" w14:paraId="61A13119" w14:textId="2FBCC401"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2DFB91BA" w14:textId="77777777" w:rsidR="00B4513B" w:rsidRDefault="00B4513B" w:rsidP="00D55981">
            <w:pPr>
              <w:pStyle w:val="TableBodyText"/>
            </w:pPr>
            <w:r>
              <w:t>Payables</w:t>
            </w:r>
          </w:p>
        </w:tc>
        <w:tc>
          <w:tcPr>
            <w:tcW w:w="810" w:type="pct"/>
            <w:vAlign w:val="top"/>
          </w:tcPr>
          <w:p w14:paraId="383817BD" w14:textId="05B3533D"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7483242C" w14:textId="3D4D4E6C"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27124A77" w14:textId="7C119108"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03BF6C0F" w14:textId="694237D4"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361,350</w:t>
            </w:r>
          </w:p>
        </w:tc>
        <w:tc>
          <w:tcPr>
            <w:tcW w:w="729" w:type="pct"/>
            <w:vAlign w:val="top"/>
          </w:tcPr>
          <w:p w14:paraId="77B83519" w14:textId="6D892516"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361,350</w:t>
            </w:r>
          </w:p>
        </w:tc>
      </w:tr>
      <w:tr w:rsidR="00B4513B" w:rsidRPr="00300324" w14:paraId="7B2B1EA0" w14:textId="340462DE"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7FE56804" w14:textId="14DE52F3" w:rsidR="00735F7D" w:rsidRDefault="00DC0A06" w:rsidP="00D55981">
            <w:pPr>
              <w:pStyle w:val="TableBodyText"/>
            </w:pPr>
            <w:r>
              <w:t>Victorian Desalination Plant</w:t>
            </w:r>
            <w:r w:rsidR="00B4513B">
              <w:t xml:space="preserve"> service concession liability</w:t>
            </w:r>
            <w:r w:rsidR="00735F7D">
              <w:t xml:space="preserve"> </w:t>
            </w:r>
            <w:hyperlink w:anchor="NoteTable611" w:history="1">
              <w:r w:rsidR="00735F7D" w:rsidRPr="00735F7D">
                <w:rPr>
                  <w:rStyle w:val="Hyperlink"/>
                </w:rPr>
                <w:t>refer note</w:t>
              </w:r>
            </w:hyperlink>
          </w:p>
        </w:tc>
        <w:tc>
          <w:tcPr>
            <w:tcW w:w="810" w:type="pct"/>
            <w:vAlign w:val="top"/>
          </w:tcPr>
          <w:p w14:paraId="5C7265F7" w14:textId="44680C8E"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11.28%</w:t>
            </w:r>
          </w:p>
        </w:tc>
        <w:tc>
          <w:tcPr>
            <w:tcW w:w="809" w:type="pct"/>
            <w:vAlign w:val="top"/>
          </w:tcPr>
          <w:p w14:paraId="5B3388A7" w14:textId="51B45A17"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1ED45CCA" w14:textId="33B0DAAB"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3,564,921</w:t>
            </w:r>
          </w:p>
        </w:tc>
        <w:tc>
          <w:tcPr>
            <w:tcW w:w="738" w:type="pct"/>
            <w:vAlign w:val="top"/>
          </w:tcPr>
          <w:p w14:paraId="53F86442" w14:textId="3A5739A3"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2751A54F" w14:textId="0E10C00D"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3,564,921</w:t>
            </w:r>
          </w:p>
        </w:tc>
      </w:tr>
      <w:tr w:rsidR="00B4513B" w:rsidRPr="00300324" w14:paraId="18FF3751" w14:textId="119E4A24"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4042DA7C" w14:textId="77777777" w:rsidR="00B4513B" w:rsidRDefault="00B4513B" w:rsidP="00D55981">
            <w:pPr>
              <w:pStyle w:val="TableBodyText"/>
            </w:pPr>
            <w:r>
              <w:t>Lease liabilities</w:t>
            </w:r>
          </w:p>
        </w:tc>
        <w:tc>
          <w:tcPr>
            <w:tcW w:w="810" w:type="pct"/>
            <w:vAlign w:val="top"/>
          </w:tcPr>
          <w:p w14:paraId="40330110" w14:textId="24FA5F43"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2.29%</w:t>
            </w:r>
          </w:p>
        </w:tc>
        <w:tc>
          <w:tcPr>
            <w:tcW w:w="809" w:type="pct"/>
            <w:vAlign w:val="top"/>
          </w:tcPr>
          <w:p w14:paraId="5FB3FA4A" w14:textId="175175D2"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5FC49259" w14:textId="04266CCC"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50,892</w:t>
            </w:r>
          </w:p>
        </w:tc>
        <w:tc>
          <w:tcPr>
            <w:tcW w:w="738" w:type="pct"/>
            <w:vAlign w:val="top"/>
          </w:tcPr>
          <w:p w14:paraId="132F4F3B" w14:textId="10D65E72"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008EF04B" w14:textId="60C4035D"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50,892</w:t>
            </w:r>
          </w:p>
        </w:tc>
      </w:tr>
      <w:tr w:rsidR="00B4513B" w:rsidRPr="00807157" w14:paraId="7CF49072" w14:textId="73EA3017"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11F9F0B3" w14:textId="77777777" w:rsidR="00B4513B" w:rsidRPr="00807157" w:rsidRDefault="00B4513B" w:rsidP="00D55981">
            <w:pPr>
              <w:pStyle w:val="TableBodyText"/>
            </w:pPr>
            <w:r>
              <w:t>Short-term borrowings</w:t>
            </w:r>
          </w:p>
        </w:tc>
        <w:tc>
          <w:tcPr>
            <w:tcW w:w="810" w:type="pct"/>
            <w:vAlign w:val="top"/>
          </w:tcPr>
          <w:p w14:paraId="6B0F4847" w14:textId="3B253336"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0.27%</w:t>
            </w:r>
          </w:p>
        </w:tc>
        <w:tc>
          <w:tcPr>
            <w:tcW w:w="809" w:type="pct"/>
            <w:vAlign w:val="top"/>
          </w:tcPr>
          <w:p w14:paraId="6AF1B824" w14:textId="43FAAEA0"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66,445</w:t>
            </w:r>
          </w:p>
        </w:tc>
        <w:tc>
          <w:tcPr>
            <w:tcW w:w="736" w:type="pct"/>
            <w:vAlign w:val="top"/>
          </w:tcPr>
          <w:p w14:paraId="3C93C770" w14:textId="4FD761A5" w:rsidR="00B4513B" w:rsidRPr="00807157"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0C56E750" w14:textId="071C622F" w:rsidR="00B4513B" w:rsidRPr="00807157"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7A43CB3C" w14:textId="37B8663A" w:rsidR="00B4513B" w:rsidRDefault="00D55981" w:rsidP="00D55981">
            <w:pPr>
              <w:pStyle w:val="TableBodyText"/>
              <w:cnfStyle w:val="000000000000" w:firstRow="0" w:lastRow="0" w:firstColumn="0" w:lastColumn="0" w:oddVBand="0" w:evenVBand="0" w:oddHBand="0" w:evenHBand="0" w:firstRowFirstColumn="0" w:firstRowLastColumn="0" w:lastRowFirstColumn="0" w:lastRowLastColumn="0"/>
            </w:pPr>
            <w:r>
              <w:t>66,445</w:t>
            </w:r>
          </w:p>
        </w:tc>
      </w:tr>
      <w:tr w:rsidR="00B4513B" w:rsidRPr="00300324" w14:paraId="3C6C2188" w14:textId="19AFC185" w:rsidTr="00B4513B">
        <w:tc>
          <w:tcPr>
            <w:cnfStyle w:val="001000000000" w:firstRow="0" w:lastRow="0" w:firstColumn="1" w:lastColumn="0" w:oddVBand="0" w:evenVBand="0" w:oddHBand="0" w:evenHBand="0" w:firstRowFirstColumn="0" w:firstRowLastColumn="0" w:lastRowFirstColumn="0" w:lastRowLastColumn="0"/>
            <w:tcW w:w="1177" w:type="pct"/>
            <w:vAlign w:val="top"/>
          </w:tcPr>
          <w:p w14:paraId="4D5661F2" w14:textId="77777777" w:rsidR="00B4513B" w:rsidRDefault="00B4513B" w:rsidP="00D55981">
            <w:pPr>
              <w:pStyle w:val="TableBodyText"/>
            </w:pPr>
            <w:r>
              <w:t>Floating rates notes</w:t>
            </w:r>
          </w:p>
        </w:tc>
        <w:tc>
          <w:tcPr>
            <w:tcW w:w="810" w:type="pct"/>
            <w:vAlign w:val="top"/>
          </w:tcPr>
          <w:p w14:paraId="329E1D87" w14:textId="3B97500E"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0.24%</w:t>
            </w:r>
          </w:p>
        </w:tc>
        <w:tc>
          <w:tcPr>
            <w:tcW w:w="809" w:type="pct"/>
            <w:vAlign w:val="top"/>
          </w:tcPr>
          <w:p w14:paraId="22D858B6" w14:textId="15C9F55F"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135,000</w:t>
            </w:r>
          </w:p>
        </w:tc>
        <w:tc>
          <w:tcPr>
            <w:tcW w:w="736" w:type="pct"/>
            <w:vAlign w:val="top"/>
          </w:tcPr>
          <w:p w14:paraId="05F85690" w14:textId="22EDBFE4"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231D7708" w14:textId="061862CF"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069FC2FE" w14:textId="451C75AE"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135,000</w:t>
            </w:r>
          </w:p>
        </w:tc>
      </w:tr>
      <w:tr w:rsidR="00B4513B" w:rsidRPr="00807157" w14:paraId="108BAC72" w14:textId="425D18EC" w:rsidTr="00B4513B">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vAlign w:val="top"/>
          </w:tcPr>
          <w:p w14:paraId="1B4F3E04" w14:textId="5113CF24" w:rsidR="00B4513B" w:rsidRPr="00807157" w:rsidRDefault="00B4513B" w:rsidP="00D55981">
            <w:pPr>
              <w:pStyle w:val="TableBodyText"/>
            </w:pPr>
            <w:r w:rsidRPr="00463C24">
              <w:t>Fixe</w:t>
            </w:r>
            <w:r w:rsidR="00463C24" w:rsidRPr="00463C24">
              <w:t>d</w:t>
            </w:r>
            <w:r w:rsidRPr="00463C24">
              <w:t xml:space="preserve"> interest</w:t>
            </w:r>
          </w:p>
        </w:tc>
        <w:tc>
          <w:tcPr>
            <w:tcW w:w="810" w:type="pct"/>
            <w:tcBorders>
              <w:bottom w:val="single" w:sz="4" w:space="0" w:color="auto"/>
            </w:tcBorders>
            <w:vAlign w:val="top"/>
          </w:tcPr>
          <w:p w14:paraId="4EA9BCE3" w14:textId="4A1A93CC"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2.94%</w:t>
            </w:r>
          </w:p>
        </w:tc>
        <w:tc>
          <w:tcPr>
            <w:tcW w:w="809" w:type="pct"/>
            <w:tcBorders>
              <w:bottom w:val="single" w:sz="4" w:space="0" w:color="auto"/>
            </w:tcBorders>
            <w:vAlign w:val="top"/>
          </w:tcPr>
          <w:p w14:paraId="4398305D" w14:textId="6167B1D9"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Borders>
              <w:bottom w:val="single" w:sz="4" w:space="0" w:color="auto"/>
            </w:tcBorders>
            <w:vAlign w:val="top"/>
          </w:tcPr>
          <w:p w14:paraId="4A0AF09A" w14:textId="1949F2DF" w:rsidR="00B4513B" w:rsidRPr="00807157"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4,045,000</w:t>
            </w:r>
          </w:p>
        </w:tc>
        <w:tc>
          <w:tcPr>
            <w:tcW w:w="738" w:type="pct"/>
            <w:tcBorders>
              <w:bottom w:val="single" w:sz="4" w:space="0" w:color="auto"/>
            </w:tcBorders>
            <w:vAlign w:val="top"/>
          </w:tcPr>
          <w:p w14:paraId="20BD12EC" w14:textId="171ABEAC" w:rsidR="00B4513B" w:rsidRPr="00807157"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tcBorders>
              <w:bottom w:val="single" w:sz="4" w:space="0" w:color="auto"/>
            </w:tcBorders>
            <w:vAlign w:val="top"/>
          </w:tcPr>
          <w:p w14:paraId="0891DC19" w14:textId="534741DC"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pPr>
            <w:r>
              <w:t>4,045,000</w:t>
            </w:r>
          </w:p>
        </w:tc>
      </w:tr>
      <w:tr w:rsidR="00B4513B" w:rsidRPr="00807157" w14:paraId="54023EA7" w14:textId="04D94CC2" w:rsidTr="00B4513B">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vAlign w:val="top"/>
          </w:tcPr>
          <w:p w14:paraId="59635A8B" w14:textId="77777777" w:rsidR="00B4513B" w:rsidRPr="00807157" w:rsidRDefault="00B4513B" w:rsidP="00D55981">
            <w:pPr>
              <w:pStyle w:val="TableBodyText"/>
              <w:rPr>
                <w:rStyle w:val="Bold"/>
              </w:rPr>
            </w:pPr>
            <w:r>
              <w:rPr>
                <w:rStyle w:val="Bold"/>
              </w:rPr>
              <w:t>Total financial liabilities</w:t>
            </w:r>
          </w:p>
        </w:tc>
        <w:tc>
          <w:tcPr>
            <w:tcW w:w="810" w:type="pct"/>
            <w:tcBorders>
              <w:top w:val="single" w:sz="4" w:space="0" w:color="auto"/>
              <w:bottom w:val="single" w:sz="4" w:space="0" w:color="auto"/>
            </w:tcBorders>
            <w:vAlign w:val="top"/>
          </w:tcPr>
          <w:p w14:paraId="06F819D6" w14:textId="28235A83"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t>N/A</w:t>
            </w:r>
          </w:p>
        </w:tc>
        <w:tc>
          <w:tcPr>
            <w:tcW w:w="809" w:type="pct"/>
            <w:tcBorders>
              <w:top w:val="single" w:sz="4" w:space="0" w:color="auto"/>
              <w:bottom w:val="single" w:sz="4" w:space="0" w:color="auto"/>
            </w:tcBorders>
            <w:vAlign w:val="top"/>
          </w:tcPr>
          <w:p w14:paraId="3D3ED1F5" w14:textId="32D8CB85"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201,445</w:t>
            </w:r>
          </w:p>
        </w:tc>
        <w:tc>
          <w:tcPr>
            <w:tcW w:w="736" w:type="pct"/>
            <w:tcBorders>
              <w:top w:val="single" w:sz="4" w:space="0" w:color="auto"/>
              <w:bottom w:val="single" w:sz="4" w:space="0" w:color="auto"/>
            </w:tcBorders>
            <w:vAlign w:val="top"/>
          </w:tcPr>
          <w:p w14:paraId="53956B20" w14:textId="3924FF89" w:rsidR="00B4513B" w:rsidRPr="00807157"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7,660,813</w:t>
            </w:r>
          </w:p>
        </w:tc>
        <w:tc>
          <w:tcPr>
            <w:tcW w:w="738" w:type="pct"/>
            <w:tcBorders>
              <w:top w:val="single" w:sz="4" w:space="0" w:color="auto"/>
              <w:bottom w:val="single" w:sz="4" w:space="0" w:color="auto"/>
            </w:tcBorders>
            <w:vAlign w:val="top"/>
          </w:tcPr>
          <w:p w14:paraId="263B824B" w14:textId="32331C0C" w:rsidR="00B4513B" w:rsidRPr="00807157"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361,350</w:t>
            </w:r>
          </w:p>
        </w:tc>
        <w:tc>
          <w:tcPr>
            <w:tcW w:w="729" w:type="pct"/>
            <w:tcBorders>
              <w:top w:val="single" w:sz="4" w:space="0" w:color="auto"/>
              <w:bottom w:val="single" w:sz="4" w:space="0" w:color="auto"/>
            </w:tcBorders>
            <w:vAlign w:val="top"/>
          </w:tcPr>
          <w:p w14:paraId="1F624EC6" w14:textId="24DEC066" w:rsidR="00B4513B" w:rsidRDefault="00463C24" w:rsidP="00D55981">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8,223,608</w:t>
            </w:r>
          </w:p>
        </w:tc>
      </w:tr>
    </w:tbl>
    <w:p w14:paraId="43EE5ACD" w14:textId="59E9BD9A" w:rsidR="00B52171" w:rsidRPr="00463C24" w:rsidRDefault="00463C24" w:rsidP="003B2899">
      <w:pPr>
        <w:pStyle w:val="BodyText"/>
        <w:keepNext/>
        <w:keepLines/>
        <w:rPr>
          <w:rStyle w:val="Bold"/>
        </w:rPr>
      </w:pPr>
      <w:bookmarkStart w:id="1125" w:name="Borrowingcostsend"/>
      <w:r w:rsidRPr="00463C24">
        <w:rPr>
          <w:rStyle w:val="Bold"/>
        </w:rPr>
        <w:lastRenderedPageBreak/>
        <w:t>Interest rate exposure as at 30 June 2020</w:t>
      </w:r>
    </w:p>
    <w:tbl>
      <w:tblPr>
        <w:tblStyle w:val="Style1"/>
        <w:tblW w:w="5000" w:type="pct"/>
        <w:tblLayout w:type="fixed"/>
        <w:tblLook w:val="04A0" w:firstRow="1" w:lastRow="0" w:firstColumn="1" w:lastColumn="0" w:noHBand="0" w:noVBand="1"/>
      </w:tblPr>
      <w:tblGrid>
        <w:gridCol w:w="2268"/>
        <w:gridCol w:w="1561"/>
        <w:gridCol w:w="1558"/>
        <w:gridCol w:w="1418"/>
        <w:gridCol w:w="1422"/>
        <w:gridCol w:w="1404"/>
      </w:tblGrid>
      <w:tr w:rsidR="00463C24" w:rsidRPr="000A7743" w14:paraId="34F95B6F"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vAlign w:val="bottom"/>
          </w:tcPr>
          <w:p w14:paraId="4F506AF5" w14:textId="77777777" w:rsidR="00463C24" w:rsidRPr="000A7743" w:rsidRDefault="00463C24" w:rsidP="003B2899">
            <w:pPr>
              <w:keepNext/>
              <w:keepLines/>
            </w:pPr>
            <w:bookmarkStart w:id="1126" w:name="ColumnTitle_87"/>
            <w:bookmarkEnd w:id="1125"/>
            <w:r w:rsidRPr="000A7743">
              <w:t>Item</w:t>
            </w:r>
          </w:p>
        </w:tc>
        <w:tc>
          <w:tcPr>
            <w:tcW w:w="810" w:type="pct"/>
            <w:tcBorders>
              <w:top w:val="single" w:sz="4" w:space="0" w:color="auto"/>
            </w:tcBorders>
            <w:vAlign w:val="bottom"/>
          </w:tcPr>
          <w:p w14:paraId="12A8D1FF" w14:textId="6714B113"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Weighted</w:t>
            </w:r>
            <w:r w:rsidR="000A7743" w:rsidRPr="000A7743">
              <w:t xml:space="preserve">  a</w:t>
            </w:r>
            <w:r w:rsidRPr="000A7743">
              <w:t>verage</w:t>
            </w:r>
          </w:p>
          <w:p w14:paraId="718CDF94" w14:textId="77777777"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 thousands)</w:t>
            </w:r>
          </w:p>
        </w:tc>
        <w:tc>
          <w:tcPr>
            <w:tcW w:w="809" w:type="pct"/>
            <w:tcBorders>
              <w:top w:val="single" w:sz="4" w:space="0" w:color="auto"/>
            </w:tcBorders>
            <w:vAlign w:val="bottom"/>
          </w:tcPr>
          <w:p w14:paraId="34F1995D" w14:textId="77BFA8CC"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Floating</w:t>
            </w:r>
            <w:r w:rsidR="000A7743" w:rsidRPr="000A7743">
              <w:t xml:space="preserve"> </w:t>
            </w:r>
            <w:r w:rsidRPr="000A7743">
              <w:t>interest</w:t>
            </w:r>
          </w:p>
          <w:p w14:paraId="33955DF3" w14:textId="77777777"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 thousands)</w:t>
            </w:r>
          </w:p>
        </w:tc>
        <w:tc>
          <w:tcPr>
            <w:tcW w:w="736" w:type="pct"/>
            <w:tcBorders>
              <w:top w:val="single" w:sz="4" w:space="0" w:color="auto"/>
            </w:tcBorders>
            <w:vAlign w:val="bottom"/>
          </w:tcPr>
          <w:p w14:paraId="75DE3F7B" w14:textId="1A8CFA0D"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Fixed</w:t>
            </w:r>
            <w:r w:rsidR="000A7743" w:rsidRPr="000A7743">
              <w:t xml:space="preserve"> </w:t>
            </w:r>
            <w:r w:rsidRPr="000A7743">
              <w:t>interest</w:t>
            </w:r>
          </w:p>
          <w:p w14:paraId="6A3642E6" w14:textId="77777777"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 thousands)</w:t>
            </w:r>
          </w:p>
        </w:tc>
        <w:tc>
          <w:tcPr>
            <w:tcW w:w="738" w:type="pct"/>
            <w:tcBorders>
              <w:top w:val="single" w:sz="4" w:space="0" w:color="auto"/>
            </w:tcBorders>
            <w:vAlign w:val="bottom"/>
          </w:tcPr>
          <w:p w14:paraId="354C94D8" w14:textId="347F49D0"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Non-interest</w:t>
            </w:r>
            <w:r w:rsidR="000A7743" w:rsidRPr="000A7743">
              <w:t xml:space="preserve"> </w:t>
            </w:r>
            <w:r w:rsidRPr="000A7743">
              <w:t>bearing</w:t>
            </w:r>
          </w:p>
          <w:p w14:paraId="55F6EE5F" w14:textId="77777777"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 thousands)</w:t>
            </w:r>
          </w:p>
        </w:tc>
        <w:tc>
          <w:tcPr>
            <w:tcW w:w="729" w:type="pct"/>
            <w:tcBorders>
              <w:top w:val="single" w:sz="4" w:space="0" w:color="auto"/>
            </w:tcBorders>
            <w:vAlign w:val="bottom"/>
          </w:tcPr>
          <w:p w14:paraId="3CC89B81" w14:textId="7D716178"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Total</w:t>
            </w:r>
            <w:r w:rsidR="000A7743" w:rsidRPr="000A7743">
              <w:t xml:space="preserve"> </w:t>
            </w:r>
            <w:r w:rsidRPr="000A7743">
              <w:t>carrying</w:t>
            </w:r>
            <w:r w:rsidR="000A7743" w:rsidRPr="000A7743">
              <w:t xml:space="preserve"> </w:t>
            </w:r>
            <w:r w:rsidRPr="000A7743">
              <w:t>amount</w:t>
            </w:r>
          </w:p>
          <w:p w14:paraId="7702796E" w14:textId="77777777" w:rsidR="00463C24" w:rsidRPr="000A7743" w:rsidRDefault="00463C24" w:rsidP="003B2899">
            <w:pPr>
              <w:keepNext/>
              <w:keepLines/>
              <w:cnfStyle w:val="100000000000" w:firstRow="1" w:lastRow="0" w:firstColumn="0" w:lastColumn="0" w:oddVBand="0" w:evenVBand="0" w:oddHBand="0" w:evenHBand="0" w:firstRowFirstColumn="0" w:firstRowLastColumn="0" w:lastRowFirstColumn="0" w:lastRowLastColumn="0"/>
            </w:pPr>
            <w:r w:rsidRPr="000A7743">
              <w:t>($ thousands)</w:t>
            </w:r>
          </w:p>
        </w:tc>
      </w:tr>
      <w:bookmarkEnd w:id="1126"/>
      <w:tr w:rsidR="00463C24" w:rsidRPr="00300324" w14:paraId="71F19881"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5D358F82" w14:textId="77777777" w:rsidR="00463C24" w:rsidRPr="00B52171" w:rsidRDefault="00463C24" w:rsidP="003B2899">
            <w:pPr>
              <w:pStyle w:val="TableBodyText"/>
              <w:keepNext/>
              <w:keepLines/>
              <w:rPr>
                <w:rStyle w:val="Bold"/>
              </w:rPr>
            </w:pPr>
            <w:r w:rsidRPr="00B52171">
              <w:rPr>
                <w:rStyle w:val="Bold"/>
              </w:rPr>
              <w:t>Financial assets</w:t>
            </w:r>
          </w:p>
        </w:tc>
        <w:tc>
          <w:tcPr>
            <w:tcW w:w="810" w:type="pct"/>
            <w:vAlign w:val="top"/>
          </w:tcPr>
          <w:p w14:paraId="6ACF546D"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2EE6D083"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67D9EF41"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2EBC7D43"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101E355B"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463C24" w:rsidRPr="00300324" w14:paraId="14CF8DF6"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5C7492C2" w14:textId="77777777" w:rsidR="00463C24" w:rsidRDefault="00463C24" w:rsidP="003B2899">
            <w:pPr>
              <w:pStyle w:val="TableBodyText"/>
              <w:keepNext/>
              <w:keepLines/>
            </w:pPr>
            <w:r>
              <w:t>Cash and cash equivalents</w:t>
            </w:r>
          </w:p>
        </w:tc>
        <w:tc>
          <w:tcPr>
            <w:tcW w:w="810" w:type="pct"/>
            <w:vAlign w:val="top"/>
          </w:tcPr>
          <w:p w14:paraId="7F2F0D17" w14:textId="1AF48016"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0.65%</w:t>
            </w:r>
          </w:p>
        </w:tc>
        <w:tc>
          <w:tcPr>
            <w:tcW w:w="809" w:type="pct"/>
            <w:vAlign w:val="top"/>
          </w:tcPr>
          <w:p w14:paraId="4B162BC8" w14:textId="75653DE5"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14,324</w:t>
            </w:r>
          </w:p>
        </w:tc>
        <w:tc>
          <w:tcPr>
            <w:tcW w:w="736" w:type="pct"/>
            <w:vAlign w:val="top"/>
          </w:tcPr>
          <w:p w14:paraId="2C9A7E62"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3DEF5091"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20F291C9" w14:textId="4549646F"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14,324</w:t>
            </w:r>
          </w:p>
        </w:tc>
      </w:tr>
      <w:tr w:rsidR="00463C24" w:rsidRPr="00300324" w14:paraId="51E0E0B8"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7985C3D8" w14:textId="77777777" w:rsidR="00463C24" w:rsidRDefault="00463C24" w:rsidP="003B2899">
            <w:pPr>
              <w:pStyle w:val="TableBodyText"/>
              <w:keepNext/>
              <w:keepLines/>
            </w:pPr>
            <w:r>
              <w:t>Trade debtors</w:t>
            </w:r>
          </w:p>
        </w:tc>
        <w:tc>
          <w:tcPr>
            <w:tcW w:w="810" w:type="pct"/>
            <w:vAlign w:val="top"/>
          </w:tcPr>
          <w:p w14:paraId="1BB73F7D"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600B685D"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30AF9C57"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5C0D864D" w14:textId="36173C5B"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40,983</w:t>
            </w:r>
          </w:p>
        </w:tc>
        <w:tc>
          <w:tcPr>
            <w:tcW w:w="729" w:type="pct"/>
            <w:vAlign w:val="top"/>
          </w:tcPr>
          <w:p w14:paraId="0DE629DE" w14:textId="66158C2A"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40,983</w:t>
            </w:r>
          </w:p>
        </w:tc>
      </w:tr>
      <w:tr w:rsidR="00463C24" w:rsidRPr="00300324" w14:paraId="26D6073B" w14:textId="77777777" w:rsidTr="000A7743">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vAlign w:val="top"/>
          </w:tcPr>
          <w:p w14:paraId="3B19E017" w14:textId="77777777" w:rsidR="00463C24" w:rsidRDefault="00463C24" w:rsidP="003B2899">
            <w:pPr>
              <w:pStyle w:val="TableBodyText"/>
              <w:keepNext/>
              <w:keepLines/>
            </w:pPr>
            <w:r>
              <w:t>Other receivables</w:t>
            </w:r>
          </w:p>
        </w:tc>
        <w:tc>
          <w:tcPr>
            <w:tcW w:w="810" w:type="pct"/>
            <w:tcBorders>
              <w:bottom w:val="single" w:sz="4" w:space="0" w:color="auto"/>
            </w:tcBorders>
            <w:vAlign w:val="top"/>
          </w:tcPr>
          <w:p w14:paraId="6AB6A5C0"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9" w:type="pct"/>
            <w:tcBorders>
              <w:bottom w:val="single" w:sz="4" w:space="0" w:color="auto"/>
            </w:tcBorders>
            <w:vAlign w:val="top"/>
          </w:tcPr>
          <w:p w14:paraId="7C0196F4"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6" w:type="pct"/>
            <w:tcBorders>
              <w:bottom w:val="single" w:sz="4" w:space="0" w:color="auto"/>
            </w:tcBorders>
            <w:vAlign w:val="top"/>
          </w:tcPr>
          <w:p w14:paraId="64091788"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8" w:type="pct"/>
            <w:tcBorders>
              <w:bottom w:val="single" w:sz="4" w:space="0" w:color="auto"/>
            </w:tcBorders>
            <w:vAlign w:val="top"/>
          </w:tcPr>
          <w:p w14:paraId="4BD8B737" w14:textId="0EB01420"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47,397</w:t>
            </w:r>
          </w:p>
        </w:tc>
        <w:tc>
          <w:tcPr>
            <w:tcW w:w="729" w:type="pct"/>
            <w:tcBorders>
              <w:bottom w:val="single" w:sz="4" w:space="0" w:color="auto"/>
            </w:tcBorders>
            <w:vAlign w:val="top"/>
          </w:tcPr>
          <w:p w14:paraId="53F987A7" w14:textId="56027DF4"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47,397</w:t>
            </w:r>
          </w:p>
        </w:tc>
      </w:tr>
      <w:tr w:rsidR="00463C24" w:rsidRPr="006035FB" w14:paraId="237261FD" w14:textId="77777777" w:rsidTr="000A7743">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tcBorders>
            <w:vAlign w:val="top"/>
          </w:tcPr>
          <w:p w14:paraId="7BE03C0B" w14:textId="77777777" w:rsidR="00463C24" w:rsidRPr="006035FB" w:rsidRDefault="00463C24" w:rsidP="003B2899">
            <w:pPr>
              <w:pStyle w:val="TableBodyText"/>
              <w:keepNext/>
              <w:keepLines/>
              <w:rPr>
                <w:rStyle w:val="Bold"/>
              </w:rPr>
            </w:pPr>
            <w:r w:rsidRPr="006035FB">
              <w:rPr>
                <w:rStyle w:val="Bold"/>
              </w:rPr>
              <w:t>Total financial assets</w:t>
            </w:r>
          </w:p>
        </w:tc>
        <w:tc>
          <w:tcPr>
            <w:tcW w:w="810" w:type="pct"/>
            <w:tcBorders>
              <w:top w:val="single" w:sz="4" w:space="0" w:color="auto"/>
            </w:tcBorders>
            <w:vAlign w:val="top"/>
          </w:tcPr>
          <w:p w14:paraId="646C7B7D" w14:textId="77777777" w:rsidR="00463C24" w:rsidRPr="006035FB"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t>N/A</w:t>
            </w:r>
          </w:p>
        </w:tc>
        <w:tc>
          <w:tcPr>
            <w:tcW w:w="809" w:type="pct"/>
            <w:tcBorders>
              <w:top w:val="single" w:sz="4" w:space="0" w:color="auto"/>
            </w:tcBorders>
            <w:vAlign w:val="top"/>
          </w:tcPr>
          <w:p w14:paraId="30CA503D" w14:textId="6291A1D0" w:rsidR="00463C24" w:rsidRPr="006035FB"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Pr>
                <w:rStyle w:val="Bold"/>
              </w:rPr>
              <w:t>14,324</w:t>
            </w:r>
          </w:p>
        </w:tc>
        <w:tc>
          <w:tcPr>
            <w:tcW w:w="736" w:type="pct"/>
            <w:tcBorders>
              <w:top w:val="single" w:sz="4" w:space="0" w:color="auto"/>
            </w:tcBorders>
            <w:vAlign w:val="top"/>
          </w:tcPr>
          <w:p w14:paraId="5C75083A" w14:textId="77777777" w:rsidR="00463C24" w:rsidRPr="006035FB"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t>N/A</w:t>
            </w:r>
          </w:p>
        </w:tc>
        <w:tc>
          <w:tcPr>
            <w:tcW w:w="738" w:type="pct"/>
            <w:tcBorders>
              <w:top w:val="single" w:sz="4" w:space="0" w:color="auto"/>
            </w:tcBorders>
            <w:vAlign w:val="top"/>
          </w:tcPr>
          <w:p w14:paraId="10C991A2" w14:textId="0D5A9487" w:rsidR="00463C24" w:rsidRPr="006035FB"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Pr>
                <w:rStyle w:val="Bold"/>
              </w:rPr>
              <w:t>88,380</w:t>
            </w:r>
          </w:p>
        </w:tc>
        <w:tc>
          <w:tcPr>
            <w:tcW w:w="729" w:type="pct"/>
            <w:tcBorders>
              <w:top w:val="single" w:sz="4" w:space="0" w:color="auto"/>
            </w:tcBorders>
            <w:vAlign w:val="top"/>
          </w:tcPr>
          <w:p w14:paraId="1FE4B14C" w14:textId="28F7709A" w:rsidR="00463C24" w:rsidRPr="006035FB"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rPr>
                <w:rStyle w:val="Bold"/>
              </w:rPr>
            </w:pPr>
            <w:r>
              <w:rPr>
                <w:rStyle w:val="Bold"/>
              </w:rPr>
              <w:t>102,704</w:t>
            </w:r>
          </w:p>
        </w:tc>
      </w:tr>
      <w:tr w:rsidR="00463C24" w:rsidRPr="00300324" w14:paraId="7121FA9A"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7625F548" w14:textId="77777777" w:rsidR="00463C24" w:rsidRPr="006035FB" w:rsidRDefault="00463C24" w:rsidP="003B2899">
            <w:pPr>
              <w:pStyle w:val="TableBodyText"/>
              <w:keepNext/>
              <w:keepLines/>
              <w:rPr>
                <w:rStyle w:val="Bold"/>
              </w:rPr>
            </w:pPr>
            <w:r w:rsidRPr="006035FB">
              <w:rPr>
                <w:rStyle w:val="Bold"/>
              </w:rPr>
              <w:t>Financial liabilities</w:t>
            </w:r>
          </w:p>
        </w:tc>
        <w:tc>
          <w:tcPr>
            <w:tcW w:w="810" w:type="pct"/>
            <w:vAlign w:val="top"/>
          </w:tcPr>
          <w:p w14:paraId="293FCB36"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0F639A6E"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7B283032"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4FCDDDE2"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27C5FA59"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463C24" w:rsidRPr="00300324" w14:paraId="6DA2B86D"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3F97D0B8" w14:textId="77777777" w:rsidR="00463C24" w:rsidRDefault="00463C24" w:rsidP="003B2899">
            <w:pPr>
              <w:pStyle w:val="TableBodyText"/>
              <w:keepNext/>
              <w:keepLines/>
            </w:pPr>
            <w:r>
              <w:t>Payables</w:t>
            </w:r>
          </w:p>
        </w:tc>
        <w:tc>
          <w:tcPr>
            <w:tcW w:w="810" w:type="pct"/>
            <w:vAlign w:val="top"/>
          </w:tcPr>
          <w:p w14:paraId="3E2EF68A"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9" w:type="pct"/>
            <w:vAlign w:val="top"/>
          </w:tcPr>
          <w:p w14:paraId="2AB4E1DA"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78493A3D"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2C4C3265" w14:textId="1B068ABC"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322,135</w:t>
            </w:r>
          </w:p>
        </w:tc>
        <w:tc>
          <w:tcPr>
            <w:tcW w:w="729" w:type="pct"/>
            <w:vAlign w:val="top"/>
          </w:tcPr>
          <w:p w14:paraId="02360677" w14:textId="1AE3020F"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322,135</w:t>
            </w:r>
          </w:p>
        </w:tc>
      </w:tr>
      <w:tr w:rsidR="00463C24" w:rsidRPr="00300324" w14:paraId="657C34A7"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168A2C75" w14:textId="79002D70" w:rsidR="00463C24" w:rsidRDefault="00DC0A06" w:rsidP="003B2899">
            <w:pPr>
              <w:pStyle w:val="TableBodyText"/>
              <w:keepNext/>
              <w:keepLines/>
            </w:pPr>
            <w:r>
              <w:t>Victorian Desalination Plant</w:t>
            </w:r>
            <w:r w:rsidR="00463C24">
              <w:t xml:space="preserve"> service concession liability</w:t>
            </w:r>
            <w:r w:rsidR="00735F7D">
              <w:t xml:space="preserve"> </w:t>
            </w:r>
            <w:hyperlink w:anchor="NoteTable611" w:history="1">
              <w:r w:rsidR="00735F7D" w:rsidRPr="00735F7D">
                <w:rPr>
                  <w:rStyle w:val="Hyperlink"/>
                </w:rPr>
                <w:t>refer note</w:t>
              </w:r>
            </w:hyperlink>
          </w:p>
        </w:tc>
        <w:tc>
          <w:tcPr>
            <w:tcW w:w="810" w:type="pct"/>
            <w:vAlign w:val="top"/>
          </w:tcPr>
          <w:p w14:paraId="4DD83C7A" w14:textId="49E39B84"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11.28%</w:t>
            </w:r>
          </w:p>
        </w:tc>
        <w:tc>
          <w:tcPr>
            <w:tcW w:w="809" w:type="pct"/>
            <w:vAlign w:val="top"/>
          </w:tcPr>
          <w:p w14:paraId="7B94E218"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19B2A164" w14:textId="750ED2E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3,602,984</w:t>
            </w:r>
          </w:p>
        </w:tc>
        <w:tc>
          <w:tcPr>
            <w:tcW w:w="738" w:type="pct"/>
            <w:vAlign w:val="top"/>
          </w:tcPr>
          <w:p w14:paraId="74E637BE" w14:textId="2443EFCB"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3EF559A0" w14:textId="7DE6F729"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3,602,984</w:t>
            </w:r>
          </w:p>
        </w:tc>
      </w:tr>
      <w:tr w:rsidR="00463C24" w:rsidRPr="00300324" w14:paraId="45D122AC"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68FCC93A" w14:textId="77777777" w:rsidR="00463C24" w:rsidRDefault="00463C24" w:rsidP="003B2899">
            <w:pPr>
              <w:pStyle w:val="TableBodyText"/>
              <w:keepNext/>
              <w:keepLines/>
            </w:pPr>
            <w:r>
              <w:t>Lease liabilities</w:t>
            </w:r>
          </w:p>
        </w:tc>
        <w:tc>
          <w:tcPr>
            <w:tcW w:w="810" w:type="pct"/>
            <w:vAlign w:val="top"/>
          </w:tcPr>
          <w:p w14:paraId="44C098C0" w14:textId="3D9BBCB3"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2.29%</w:t>
            </w:r>
          </w:p>
        </w:tc>
        <w:tc>
          <w:tcPr>
            <w:tcW w:w="809" w:type="pct"/>
            <w:vAlign w:val="top"/>
          </w:tcPr>
          <w:p w14:paraId="2BB0E00F"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3B905EEA" w14:textId="0C4F1541"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57,444</w:t>
            </w:r>
          </w:p>
        </w:tc>
        <w:tc>
          <w:tcPr>
            <w:tcW w:w="738" w:type="pct"/>
            <w:vAlign w:val="top"/>
          </w:tcPr>
          <w:p w14:paraId="2C960B14" w14:textId="77777777"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1333D077" w14:textId="2293C40C" w:rsidR="00463C24" w:rsidRDefault="00463C24" w:rsidP="003B2899">
            <w:pPr>
              <w:pStyle w:val="TableBodyText"/>
              <w:keepNext/>
              <w:keepLines/>
              <w:cnfStyle w:val="000000000000" w:firstRow="0" w:lastRow="0" w:firstColumn="0" w:lastColumn="0" w:oddVBand="0" w:evenVBand="0" w:oddHBand="0" w:evenHBand="0" w:firstRowFirstColumn="0" w:firstRowLastColumn="0" w:lastRowFirstColumn="0" w:lastRowLastColumn="0"/>
            </w:pPr>
            <w:r>
              <w:t>57,444</w:t>
            </w:r>
          </w:p>
        </w:tc>
      </w:tr>
      <w:tr w:rsidR="00463C24" w:rsidRPr="00807157" w14:paraId="65E01459"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032BF83B" w14:textId="77777777" w:rsidR="00463C24" w:rsidRPr="00807157" w:rsidRDefault="00463C24" w:rsidP="000A7743">
            <w:pPr>
              <w:pStyle w:val="TableBodyText"/>
            </w:pPr>
            <w:r>
              <w:t>Short-term borrowings</w:t>
            </w:r>
          </w:p>
        </w:tc>
        <w:tc>
          <w:tcPr>
            <w:tcW w:w="810" w:type="pct"/>
            <w:vAlign w:val="top"/>
          </w:tcPr>
          <w:p w14:paraId="48DE9772" w14:textId="7D76D97A"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0.42%</w:t>
            </w:r>
          </w:p>
        </w:tc>
        <w:tc>
          <w:tcPr>
            <w:tcW w:w="809" w:type="pct"/>
            <w:vAlign w:val="top"/>
          </w:tcPr>
          <w:p w14:paraId="1E64CA1C" w14:textId="0ECDB38E"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289,300</w:t>
            </w:r>
          </w:p>
        </w:tc>
        <w:tc>
          <w:tcPr>
            <w:tcW w:w="736" w:type="pct"/>
            <w:vAlign w:val="top"/>
          </w:tcPr>
          <w:p w14:paraId="1BAA488D" w14:textId="77777777" w:rsidR="00463C24" w:rsidRPr="00807157"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6EADFB6C" w14:textId="77777777" w:rsidR="00463C24" w:rsidRPr="00807157"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239352E6" w14:textId="17A23A16"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289,300</w:t>
            </w:r>
          </w:p>
        </w:tc>
      </w:tr>
      <w:tr w:rsidR="00463C24" w:rsidRPr="00300324" w14:paraId="30F7915E" w14:textId="77777777" w:rsidTr="000A7743">
        <w:tc>
          <w:tcPr>
            <w:cnfStyle w:val="001000000000" w:firstRow="0" w:lastRow="0" w:firstColumn="1" w:lastColumn="0" w:oddVBand="0" w:evenVBand="0" w:oddHBand="0" w:evenHBand="0" w:firstRowFirstColumn="0" w:firstRowLastColumn="0" w:lastRowFirstColumn="0" w:lastRowLastColumn="0"/>
            <w:tcW w:w="1177" w:type="pct"/>
            <w:vAlign w:val="top"/>
          </w:tcPr>
          <w:p w14:paraId="60798F85" w14:textId="77777777" w:rsidR="00463C24" w:rsidRDefault="00463C24" w:rsidP="000A7743">
            <w:pPr>
              <w:pStyle w:val="TableBodyText"/>
            </w:pPr>
            <w:r>
              <w:t>Floating rates notes</w:t>
            </w:r>
          </w:p>
        </w:tc>
        <w:tc>
          <w:tcPr>
            <w:tcW w:w="810" w:type="pct"/>
            <w:vAlign w:val="top"/>
          </w:tcPr>
          <w:p w14:paraId="3283BE74" w14:textId="16A647E7"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1.05%</w:t>
            </w:r>
          </w:p>
        </w:tc>
        <w:tc>
          <w:tcPr>
            <w:tcW w:w="809" w:type="pct"/>
            <w:vAlign w:val="top"/>
          </w:tcPr>
          <w:p w14:paraId="032E3984" w14:textId="0BDB3D68"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325,000</w:t>
            </w:r>
          </w:p>
        </w:tc>
        <w:tc>
          <w:tcPr>
            <w:tcW w:w="736" w:type="pct"/>
            <w:vAlign w:val="top"/>
          </w:tcPr>
          <w:p w14:paraId="1F613A79" w14:textId="77777777"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8" w:type="pct"/>
            <w:vAlign w:val="top"/>
          </w:tcPr>
          <w:p w14:paraId="700CEC4E" w14:textId="77777777"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vAlign w:val="top"/>
          </w:tcPr>
          <w:p w14:paraId="3AD24D98" w14:textId="678D4E56"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325,000</w:t>
            </w:r>
          </w:p>
        </w:tc>
      </w:tr>
      <w:tr w:rsidR="00463C24" w:rsidRPr="00807157" w14:paraId="20768073" w14:textId="77777777" w:rsidTr="000A7743">
        <w:tc>
          <w:tcPr>
            <w:cnfStyle w:val="001000000000" w:firstRow="0" w:lastRow="0" w:firstColumn="1" w:lastColumn="0" w:oddVBand="0" w:evenVBand="0" w:oddHBand="0" w:evenHBand="0" w:firstRowFirstColumn="0" w:firstRowLastColumn="0" w:lastRowFirstColumn="0" w:lastRowLastColumn="0"/>
            <w:tcW w:w="1177" w:type="pct"/>
            <w:tcBorders>
              <w:bottom w:val="single" w:sz="4" w:space="0" w:color="auto"/>
            </w:tcBorders>
            <w:vAlign w:val="top"/>
          </w:tcPr>
          <w:p w14:paraId="24909220" w14:textId="77777777" w:rsidR="00463C24" w:rsidRPr="00807157" w:rsidRDefault="00463C24" w:rsidP="000A7743">
            <w:pPr>
              <w:pStyle w:val="TableBodyText"/>
            </w:pPr>
            <w:r w:rsidRPr="00463C24">
              <w:t>Fixed interest</w:t>
            </w:r>
          </w:p>
        </w:tc>
        <w:tc>
          <w:tcPr>
            <w:tcW w:w="810" w:type="pct"/>
            <w:tcBorders>
              <w:bottom w:val="single" w:sz="4" w:space="0" w:color="auto"/>
            </w:tcBorders>
            <w:vAlign w:val="top"/>
          </w:tcPr>
          <w:p w14:paraId="59429A55" w14:textId="60D04EB6"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3.62%</w:t>
            </w:r>
          </w:p>
        </w:tc>
        <w:tc>
          <w:tcPr>
            <w:tcW w:w="809" w:type="pct"/>
            <w:tcBorders>
              <w:bottom w:val="single" w:sz="4" w:space="0" w:color="auto"/>
            </w:tcBorders>
            <w:vAlign w:val="top"/>
          </w:tcPr>
          <w:p w14:paraId="6B279E5F" w14:textId="77777777"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tcBorders>
              <w:bottom w:val="single" w:sz="4" w:space="0" w:color="auto"/>
            </w:tcBorders>
            <w:vAlign w:val="top"/>
          </w:tcPr>
          <w:p w14:paraId="69F38723" w14:textId="0DFB0D02" w:rsidR="00463C24" w:rsidRPr="00807157"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3,540,000</w:t>
            </w:r>
          </w:p>
        </w:tc>
        <w:tc>
          <w:tcPr>
            <w:tcW w:w="738" w:type="pct"/>
            <w:tcBorders>
              <w:bottom w:val="single" w:sz="4" w:space="0" w:color="auto"/>
            </w:tcBorders>
            <w:vAlign w:val="top"/>
          </w:tcPr>
          <w:p w14:paraId="3E9447D2" w14:textId="77777777" w:rsidR="00463C24" w:rsidRPr="00807157"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29" w:type="pct"/>
            <w:tcBorders>
              <w:bottom w:val="single" w:sz="4" w:space="0" w:color="auto"/>
            </w:tcBorders>
            <w:vAlign w:val="top"/>
          </w:tcPr>
          <w:p w14:paraId="599411AA" w14:textId="2F3BC05E"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pPr>
            <w:r>
              <w:t>3,540,000</w:t>
            </w:r>
          </w:p>
        </w:tc>
      </w:tr>
      <w:tr w:rsidR="00463C24" w:rsidRPr="00807157" w14:paraId="535C4E59" w14:textId="77777777" w:rsidTr="000A7743">
        <w:tc>
          <w:tcPr>
            <w:cnfStyle w:val="001000000000" w:firstRow="0" w:lastRow="0" w:firstColumn="1" w:lastColumn="0" w:oddVBand="0" w:evenVBand="0" w:oddHBand="0" w:evenHBand="0" w:firstRowFirstColumn="0" w:firstRowLastColumn="0" w:lastRowFirstColumn="0" w:lastRowLastColumn="0"/>
            <w:tcW w:w="1177" w:type="pct"/>
            <w:tcBorders>
              <w:top w:val="single" w:sz="4" w:space="0" w:color="auto"/>
              <w:bottom w:val="single" w:sz="4" w:space="0" w:color="auto"/>
            </w:tcBorders>
            <w:vAlign w:val="top"/>
          </w:tcPr>
          <w:p w14:paraId="7D2A7F82" w14:textId="77777777" w:rsidR="00463C24" w:rsidRPr="00807157" w:rsidRDefault="00463C24" w:rsidP="000A7743">
            <w:pPr>
              <w:pStyle w:val="TableBodyText"/>
              <w:rPr>
                <w:rStyle w:val="Bold"/>
              </w:rPr>
            </w:pPr>
            <w:r>
              <w:rPr>
                <w:rStyle w:val="Bold"/>
              </w:rPr>
              <w:t>Total financial liabilities</w:t>
            </w:r>
          </w:p>
        </w:tc>
        <w:tc>
          <w:tcPr>
            <w:tcW w:w="810" w:type="pct"/>
            <w:tcBorders>
              <w:top w:val="single" w:sz="4" w:space="0" w:color="auto"/>
              <w:bottom w:val="single" w:sz="4" w:space="0" w:color="auto"/>
            </w:tcBorders>
            <w:vAlign w:val="top"/>
          </w:tcPr>
          <w:p w14:paraId="626AA638" w14:textId="77777777"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rPr>
                <w:rStyle w:val="Bold"/>
              </w:rPr>
            </w:pPr>
            <w:r>
              <w:t>N/A</w:t>
            </w:r>
          </w:p>
        </w:tc>
        <w:tc>
          <w:tcPr>
            <w:tcW w:w="809" w:type="pct"/>
            <w:tcBorders>
              <w:top w:val="single" w:sz="4" w:space="0" w:color="auto"/>
              <w:bottom w:val="single" w:sz="4" w:space="0" w:color="auto"/>
            </w:tcBorders>
            <w:vAlign w:val="top"/>
          </w:tcPr>
          <w:p w14:paraId="3077A642" w14:textId="3EFF678B"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614,300</w:t>
            </w:r>
          </w:p>
        </w:tc>
        <w:tc>
          <w:tcPr>
            <w:tcW w:w="736" w:type="pct"/>
            <w:tcBorders>
              <w:top w:val="single" w:sz="4" w:space="0" w:color="auto"/>
              <w:bottom w:val="single" w:sz="4" w:space="0" w:color="auto"/>
            </w:tcBorders>
            <w:vAlign w:val="top"/>
          </w:tcPr>
          <w:p w14:paraId="79320BBD" w14:textId="0F95FDF0" w:rsidR="00463C24" w:rsidRPr="00807157" w:rsidRDefault="00463C24" w:rsidP="000A774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7,200,428</w:t>
            </w:r>
          </w:p>
        </w:tc>
        <w:tc>
          <w:tcPr>
            <w:tcW w:w="738" w:type="pct"/>
            <w:tcBorders>
              <w:top w:val="single" w:sz="4" w:space="0" w:color="auto"/>
              <w:bottom w:val="single" w:sz="4" w:space="0" w:color="auto"/>
            </w:tcBorders>
            <w:vAlign w:val="top"/>
          </w:tcPr>
          <w:p w14:paraId="0FF942BB" w14:textId="235942CD" w:rsidR="00463C24" w:rsidRPr="00807157" w:rsidRDefault="00463C24" w:rsidP="000A774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322,135</w:t>
            </w:r>
          </w:p>
        </w:tc>
        <w:tc>
          <w:tcPr>
            <w:tcW w:w="729" w:type="pct"/>
            <w:tcBorders>
              <w:top w:val="single" w:sz="4" w:space="0" w:color="auto"/>
              <w:bottom w:val="single" w:sz="4" w:space="0" w:color="auto"/>
            </w:tcBorders>
            <w:vAlign w:val="top"/>
          </w:tcPr>
          <w:p w14:paraId="6881B727" w14:textId="0E723205" w:rsidR="00463C24" w:rsidRDefault="00463C24" w:rsidP="000A7743">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8,136,863</w:t>
            </w:r>
          </w:p>
        </w:tc>
      </w:tr>
    </w:tbl>
    <w:p w14:paraId="50D9FA4D" w14:textId="77777777" w:rsidR="00463C24" w:rsidRDefault="00463C24" w:rsidP="00463C24">
      <w:pPr>
        <w:pStyle w:val="BodyText"/>
      </w:pPr>
      <w:r>
        <w:t>Note:</w:t>
      </w:r>
    </w:p>
    <w:p w14:paraId="771BB367" w14:textId="5C173FF0" w:rsidR="00463C24" w:rsidRDefault="00463C24" w:rsidP="00463C24">
      <w:pPr>
        <w:pStyle w:val="BodyText"/>
      </w:pPr>
      <w:bookmarkStart w:id="1127" w:name="NoteTable611"/>
      <w:r>
        <w:t xml:space="preserve">(a) </w:t>
      </w:r>
      <w:bookmarkEnd w:id="1127"/>
      <w:r>
        <w:t xml:space="preserve">The weighted average interest rate for the </w:t>
      </w:r>
      <w:r w:rsidR="00DC0A06">
        <w:t>Victorian Desalination Plant</w:t>
      </w:r>
      <w:r>
        <w:t xml:space="preserve"> service concession arrangement is the interest rate implicit in the arrangement. AASB 9 requires gains or losses from </w:t>
      </w:r>
      <w:r w:rsidR="00DC0A06">
        <w:t>Victorian Desalination Plant</w:t>
      </w:r>
      <w:r>
        <w:t xml:space="preserve"> refinancing activities to be recognised immediately through profit and loss. The gains or losses reflect the difference between the original contractual cash flows and the modified cash flows discounted at the original ‘effective interest rate’.</w:t>
      </w:r>
    </w:p>
    <w:p w14:paraId="32D957ED" w14:textId="516C4BED" w:rsidR="00463C24" w:rsidRDefault="00735F7D" w:rsidP="00B52171">
      <w:pPr>
        <w:pStyle w:val="BodyText"/>
        <w:rPr>
          <w:rStyle w:val="Bold"/>
        </w:rPr>
      </w:pPr>
      <w:r w:rsidRPr="00735F7D">
        <w:rPr>
          <w:rStyle w:val="Bold"/>
        </w:rPr>
        <w:t>Interest rate risk sensitivity analysis</w:t>
      </w:r>
    </w:p>
    <w:p w14:paraId="42A9AD0C" w14:textId="7206F5F8" w:rsidR="00735F7D" w:rsidRPr="00735F7D" w:rsidRDefault="00735F7D" w:rsidP="000A7743">
      <w:pPr>
        <w:pStyle w:val="TableBodyText"/>
      </w:pPr>
      <w:r>
        <w:t>2021</w:t>
      </w:r>
    </w:p>
    <w:tbl>
      <w:tblPr>
        <w:tblStyle w:val="Style1"/>
        <w:tblW w:w="5000" w:type="pct"/>
        <w:tblLook w:val="04A0" w:firstRow="1" w:lastRow="0" w:firstColumn="1" w:lastColumn="0" w:noHBand="0" w:noVBand="1"/>
      </w:tblPr>
      <w:tblGrid>
        <w:gridCol w:w="3828"/>
        <w:gridCol w:w="1559"/>
        <w:gridCol w:w="1416"/>
        <w:gridCol w:w="1420"/>
        <w:gridCol w:w="1408"/>
      </w:tblGrid>
      <w:tr w:rsidR="00735F7D" w:rsidRPr="000A7743" w14:paraId="47A29813" w14:textId="77777777" w:rsidTr="003B28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pct"/>
            <w:tcBorders>
              <w:top w:val="single" w:sz="4" w:space="0" w:color="auto"/>
            </w:tcBorders>
            <w:vAlign w:val="bottom"/>
          </w:tcPr>
          <w:p w14:paraId="3768B3F4" w14:textId="77777777" w:rsidR="00735F7D" w:rsidRPr="000A7743" w:rsidRDefault="00735F7D" w:rsidP="000A7743">
            <w:bookmarkStart w:id="1128" w:name="ColumnTitle_88"/>
            <w:r w:rsidRPr="000A7743">
              <w:t>Item</w:t>
            </w:r>
          </w:p>
        </w:tc>
        <w:tc>
          <w:tcPr>
            <w:tcW w:w="809" w:type="pct"/>
            <w:tcBorders>
              <w:top w:val="single" w:sz="4" w:space="0" w:color="auto"/>
            </w:tcBorders>
            <w:vAlign w:val="bottom"/>
          </w:tcPr>
          <w:p w14:paraId="43139FE7" w14:textId="77777777" w:rsidR="00136CC4" w:rsidRDefault="00735F7D" w:rsidP="000A7743">
            <w:pPr>
              <w:cnfStyle w:val="100000000000" w:firstRow="1" w:lastRow="0" w:firstColumn="0" w:lastColumn="0" w:oddVBand="0" w:evenVBand="0" w:oddHBand="0" w:evenHBand="0" w:firstRowFirstColumn="0" w:firstRowLastColumn="0" w:lastRowFirstColumn="0" w:lastRowLastColumn="0"/>
              <w:rPr>
                <w:b w:val="0"/>
              </w:rPr>
            </w:pPr>
            <w:r w:rsidRPr="000A7743">
              <w:t>Profit or Loss</w:t>
            </w:r>
            <w:r w:rsidR="00136CC4">
              <w:t xml:space="preserve"> </w:t>
            </w:r>
          </w:p>
          <w:p w14:paraId="2AFC7AF0" w14:textId="6CB3A6D1"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 xml:space="preserve">-50 basis </w:t>
            </w:r>
            <w:r w:rsidR="000A7743">
              <w:t>p</w:t>
            </w:r>
            <w:r w:rsidRPr="000A7743">
              <w:t>oints</w:t>
            </w:r>
          </w:p>
          <w:p w14:paraId="330506EE" w14:textId="77777777"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 thousands)</w:t>
            </w:r>
          </w:p>
        </w:tc>
        <w:tc>
          <w:tcPr>
            <w:tcW w:w="735" w:type="pct"/>
            <w:tcBorders>
              <w:top w:val="single" w:sz="4" w:space="0" w:color="auto"/>
            </w:tcBorders>
            <w:vAlign w:val="bottom"/>
          </w:tcPr>
          <w:p w14:paraId="726E9973" w14:textId="77777777"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Profit or Loss</w:t>
            </w:r>
          </w:p>
          <w:p w14:paraId="6BCD1B5E" w14:textId="1F8180FE"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+50 basis points</w:t>
            </w:r>
          </w:p>
          <w:p w14:paraId="369FE6B3" w14:textId="77777777"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 thousands)</w:t>
            </w:r>
          </w:p>
        </w:tc>
        <w:tc>
          <w:tcPr>
            <w:tcW w:w="737" w:type="pct"/>
            <w:tcBorders>
              <w:top w:val="single" w:sz="4" w:space="0" w:color="auto"/>
            </w:tcBorders>
            <w:vAlign w:val="bottom"/>
          </w:tcPr>
          <w:p w14:paraId="4AA67EA1" w14:textId="77777777"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Equity</w:t>
            </w:r>
          </w:p>
          <w:p w14:paraId="66CF6470" w14:textId="73648265"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-50 basis points</w:t>
            </w:r>
          </w:p>
          <w:p w14:paraId="3D4D13E6" w14:textId="77777777"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 thousands)</w:t>
            </w:r>
          </w:p>
        </w:tc>
        <w:tc>
          <w:tcPr>
            <w:tcW w:w="731" w:type="pct"/>
            <w:tcBorders>
              <w:top w:val="single" w:sz="4" w:space="0" w:color="auto"/>
            </w:tcBorders>
            <w:vAlign w:val="bottom"/>
          </w:tcPr>
          <w:p w14:paraId="5C856F9E" w14:textId="77777777"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Equity</w:t>
            </w:r>
          </w:p>
          <w:p w14:paraId="36CEED03" w14:textId="75158D4E"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+50 basis points</w:t>
            </w:r>
          </w:p>
          <w:p w14:paraId="3B6753B9" w14:textId="77777777" w:rsidR="00735F7D" w:rsidRPr="000A7743" w:rsidRDefault="00735F7D" w:rsidP="000A7743">
            <w:pPr>
              <w:cnfStyle w:val="100000000000" w:firstRow="1" w:lastRow="0" w:firstColumn="0" w:lastColumn="0" w:oddVBand="0" w:evenVBand="0" w:oddHBand="0" w:evenHBand="0" w:firstRowFirstColumn="0" w:firstRowLastColumn="0" w:lastRowFirstColumn="0" w:lastRowLastColumn="0"/>
            </w:pPr>
            <w:r w:rsidRPr="000A7743">
              <w:t>($ thousands)</w:t>
            </w:r>
          </w:p>
        </w:tc>
      </w:tr>
      <w:bookmarkEnd w:id="1128"/>
      <w:tr w:rsidR="00735F7D" w:rsidRPr="00300324" w14:paraId="545D7D72" w14:textId="77777777" w:rsidTr="00735F7D">
        <w:tc>
          <w:tcPr>
            <w:cnfStyle w:val="001000000000" w:firstRow="0" w:lastRow="0" w:firstColumn="1" w:lastColumn="0" w:oddVBand="0" w:evenVBand="0" w:oddHBand="0" w:evenHBand="0" w:firstRowFirstColumn="0" w:firstRowLastColumn="0" w:lastRowFirstColumn="0" w:lastRowLastColumn="0"/>
            <w:tcW w:w="1987" w:type="pct"/>
            <w:vAlign w:val="top"/>
          </w:tcPr>
          <w:p w14:paraId="698FAFBF" w14:textId="77777777" w:rsidR="00735F7D" w:rsidRDefault="00735F7D" w:rsidP="00C778D6">
            <w:r>
              <w:t>Cash and cash equivalents</w:t>
            </w:r>
          </w:p>
        </w:tc>
        <w:tc>
          <w:tcPr>
            <w:tcW w:w="809" w:type="pct"/>
            <w:vAlign w:val="top"/>
          </w:tcPr>
          <w:p w14:paraId="48562FAB" w14:textId="619DA71D" w:rsidR="00735F7D" w:rsidRDefault="00735F7D" w:rsidP="00C778D6">
            <w:pPr>
              <w:cnfStyle w:val="000000000000" w:firstRow="0" w:lastRow="0" w:firstColumn="0" w:lastColumn="0" w:oddVBand="0" w:evenVBand="0" w:oddHBand="0" w:evenHBand="0" w:firstRowFirstColumn="0" w:firstRowLastColumn="0" w:lastRowFirstColumn="0" w:lastRowLastColumn="0"/>
            </w:pPr>
            <w:r>
              <w:t>(11)</w:t>
            </w:r>
          </w:p>
        </w:tc>
        <w:tc>
          <w:tcPr>
            <w:tcW w:w="735" w:type="pct"/>
            <w:vAlign w:val="top"/>
          </w:tcPr>
          <w:p w14:paraId="2D6F8193" w14:textId="6D9A38B7" w:rsidR="00735F7D" w:rsidRDefault="00735F7D" w:rsidP="00C778D6">
            <w:pPr>
              <w:cnfStyle w:val="000000000000" w:firstRow="0" w:lastRow="0" w:firstColumn="0" w:lastColumn="0" w:oddVBand="0" w:evenVBand="0" w:oddHBand="0" w:evenHBand="0" w:firstRowFirstColumn="0" w:firstRowLastColumn="0" w:lastRowFirstColumn="0" w:lastRowLastColumn="0"/>
            </w:pPr>
            <w:r>
              <w:t>11</w:t>
            </w:r>
          </w:p>
        </w:tc>
        <w:tc>
          <w:tcPr>
            <w:tcW w:w="737" w:type="pct"/>
            <w:vAlign w:val="top"/>
          </w:tcPr>
          <w:p w14:paraId="29CA9EB3" w14:textId="03727795" w:rsidR="00735F7D" w:rsidRDefault="00735F7D" w:rsidP="00C778D6">
            <w:pPr>
              <w:cnfStyle w:val="000000000000" w:firstRow="0" w:lastRow="0" w:firstColumn="0" w:lastColumn="0" w:oddVBand="0" w:evenVBand="0" w:oddHBand="0" w:evenHBand="0" w:firstRowFirstColumn="0" w:firstRowLastColumn="0" w:lastRowFirstColumn="0" w:lastRowLastColumn="0"/>
            </w:pPr>
            <w:r>
              <w:t>(11)</w:t>
            </w:r>
          </w:p>
        </w:tc>
        <w:tc>
          <w:tcPr>
            <w:tcW w:w="731" w:type="pct"/>
            <w:vAlign w:val="top"/>
          </w:tcPr>
          <w:p w14:paraId="5D36F8A4" w14:textId="4F67D7D4" w:rsidR="00735F7D" w:rsidRDefault="00735F7D" w:rsidP="00C778D6">
            <w:pPr>
              <w:cnfStyle w:val="000000000000" w:firstRow="0" w:lastRow="0" w:firstColumn="0" w:lastColumn="0" w:oddVBand="0" w:evenVBand="0" w:oddHBand="0" w:evenHBand="0" w:firstRowFirstColumn="0" w:firstRowLastColumn="0" w:lastRowFirstColumn="0" w:lastRowLastColumn="0"/>
            </w:pPr>
            <w:r>
              <w:t>11</w:t>
            </w:r>
          </w:p>
        </w:tc>
      </w:tr>
      <w:tr w:rsidR="00735F7D" w:rsidRPr="00300324" w14:paraId="42C48C6C" w14:textId="77777777" w:rsidTr="00735F7D">
        <w:tc>
          <w:tcPr>
            <w:cnfStyle w:val="001000000000" w:firstRow="0" w:lastRow="0" w:firstColumn="1" w:lastColumn="0" w:oddVBand="0" w:evenVBand="0" w:oddHBand="0" w:evenHBand="0" w:firstRowFirstColumn="0" w:firstRowLastColumn="0" w:lastRowFirstColumn="0" w:lastRowLastColumn="0"/>
            <w:tcW w:w="1987" w:type="pct"/>
            <w:vAlign w:val="top"/>
          </w:tcPr>
          <w:p w14:paraId="21A262F8" w14:textId="00C0C9DF" w:rsidR="00735F7D" w:rsidRDefault="00735F7D" w:rsidP="00C778D6">
            <w:r>
              <w:t>Interest bearing liabilities</w:t>
            </w:r>
          </w:p>
        </w:tc>
        <w:tc>
          <w:tcPr>
            <w:tcW w:w="809" w:type="pct"/>
            <w:vAlign w:val="top"/>
          </w:tcPr>
          <w:p w14:paraId="6DBB94CA" w14:textId="124ED746" w:rsidR="00735F7D" w:rsidRDefault="00735F7D" w:rsidP="00C778D6">
            <w:pPr>
              <w:cnfStyle w:val="000000000000" w:firstRow="0" w:lastRow="0" w:firstColumn="0" w:lastColumn="0" w:oddVBand="0" w:evenVBand="0" w:oddHBand="0" w:evenHBand="0" w:firstRowFirstColumn="0" w:firstRowLastColumn="0" w:lastRowFirstColumn="0" w:lastRowLastColumn="0"/>
            </w:pPr>
            <w:r>
              <w:t>1,007</w:t>
            </w:r>
          </w:p>
        </w:tc>
        <w:tc>
          <w:tcPr>
            <w:tcW w:w="735" w:type="pct"/>
            <w:vAlign w:val="top"/>
          </w:tcPr>
          <w:p w14:paraId="5047FB46" w14:textId="6CE986B8" w:rsidR="00735F7D" w:rsidRDefault="00735F7D" w:rsidP="00C778D6">
            <w:pPr>
              <w:cnfStyle w:val="000000000000" w:firstRow="0" w:lastRow="0" w:firstColumn="0" w:lastColumn="0" w:oddVBand="0" w:evenVBand="0" w:oddHBand="0" w:evenHBand="0" w:firstRowFirstColumn="0" w:firstRowLastColumn="0" w:lastRowFirstColumn="0" w:lastRowLastColumn="0"/>
            </w:pPr>
            <w:r>
              <w:t>(1,007)</w:t>
            </w:r>
          </w:p>
        </w:tc>
        <w:tc>
          <w:tcPr>
            <w:tcW w:w="737" w:type="pct"/>
            <w:vAlign w:val="top"/>
          </w:tcPr>
          <w:p w14:paraId="747F89DD" w14:textId="4086BFBB" w:rsidR="00735F7D" w:rsidRDefault="00735F7D" w:rsidP="00C778D6">
            <w:pPr>
              <w:cnfStyle w:val="000000000000" w:firstRow="0" w:lastRow="0" w:firstColumn="0" w:lastColumn="0" w:oddVBand="0" w:evenVBand="0" w:oddHBand="0" w:evenHBand="0" w:firstRowFirstColumn="0" w:firstRowLastColumn="0" w:lastRowFirstColumn="0" w:lastRowLastColumn="0"/>
            </w:pPr>
            <w:r>
              <w:t>1,007</w:t>
            </w:r>
          </w:p>
        </w:tc>
        <w:tc>
          <w:tcPr>
            <w:tcW w:w="731" w:type="pct"/>
            <w:vAlign w:val="top"/>
          </w:tcPr>
          <w:p w14:paraId="5BD8D087" w14:textId="641BE69A" w:rsidR="00735F7D" w:rsidRDefault="00735F7D" w:rsidP="00C778D6">
            <w:pPr>
              <w:cnfStyle w:val="000000000000" w:firstRow="0" w:lastRow="0" w:firstColumn="0" w:lastColumn="0" w:oddVBand="0" w:evenVBand="0" w:oddHBand="0" w:evenHBand="0" w:firstRowFirstColumn="0" w:firstRowLastColumn="0" w:lastRowFirstColumn="0" w:lastRowLastColumn="0"/>
            </w:pPr>
            <w:r>
              <w:t>(1,007)</w:t>
            </w:r>
          </w:p>
        </w:tc>
      </w:tr>
      <w:tr w:rsidR="00735F7D" w:rsidRPr="00136CC4" w14:paraId="6B36730C" w14:textId="77777777" w:rsidTr="00735F7D">
        <w:tc>
          <w:tcPr>
            <w:cnfStyle w:val="001000000000" w:firstRow="0" w:lastRow="0" w:firstColumn="1" w:lastColumn="0" w:oddVBand="0" w:evenVBand="0" w:oddHBand="0" w:evenHBand="0" w:firstRowFirstColumn="0" w:firstRowLastColumn="0" w:lastRowFirstColumn="0" w:lastRowLastColumn="0"/>
            <w:tcW w:w="1987" w:type="pct"/>
            <w:tcBorders>
              <w:top w:val="single" w:sz="4" w:space="0" w:color="auto"/>
              <w:bottom w:val="single" w:sz="4" w:space="0" w:color="auto"/>
            </w:tcBorders>
            <w:vAlign w:val="top"/>
          </w:tcPr>
          <w:p w14:paraId="0BCA04D0" w14:textId="01CBE0A2" w:rsidR="00735F7D" w:rsidRPr="00136CC4" w:rsidRDefault="00735F7D" w:rsidP="00C778D6">
            <w:pPr>
              <w:rPr>
                <w:rStyle w:val="Bold"/>
              </w:rPr>
            </w:pPr>
            <w:r w:rsidRPr="00136CC4">
              <w:rPr>
                <w:rStyle w:val="Bold"/>
              </w:rPr>
              <w:t>Total</w:t>
            </w:r>
          </w:p>
        </w:tc>
        <w:tc>
          <w:tcPr>
            <w:tcW w:w="809" w:type="pct"/>
            <w:tcBorders>
              <w:top w:val="single" w:sz="4" w:space="0" w:color="auto"/>
              <w:bottom w:val="single" w:sz="4" w:space="0" w:color="auto"/>
            </w:tcBorders>
            <w:vAlign w:val="top"/>
          </w:tcPr>
          <w:p w14:paraId="60274C98" w14:textId="346F1F32" w:rsidR="00735F7D" w:rsidRPr="00136CC4" w:rsidRDefault="00735F7D" w:rsidP="00C778D6">
            <w:pPr>
              <w:cnfStyle w:val="000000000000" w:firstRow="0" w:lastRow="0" w:firstColumn="0" w:lastColumn="0" w:oddVBand="0" w:evenVBand="0" w:oddHBand="0" w:evenHBand="0" w:firstRowFirstColumn="0" w:firstRowLastColumn="0" w:lastRowFirstColumn="0" w:lastRowLastColumn="0"/>
              <w:rPr>
                <w:rStyle w:val="Bold"/>
              </w:rPr>
            </w:pPr>
            <w:r w:rsidRPr="00136CC4">
              <w:rPr>
                <w:rStyle w:val="Bold"/>
              </w:rPr>
              <w:t>996</w:t>
            </w:r>
          </w:p>
        </w:tc>
        <w:tc>
          <w:tcPr>
            <w:tcW w:w="735" w:type="pct"/>
            <w:tcBorders>
              <w:top w:val="single" w:sz="4" w:space="0" w:color="auto"/>
              <w:bottom w:val="single" w:sz="4" w:space="0" w:color="auto"/>
            </w:tcBorders>
            <w:vAlign w:val="top"/>
          </w:tcPr>
          <w:p w14:paraId="5EB2436D" w14:textId="0D5F086F" w:rsidR="00735F7D" w:rsidRPr="00136CC4" w:rsidRDefault="00735F7D" w:rsidP="00C778D6">
            <w:pPr>
              <w:cnfStyle w:val="000000000000" w:firstRow="0" w:lastRow="0" w:firstColumn="0" w:lastColumn="0" w:oddVBand="0" w:evenVBand="0" w:oddHBand="0" w:evenHBand="0" w:firstRowFirstColumn="0" w:firstRowLastColumn="0" w:lastRowFirstColumn="0" w:lastRowLastColumn="0"/>
              <w:rPr>
                <w:rStyle w:val="Bold"/>
              </w:rPr>
            </w:pPr>
            <w:r w:rsidRPr="00136CC4">
              <w:rPr>
                <w:rStyle w:val="Bold"/>
              </w:rPr>
              <w:t>(996)</w:t>
            </w:r>
          </w:p>
        </w:tc>
        <w:tc>
          <w:tcPr>
            <w:tcW w:w="737" w:type="pct"/>
            <w:tcBorders>
              <w:top w:val="single" w:sz="4" w:space="0" w:color="auto"/>
              <w:bottom w:val="single" w:sz="4" w:space="0" w:color="auto"/>
            </w:tcBorders>
            <w:vAlign w:val="top"/>
          </w:tcPr>
          <w:p w14:paraId="77D18F20" w14:textId="47EE201C" w:rsidR="00735F7D" w:rsidRPr="00136CC4" w:rsidRDefault="00735F7D" w:rsidP="00C778D6">
            <w:pPr>
              <w:cnfStyle w:val="000000000000" w:firstRow="0" w:lastRow="0" w:firstColumn="0" w:lastColumn="0" w:oddVBand="0" w:evenVBand="0" w:oddHBand="0" w:evenHBand="0" w:firstRowFirstColumn="0" w:firstRowLastColumn="0" w:lastRowFirstColumn="0" w:lastRowLastColumn="0"/>
              <w:rPr>
                <w:rStyle w:val="Bold"/>
              </w:rPr>
            </w:pPr>
            <w:r w:rsidRPr="00136CC4">
              <w:rPr>
                <w:rStyle w:val="Bold"/>
              </w:rPr>
              <w:t>996</w:t>
            </w:r>
          </w:p>
        </w:tc>
        <w:tc>
          <w:tcPr>
            <w:tcW w:w="731" w:type="pct"/>
            <w:tcBorders>
              <w:top w:val="single" w:sz="4" w:space="0" w:color="auto"/>
              <w:bottom w:val="single" w:sz="4" w:space="0" w:color="auto"/>
            </w:tcBorders>
            <w:vAlign w:val="top"/>
          </w:tcPr>
          <w:p w14:paraId="3D6CB95C" w14:textId="71790AC6" w:rsidR="00735F7D" w:rsidRPr="00136CC4" w:rsidRDefault="00735F7D" w:rsidP="00C778D6">
            <w:pPr>
              <w:cnfStyle w:val="000000000000" w:firstRow="0" w:lastRow="0" w:firstColumn="0" w:lastColumn="0" w:oddVBand="0" w:evenVBand="0" w:oddHBand="0" w:evenHBand="0" w:firstRowFirstColumn="0" w:firstRowLastColumn="0" w:lastRowFirstColumn="0" w:lastRowLastColumn="0"/>
              <w:rPr>
                <w:rStyle w:val="Bold"/>
              </w:rPr>
            </w:pPr>
            <w:r w:rsidRPr="00136CC4">
              <w:rPr>
                <w:rStyle w:val="Bold"/>
              </w:rPr>
              <w:t>(996)</w:t>
            </w:r>
          </w:p>
        </w:tc>
      </w:tr>
    </w:tbl>
    <w:p w14:paraId="31A816C5" w14:textId="42A96C5B" w:rsidR="00735F7D" w:rsidRPr="00735F7D" w:rsidRDefault="00735F7D" w:rsidP="003B2899">
      <w:pPr>
        <w:pStyle w:val="BodyText"/>
        <w:keepNext/>
      </w:pPr>
      <w:r>
        <w:lastRenderedPageBreak/>
        <w:t>2020</w:t>
      </w:r>
    </w:p>
    <w:tbl>
      <w:tblPr>
        <w:tblStyle w:val="Style1"/>
        <w:tblW w:w="5000" w:type="pct"/>
        <w:tblLook w:val="04A0" w:firstRow="1" w:lastRow="0" w:firstColumn="1" w:lastColumn="0" w:noHBand="0" w:noVBand="1"/>
      </w:tblPr>
      <w:tblGrid>
        <w:gridCol w:w="3828"/>
        <w:gridCol w:w="1559"/>
        <w:gridCol w:w="1416"/>
        <w:gridCol w:w="1420"/>
        <w:gridCol w:w="1408"/>
      </w:tblGrid>
      <w:tr w:rsidR="00735F7D" w:rsidRPr="00136CC4" w14:paraId="7442AA4C" w14:textId="77777777" w:rsidTr="00617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7" w:type="pct"/>
            <w:tcBorders>
              <w:top w:val="single" w:sz="4" w:space="0" w:color="auto"/>
            </w:tcBorders>
            <w:vAlign w:val="bottom"/>
          </w:tcPr>
          <w:p w14:paraId="187E63ED" w14:textId="77777777" w:rsidR="00735F7D" w:rsidRPr="00136CC4" w:rsidRDefault="00735F7D" w:rsidP="00136CC4">
            <w:bookmarkStart w:id="1129" w:name="ColumnTitle_89"/>
            <w:r w:rsidRPr="00136CC4">
              <w:t>Item</w:t>
            </w:r>
          </w:p>
        </w:tc>
        <w:tc>
          <w:tcPr>
            <w:tcW w:w="809" w:type="pct"/>
            <w:tcBorders>
              <w:top w:val="single" w:sz="4" w:space="0" w:color="auto"/>
            </w:tcBorders>
            <w:vAlign w:val="bottom"/>
          </w:tcPr>
          <w:p w14:paraId="43CC4534"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Profit or Loss</w:t>
            </w:r>
          </w:p>
          <w:p w14:paraId="0E87A805"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-50 basis points</w:t>
            </w:r>
          </w:p>
          <w:p w14:paraId="05459047"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5" w:type="pct"/>
            <w:tcBorders>
              <w:top w:val="single" w:sz="4" w:space="0" w:color="auto"/>
            </w:tcBorders>
            <w:vAlign w:val="bottom"/>
          </w:tcPr>
          <w:p w14:paraId="58BC99B5"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Profit or Loss</w:t>
            </w:r>
          </w:p>
          <w:p w14:paraId="56618B25"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+50 basis points</w:t>
            </w:r>
          </w:p>
          <w:p w14:paraId="7723F4D6"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7" w:type="pct"/>
            <w:tcBorders>
              <w:top w:val="single" w:sz="4" w:space="0" w:color="auto"/>
            </w:tcBorders>
            <w:vAlign w:val="bottom"/>
          </w:tcPr>
          <w:p w14:paraId="3974B33F"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Equity</w:t>
            </w:r>
          </w:p>
          <w:p w14:paraId="4D0D5B51"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-50 basis points</w:t>
            </w:r>
          </w:p>
          <w:p w14:paraId="14750DB1"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1" w:type="pct"/>
            <w:tcBorders>
              <w:top w:val="single" w:sz="4" w:space="0" w:color="auto"/>
            </w:tcBorders>
            <w:vAlign w:val="bottom"/>
          </w:tcPr>
          <w:p w14:paraId="699AFBEA"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Equity</w:t>
            </w:r>
          </w:p>
          <w:p w14:paraId="79BF3E2F"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+50 basis points</w:t>
            </w:r>
          </w:p>
          <w:p w14:paraId="38C18CC8" w14:textId="77777777" w:rsidR="00735F7D" w:rsidRPr="00136CC4" w:rsidRDefault="00735F7D" w:rsidP="00136CC4">
            <w:pPr>
              <w:cnfStyle w:val="100000000000" w:firstRow="1" w:lastRow="0" w:firstColumn="0" w:lastColumn="0" w:oddVBand="0" w:evenVBand="0" w:oddHBand="0" w:evenHBand="0" w:firstRowFirstColumn="0" w:firstRowLastColumn="0" w:lastRowFirstColumn="0" w:lastRowLastColumn="0"/>
            </w:pPr>
            <w:r w:rsidRPr="00136CC4">
              <w:t>($ thousands)</w:t>
            </w:r>
          </w:p>
        </w:tc>
      </w:tr>
      <w:bookmarkEnd w:id="1129"/>
      <w:tr w:rsidR="00735F7D" w:rsidRPr="00300324" w14:paraId="30CFE8BD" w14:textId="77777777" w:rsidTr="00C778D6">
        <w:tc>
          <w:tcPr>
            <w:cnfStyle w:val="001000000000" w:firstRow="0" w:lastRow="0" w:firstColumn="1" w:lastColumn="0" w:oddVBand="0" w:evenVBand="0" w:oddHBand="0" w:evenHBand="0" w:firstRowFirstColumn="0" w:firstRowLastColumn="0" w:lastRowFirstColumn="0" w:lastRowLastColumn="0"/>
            <w:tcW w:w="1987" w:type="pct"/>
            <w:vAlign w:val="top"/>
          </w:tcPr>
          <w:p w14:paraId="3C8C170D" w14:textId="77777777" w:rsidR="00735F7D" w:rsidRDefault="00735F7D" w:rsidP="00136CC4">
            <w:pPr>
              <w:pStyle w:val="TableBodyText"/>
            </w:pPr>
            <w:r>
              <w:t>Cash and cash equivalents</w:t>
            </w:r>
          </w:p>
        </w:tc>
        <w:tc>
          <w:tcPr>
            <w:tcW w:w="809" w:type="pct"/>
            <w:vAlign w:val="top"/>
          </w:tcPr>
          <w:p w14:paraId="655D27DC" w14:textId="5C25A463"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(10)</w:t>
            </w:r>
          </w:p>
        </w:tc>
        <w:tc>
          <w:tcPr>
            <w:tcW w:w="735" w:type="pct"/>
            <w:vAlign w:val="top"/>
          </w:tcPr>
          <w:p w14:paraId="41CF1078" w14:textId="22938978"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10</w:t>
            </w:r>
          </w:p>
        </w:tc>
        <w:tc>
          <w:tcPr>
            <w:tcW w:w="737" w:type="pct"/>
            <w:vAlign w:val="top"/>
          </w:tcPr>
          <w:p w14:paraId="3FB79480" w14:textId="69AC708A"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(10)</w:t>
            </w:r>
          </w:p>
        </w:tc>
        <w:tc>
          <w:tcPr>
            <w:tcW w:w="731" w:type="pct"/>
            <w:vAlign w:val="top"/>
          </w:tcPr>
          <w:p w14:paraId="00C8C23A" w14:textId="1CD75B5A"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10</w:t>
            </w:r>
          </w:p>
        </w:tc>
      </w:tr>
      <w:tr w:rsidR="00735F7D" w:rsidRPr="00300324" w14:paraId="174AD0F5" w14:textId="77777777" w:rsidTr="00735F7D">
        <w:tc>
          <w:tcPr>
            <w:cnfStyle w:val="001000000000" w:firstRow="0" w:lastRow="0" w:firstColumn="1" w:lastColumn="0" w:oddVBand="0" w:evenVBand="0" w:oddHBand="0" w:evenHBand="0" w:firstRowFirstColumn="0" w:firstRowLastColumn="0" w:lastRowFirstColumn="0" w:lastRowLastColumn="0"/>
            <w:tcW w:w="1987" w:type="pct"/>
            <w:tcBorders>
              <w:bottom w:val="single" w:sz="4" w:space="0" w:color="auto"/>
            </w:tcBorders>
            <w:vAlign w:val="top"/>
          </w:tcPr>
          <w:p w14:paraId="332060F2" w14:textId="77777777" w:rsidR="00735F7D" w:rsidRDefault="00735F7D" w:rsidP="00136CC4">
            <w:pPr>
              <w:pStyle w:val="TableBodyText"/>
            </w:pPr>
            <w:r>
              <w:t>Interest bearing liabilities</w:t>
            </w:r>
          </w:p>
        </w:tc>
        <w:tc>
          <w:tcPr>
            <w:tcW w:w="809" w:type="pct"/>
            <w:tcBorders>
              <w:bottom w:val="single" w:sz="4" w:space="0" w:color="auto"/>
            </w:tcBorders>
            <w:vAlign w:val="top"/>
          </w:tcPr>
          <w:p w14:paraId="7C33F16D" w14:textId="61D05AB8"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3,072</w:t>
            </w:r>
          </w:p>
        </w:tc>
        <w:tc>
          <w:tcPr>
            <w:tcW w:w="735" w:type="pct"/>
            <w:tcBorders>
              <w:bottom w:val="single" w:sz="4" w:space="0" w:color="auto"/>
            </w:tcBorders>
            <w:vAlign w:val="top"/>
          </w:tcPr>
          <w:p w14:paraId="6FC1CC0E" w14:textId="7BC72E76"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(3,072)</w:t>
            </w:r>
          </w:p>
        </w:tc>
        <w:tc>
          <w:tcPr>
            <w:tcW w:w="737" w:type="pct"/>
            <w:tcBorders>
              <w:bottom w:val="single" w:sz="4" w:space="0" w:color="auto"/>
            </w:tcBorders>
            <w:vAlign w:val="top"/>
          </w:tcPr>
          <w:p w14:paraId="78BE3B6E" w14:textId="75642733"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3,072</w:t>
            </w:r>
          </w:p>
        </w:tc>
        <w:tc>
          <w:tcPr>
            <w:tcW w:w="731" w:type="pct"/>
            <w:tcBorders>
              <w:bottom w:val="single" w:sz="4" w:space="0" w:color="auto"/>
            </w:tcBorders>
            <w:vAlign w:val="top"/>
          </w:tcPr>
          <w:p w14:paraId="34FADF07" w14:textId="7AFAC9DA" w:rsid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pPr>
            <w:r>
              <w:t>(3,072)</w:t>
            </w:r>
          </w:p>
        </w:tc>
      </w:tr>
      <w:tr w:rsidR="00735F7D" w:rsidRPr="00735F7D" w14:paraId="00F542B5" w14:textId="77777777" w:rsidTr="00735F7D">
        <w:tc>
          <w:tcPr>
            <w:cnfStyle w:val="001000000000" w:firstRow="0" w:lastRow="0" w:firstColumn="1" w:lastColumn="0" w:oddVBand="0" w:evenVBand="0" w:oddHBand="0" w:evenHBand="0" w:firstRowFirstColumn="0" w:firstRowLastColumn="0" w:lastRowFirstColumn="0" w:lastRowLastColumn="0"/>
            <w:tcW w:w="1987" w:type="pct"/>
            <w:tcBorders>
              <w:top w:val="single" w:sz="4" w:space="0" w:color="auto"/>
              <w:bottom w:val="single" w:sz="4" w:space="0" w:color="auto"/>
            </w:tcBorders>
            <w:vAlign w:val="top"/>
          </w:tcPr>
          <w:p w14:paraId="4412B219" w14:textId="5A4B17C0" w:rsidR="00735F7D" w:rsidRPr="00735F7D" w:rsidRDefault="00735F7D" w:rsidP="00136CC4">
            <w:pPr>
              <w:pStyle w:val="TableBodyText"/>
              <w:rPr>
                <w:rStyle w:val="Bold"/>
              </w:rPr>
            </w:pPr>
            <w:r w:rsidRPr="00735F7D">
              <w:rPr>
                <w:rStyle w:val="Bold"/>
              </w:rPr>
              <w:t>Total</w:t>
            </w:r>
          </w:p>
        </w:tc>
        <w:tc>
          <w:tcPr>
            <w:tcW w:w="809" w:type="pct"/>
            <w:tcBorders>
              <w:top w:val="single" w:sz="4" w:space="0" w:color="auto"/>
              <w:bottom w:val="single" w:sz="4" w:space="0" w:color="auto"/>
            </w:tcBorders>
            <w:vAlign w:val="top"/>
          </w:tcPr>
          <w:p w14:paraId="1C4737D6" w14:textId="279C89F2" w:rsidR="00735F7D" w:rsidRP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35F7D">
              <w:rPr>
                <w:rStyle w:val="Bold"/>
              </w:rPr>
              <w:t>3,061</w:t>
            </w:r>
          </w:p>
        </w:tc>
        <w:tc>
          <w:tcPr>
            <w:tcW w:w="735" w:type="pct"/>
            <w:tcBorders>
              <w:top w:val="single" w:sz="4" w:space="0" w:color="auto"/>
              <w:bottom w:val="single" w:sz="4" w:space="0" w:color="auto"/>
            </w:tcBorders>
            <w:vAlign w:val="top"/>
          </w:tcPr>
          <w:p w14:paraId="7335BC8B" w14:textId="57F3B27C" w:rsidR="00735F7D" w:rsidRP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35F7D">
              <w:rPr>
                <w:rStyle w:val="Bold"/>
              </w:rPr>
              <w:t>(3,061)</w:t>
            </w:r>
          </w:p>
        </w:tc>
        <w:tc>
          <w:tcPr>
            <w:tcW w:w="737" w:type="pct"/>
            <w:tcBorders>
              <w:top w:val="single" w:sz="4" w:space="0" w:color="auto"/>
              <w:bottom w:val="single" w:sz="4" w:space="0" w:color="auto"/>
            </w:tcBorders>
            <w:vAlign w:val="top"/>
          </w:tcPr>
          <w:p w14:paraId="6F8F1C5A" w14:textId="51CFA480" w:rsidR="00735F7D" w:rsidRP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35F7D">
              <w:rPr>
                <w:rStyle w:val="Bold"/>
              </w:rPr>
              <w:t>3,061</w:t>
            </w:r>
          </w:p>
        </w:tc>
        <w:tc>
          <w:tcPr>
            <w:tcW w:w="731" w:type="pct"/>
            <w:tcBorders>
              <w:top w:val="single" w:sz="4" w:space="0" w:color="auto"/>
              <w:bottom w:val="single" w:sz="4" w:space="0" w:color="auto"/>
            </w:tcBorders>
            <w:vAlign w:val="top"/>
          </w:tcPr>
          <w:p w14:paraId="603F8C46" w14:textId="4BAD97C3" w:rsidR="00735F7D" w:rsidRPr="00735F7D" w:rsidRDefault="00735F7D"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735F7D">
              <w:rPr>
                <w:rStyle w:val="Bold"/>
              </w:rPr>
              <w:t>(3,061)</w:t>
            </w:r>
          </w:p>
        </w:tc>
      </w:tr>
    </w:tbl>
    <w:p w14:paraId="7840E868" w14:textId="645FF6F4" w:rsidR="00735F7D" w:rsidRDefault="00735F7D" w:rsidP="00735F7D">
      <w:pPr>
        <w:pStyle w:val="BodyText"/>
      </w:pPr>
      <w:r>
        <w:t>Exposures arise predominately from liabilities bearing variable interest rates as the Corporation intends to hold fixed rate liabilities to maturity. At 30 June 2020 and 30 June 2021, if interest rates had changed by +/- 50 basis points from the year end rates with all other variables held constant, the net profit before tax and the impact on equity would have changed by the amounts shown above.</w:t>
      </w:r>
    </w:p>
    <w:p w14:paraId="6D20E3E7" w14:textId="77777777" w:rsidR="00735F7D" w:rsidRDefault="00735F7D" w:rsidP="00735F7D">
      <w:pPr>
        <w:pStyle w:val="Heading4"/>
      </w:pPr>
      <w:r>
        <w:t>6.1.2 Foreign exchange risk</w:t>
      </w:r>
    </w:p>
    <w:p w14:paraId="5B4A50E9" w14:textId="4811EE95" w:rsidR="00735F7D" w:rsidRDefault="00735F7D" w:rsidP="00735F7D">
      <w:pPr>
        <w:pStyle w:val="BodyText"/>
      </w:pPr>
      <w:r>
        <w:t>Foreign exchange risk arises when future commercial transactions and recognised assets and liabilities are denominated in a</w:t>
      </w:r>
      <w:r w:rsidR="00892725">
        <w:t xml:space="preserve"> </w:t>
      </w:r>
      <w:r>
        <w:t>currency that is not the entity's functional currency.</w:t>
      </w:r>
    </w:p>
    <w:p w14:paraId="4D332BDA" w14:textId="75C10FA1" w:rsidR="00735F7D" w:rsidRDefault="00735F7D" w:rsidP="00735F7D">
      <w:pPr>
        <w:pStyle w:val="BodyText"/>
      </w:pPr>
      <w:r>
        <w:t>It is the Corporation's policy to hedge the effect of foreign currency exchange rate movements on the fair values of any transactions</w:t>
      </w:r>
      <w:r w:rsidR="00892725">
        <w:t xml:space="preserve"> </w:t>
      </w:r>
      <w:r>
        <w:t xml:space="preserve">in excess of AUD $1.0 million. The Corporation's policy requires all hedging to be undertaken through </w:t>
      </w:r>
      <w:r w:rsidR="00DC0A06">
        <w:t>Treasury Corporation of Victoria</w:t>
      </w:r>
      <w:r>
        <w:t xml:space="preserve"> in the form of Forward</w:t>
      </w:r>
      <w:r w:rsidR="00892725">
        <w:t xml:space="preserve"> </w:t>
      </w:r>
      <w:r>
        <w:t>Foreign Exchange Contracts.</w:t>
      </w:r>
    </w:p>
    <w:p w14:paraId="3F261F3D" w14:textId="77777777" w:rsidR="00735F7D" w:rsidRDefault="00735F7D" w:rsidP="00735F7D">
      <w:pPr>
        <w:pStyle w:val="BodyText"/>
      </w:pPr>
      <w:r>
        <w:t>At 30 June 2021, the Corporation did not have any Forward Foreign Exchange Contracts (30 June 2020: nil).</w:t>
      </w:r>
    </w:p>
    <w:p w14:paraId="34894738" w14:textId="77777777" w:rsidR="00735F7D" w:rsidRDefault="00735F7D" w:rsidP="00892725">
      <w:pPr>
        <w:pStyle w:val="Heading4"/>
      </w:pPr>
      <w:r>
        <w:t>6.1.3 Price risk</w:t>
      </w:r>
    </w:p>
    <w:p w14:paraId="2A69EACD" w14:textId="5014D272" w:rsidR="00735F7D" w:rsidRDefault="00735F7D" w:rsidP="00735F7D">
      <w:pPr>
        <w:pStyle w:val="BodyText"/>
      </w:pPr>
      <w:r>
        <w:t>Price risk is the risk that the Corporation will suffer financial loss due to adverse movements in the price of commodity inputs and/or</w:t>
      </w:r>
      <w:r w:rsidR="00892725">
        <w:t xml:space="preserve"> </w:t>
      </w:r>
      <w:r>
        <w:t>outputs related to its business operations.</w:t>
      </w:r>
    </w:p>
    <w:p w14:paraId="7EC4AE10" w14:textId="4E74BE2C" w:rsidR="00735F7D" w:rsidRDefault="00735F7D" w:rsidP="00735F7D">
      <w:pPr>
        <w:pStyle w:val="BodyText"/>
      </w:pPr>
      <w:r>
        <w:t>The Corporation’s exposure to commodity price risk is minimal. If at any time the Corporation is exposed to a commodity price risk</w:t>
      </w:r>
      <w:r w:rsidR="00892725">
        <w:t xml:space="preserve"> </w:t>
      </w:r>
      <w:r>
        <w:t>from business operations this is immediately identified, quantified and hedged appropriately to minimise risk. Hedging of the risk is</w:t>
      </w:r>
      <w:r w:rsidR="00892725">
        <w:t xml:space="preserve"> </w:t>
      </w:r>
      <w:r>
        <w:t>mostly performed through supply and service contracts to provide certainty over timing and quantity (that is, contracts for electricity,</w:t>
      </w:r>
      <w:r w:rsidR="00892725">
        <w:t xml:space="preserve"> </w:t>
      </w:r>
      <w:r>
        <w:t>chemicals and procurement process to deliver capital works).</w:t>
      </w:r>
    </w:p>
    <w:p w14:paraId="7129869F" w14:textId="1903E971" w:rsidR="00463C24" w:rsidRDefault="00735F7D" w:rsidP="00735F7D">
      <w:pPr>
        <w:pStyle w:val="BodyText"/>
      </w:pPr>
      <w:r>
        <w:t>There is also low level price risk associated with Renewable Energy Certificates (RECs) for the potential decline in market value. This</w:t>
      </w:r>
      <w:r w:rsidR="00892725">
        <w:t xml:space="preserve"> </w:t>
      </w:r>
      <w:r>
        <w:t xml:space="preserve">risk is managed through sale of </w:t>
      </w:r>
      <w:r w:rsidR="00A52F94">
        <w:t>Renewable Energy Certificates</w:t>
      </w:r>
      <w:r>
        <w:t xml:space="preserve"> to minimise balance held.</w:t>
      </w:r>
    </w:p>
    <w:p w14:paraId="5660EB48" w14:textId="77777777" w:rsidR="00892725" w:rsidRDefault="00892725" w:rsidP="00892725">
      <w:pPr>
        <w:pStyle w:val="Heading4"/>
      </w:pPr>
      <w:bookmarkStart w:id="1130" w:name="_Ref89806986"/>
      <w:r>
        <w:t>6.1.4 Credit risk</w:t>
      </w:r>
      <w:bookmarkEnd w:id="1130"/>
    </w:p>
    <w:p w14:paraId="11BE62DA" w14:textId="7B9E2278" w:rsidR="00892725" w:rsidRDefault="00892725" w:rsidP="00892725">
      <w:pPr>
        <w:pStyle w:val="BodyText"/>
      </w:pPr>
      <w:r>
        <w:t>Credit risk is the risk of financial loss to the Corporation as a result of a customer or counterparty to a financial instrument failing to meet its contractual obligations in full and on the due date. The Corporation’s exposure to credit risk is influenced by the individual characteristics of each customer or counterparty.</w:t>
      </w:r>
    </w:p>
    <w:p w14:paraId="09309340" w14:textId="2556D185" w:rsidR="00892725" w:rsidRDefault="00892725" w:rsidP="00892725">
      <w:pPr>
        <w:pStyle w:val="BodyText"/>
      </w:pPr>
      <w:r>
        <w:t xml:space="preserve">All receivables are recognised at the amounts receivable less any expected credit loss. Receivables are reviewed on an ongoing basis to identify amounts which cannot be collected. Debts which cannot be collected are written off. The Corporation applies the AASB 9 simplified approach to measuring expected credit losses which uses a lifetime expected loss allowance for all receivables. Refer to </w:t>
      </w:r>
      <w:r w:rsidR="00506A67">
        <w:t xml:space="preserve">note </w:t>
      </w:r>
      <w:r w:rsidR="00506A67">
        <w:fldChar w:fldCharType="begin"/>
      </w:r>
      <w:r w:rsidR="00506A67">
        <w:instrText xml:space="preserve"> REF Note23 \h </w:instrText>
      </w:r>
      <w:r w:rsidR="00506A67">
        <w:fldChar w:fldCharType="separate"/>
      </w:r>
      <w:r w:rsidR="00472151">
        <w:t xml:space="preserve">2.3 </w:t>
      </w:r>
      <w:r w:rsidR="00506A67">
        <w:fldChar w:fldCharType="end"/>
      </w:r>
      <w:r>
        <w:t>.</w:t>
      </w:r>
    </w:p>
    <w:p w14:paraId="352725EF" w14:textId="2373EE5B" w:rsidR="00892725" w:rsidRDefault="00892725" w:rsidP="00892725">
      <w:pPr>
        <w:pStyle w:val="BodyText"/>
      </w:pPr>
      <w:r>
        <w:t>The major exposure to credit risk arises from trade debtors and other receivables.</w:t>
      </w:r>
    </w:p>
    <w:p w14:paraId="39E712F9" w14:textId="77777777" w:rsidR="00892725" w:rsidRDefault="00892725" w:rsidP="00617766">
      <w:pPr>
        <w:pStyle w:val="BodyText"/>
        <w:keepNext/>
      </w:pPr>
      <w:r>
        <w:lastRenderedPageBreak/>
        <w:t>Trade debtors comprised of:</w:t>
      </w:r>
    </w:p>
    <w:p w14:paraId="2F161A22" w14:textId="4C4404FE" w:rsidR="00892725" w:rsidRDefault="00892725" w:rsidP="00C778D6">
      <w:pPr>
        <w:pStyle w:val="ListBullet"/>
      </w:pPr>
      <w:r>
        <w:t>metropolitan retail water companies with minimal credit risk exposure to the Corporation. These debtors are invoiced in two parts. The first part is a usage charge that is invoiced weekly and paid within seven days. The second part is an availability charge that is invoiced monthly and paid within 14 days</w:t>
      </w:r>
    </w:p>
    <w:p w14:paraId="66B81D27" w14:textId="119B7032" w:rsidR="00463C24" w:rsidRDefault="00892725" w:rsidP="00C778D6">
      <w:pPr>
        <w:pStyle w:val="ListBullet"/>
      </w:pPr>
      <w:r>
        <w:t>waterways and drainage customers. The collection of payments and overdue receivables is managed by the metropolitan retail water companies as part of billings and collection agreements with the Corporation. In addition any unpaid debt is allocated against the property title and will be extinguished if there is a change in property ownership.</w:t>
      </w:r>
    </w:p>
    <w:p w14:paraId="77ACCD3C" w14:textId="49708FBC" w:rsidR="00892725" w:rsidRDefault="00892725" w:rsidP="00892725">
      <w:pPr>
        <w:pStyle w:val="BodyText"/>
      </w:pPr>
      <w:r>
        <w:t>Other receivables primarily consist of accrued revenue in relation to our services.</w:t>
      </w:r>
    </w:p>
    <w:p w14:paraId="5E31EC82" w14:textId="4D367338" w:rsidR="00892725" w:rsidRDefault="00892725" w:rsidP="00892725">
      <w:pPr>
        <w:pStyle w:val="BodyText"/>
      </w:pPr>
      <w:r>
        <w:t xml:space="preserve">The Corporation applies the AASB 9 simplified approach to measuring expected credit losses which uses a lifetime expected loss allowance for contractual receivables. On this basis, an assessment undertaken by management has identified that historical debt write-offs and future expected losses are immaterial. This assessment took into consideration </w:t>
      </w:r>
      <w:r w:rsidR="0030196D">
        <w:t>COVID</w:t>
      </w:r>
      <w:r w:rsidR="0030196D">
        <w:noBreakHyphen/>
        <w:t>19</w:t>
      </w:r>
      <w:r>
        <w:t xml:space="preserve"> with no expected material impact on the future recoverability of debtors. As such, there is no allowance for expected credit losses as at 30 June 2021 (2019-20: nil).</w:t>
      </w:r>
    </w:p>
    <w:p w14:paraId="04642DC0" w14:textId="744D3759" w:rsidR="00892725" w:rsidRDefault="00892725" w:rsidP="00892725">
      <w:pPr>
        <w:pStyle w:val="BodyText"/>
      </w:pPr>
      <w:r>
        <w:t xml:space="preserve">All financial risk management instruments are transacted with </w:t>
      </w:r>
      <w:r w:rsidR="00DC0A06">
        <w:t>Treasury Corporation of Victoria</w:t>
      </w:r>
      <w:r>
        <w:t xml:space="preserve">, whose liabilities are guaranteed by the Victorian Government. The Corporation potentially has a concentration of credit risk with </w:t>
      </w:r>
      <w:r w:rsidR="00DC0A06">
        <w:t>Treasury Corporation of Victoria</w:t>
      </w:r>
      <w:r>
        <w:t xml:space="preserve"> as the central borrowing authority of Victoria. This risk is considered minimal.</w:t>
      </w:r>
    </w:p>
    <w:p w14:paraId="123BC5F1" w14:textId="77777777" w:rsidR="00892725" w:rsidRDefault="00892725" w:rsidP="00892725">
      <w:pPr>
        <w:pStyle w:val="Heading4"/>
      </w:pPr>
      <w:r>
        <w:t>6.1.5 Liquidity risk</w:t>
      </w:r>
    </w:p>
    <w:p w14:paraId="1FAD8AC7" w14:textId="039B3D0E" w:rsidR="00892725" w:rsidRDefault="00892725" w:rsidP="00892725">
      <w:pPr>
        <w:pStyle w:val="BodyText"/>
      </w:pPr>
      <w:r>
        <w:t>Liquidity risk is the risk that the Corporation will not be able to meet its short-term financial obligations. The Corporation manages liquidity risk by maintaining and conducting efficient banking practices and account structures, sound cash management practices and regular monitoring of the maturity profile of assets and liabilities, together with anticipated cash flows.</w:t>
      </w:r>
    </w:p>
    <w:p w14:paraId="132BE8E9" w14:textId="6C796972" w:rsidR="00892725" w:rsidRDefault="00892725" w:rsidP="00892725">
      <w:pPr>
        <w:pStyle w:val="BodyText"/>
      </w:pPr>
      <w:r>
        <w:t>The objective of the Corporation's financial risk management policies is the optimal utilisation of cash with all surplus funds used to repay borrowings.</w:t>
      </w:r>
    </w:p>
    <w:p w14:paraId="00471565" w14:textId="77777777" w:rsidR="00892725" w:rsidRPr="00276B00" w:rsidRDefault="00892725" w:rsidP="00276B00">
      <w:pPr>
        <w:pStyle w:val="BodyText"/>
        <w:rPr>
          <w:rStyle w:val="Bold"/>
        </w:rPr>
      </w:pPr>
      <w:r w:rsidRPr="00276B00">
        <w:rPr>
          <w:rStyle w:val="Bold"/>
        </w:rPr>
        <w:t>Undiscounted maturity analysis of financial liabilities</w:t>
      </w:r>
    </w:p>
    <w:p w14:paraId="08CF31C7" w14:textId="420C83C1" w:rsidR="00892725" w:rsidRDefault="00892725" w:rsidP="00892725">
      <w:pPr>
        <w:pStyle w:val="BodyText"/>
      </w:pPr>
      <w:r>
        <w:t>2021</w:t>
      </w:r>
    </w:p>
    <w:tbl>
      <w:tblPr>
        <w:tblStyle w:val="Style1"/>
        <w:tblW w:w="5000" w:type="pct"/>
        <w:tblLook w:val="04A0" w:firstRow="1" w:lastRow="0" w:firstColumn="1" w:lastColumn="0" w:noHBand="0" w:noVBand="1"/>
      </w:tblPr>
      <w:tblGrid>
        <w:gridCol w:w="2552"/>
        <w:gridCol w:w="1416"/>
        <w:gridCol w:w="1418"/>
        <w:gridCol w:w="1418"/>
        <w:gridCol w:w="1456"/>
        <w:gridCol w:w="1371"/>
      </w:tblGrid>
      <w:tr w:rsidR="00892725" w:rsidRPr="00136CC4" w14:paraId="57594BC9" w14:textId="1FF80811" w:rsidTr="00617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tcBorders>
            <w:vAlign w:val="bottom"/>
          </w:tcPr>
          <w:p w14:paraId="0E60591C" w14:textId="77777777" w:rsidR="00892725" w:rsidRPr="00136CC4" w:rsidRDefault="00892725" w:rsidP="00136CC4">
            <w:bookmarkStart w:id="1131" w:name="ColumnTitle_90"/>
            <w:r w:rsidRPr="00136CC4">
              <w:t>Item</w:t>
            </w:r>
          </w:p>
        </w:tc>
        <w:tc>
          <w:tcPr>
            <w:tcW w:w="735" w:type="pct"/>
            <w:tcBorders>
              <w:top w:val="single" w:sz="4" w:space="0" w:color="auto"/>
            </w:tcBorders>
            <w:vAlign w:val="bottom"/>
          </w:tcPr>
          <w:p w14:paraId="45D55623" w14:textId="6E3AEE5F"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Total carrying</w:t>
            </w:r>
            <w:r w:rsidR="002D2C34">
              <w:t xml:space="preserve"> </w:t>
            </w:r>
            <w:r w:rsidR="00136CC4">
              <w:t xml:space="preserve"> a</w:t>
            </w:r>
            <w:r w:rsidRPr="00136CC4">
              <w:t>mount</w:t>
            </w:r>
          </w:p>
          <w:p w14:paraId="24566983"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6" w:type="pct"/>
            <w:tcBorders>
              <w:top w:val="single" w:sz="4" w:space="0" w:color="auto"/>
            </w:tcBorders>
            <w:vAlign w:val="bottom"/>
          </w:tcPr>
          <w:p w14:paraId="710DFEB3" w14:textId="180C8AB5"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xml:space="preserve">Total </w:t>
            </w:r>
            <w:r w:rsidR="00136CC4">
              <w:t xml:space="preserve"> c</w:t>
            </w:r>
            <w:r w:rsidRPr="00136CC4">
              <w:t>ontractual</w:t>
            </w:r>
            <w:r w:rsidR="00136CC4">
              <w:t xml:space="preserve"> </w:t>
            </w:r>
            <w:r w:rsidRPr="00136CC4">
              <w:t>cash flows</w:t>
            </w:r>
          </w:p>
          <w:p w14:paraId="40F11FAC"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6" w:type="pct"/>
            <w:tcBorders>
              <w:top w:val="single" w:sz="4" w:space="0" w:color="auto"/>
            </w:tcBorders>
            <w:vAlign w:val="bottom"/>
          </w:tcPr>
          <w:p w14:paraId="58715DAA" w14:textId="17C935C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1 year or less</w:t>
            </w:r>
          </w:p>
          <w:p w14:paraId="10232D16"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56" w:type="pct"/>
            <w:tcBorders>
              <w:top w:val="single" w:sz="4" w:space="0" w:color="auto"/>
            </w:tcBorders>
            <w:vAlign w:val="bottom"/>
          </w:tcPr>
          <w:p w14:paraId="052CF5F4" w14:textId="4F75A67D"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1 to 5 years</w:t>
            </w:r>
          </w:p>
          <w:p w14:paraId="28E43F33"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12" w:type="pct"/>
            <w:tcBorders>
              <w:top w:val="single" w:sz="4" w:space="0" w:color="auto"/>
            </w:tcBorders>
            <w:vAlign w:val="bottom"/>
          </w:tcPr>
          <w:p w14:paraId="3487524D" w14:textId="77777777" w:rsidR="00892725" w:rsidRPr="00136CC4" w:rsidRDefault="00892725" w:rsidP="00617766">
            <w:pPr>
              <w:cnfStyle w:val="100000000000" w:firstRow="1" w:lastRow="0" w:firstColumn="0" w:lastColumn="0" w:oddVBand="0" w:evenVBand="0" w:oddHBand="0" w:evenHBand="0" w:firstRowFirstColumn="0" w:firstRowLastColumn="0" w:lastRowFirstColumn="0" w:lastRowLastColumn="0"/>
            </w:pPr>
            <w:r w:rsidRPr="00136CC4">
              <w:t>Over 5 years</w:t>
            </w:r>
          </w:p>
          <w:p w14:paraId="095A301F" w14:textId="695F28F2" w:rsidR="00892725" w:rsidRPr="00136CC4" w:rsidRDefault="00892725" w:rsidP="00617766">
            <w:pPr>
              <w:cnfStyle w:val="100000000000" w:firstRow="1" w:lastRow="0" w:firstColumn="0" w:lastColumn="0" w:oddVBand="0" w:evenVBand="0" w:oddHBand="0" w:evenHBand="0" w:firstRowFirstColumn="0" w:firstRowLastColumn="0" w:lastRowFirstColumn="0" w:lastRowLastColumn="0"/>
            </w:pPr>
            <w:r w:rsidRPr="00136CC4">
              <w:t>($ thousands)</w:t>
            </w:r>
          </w:p>
        </w:tc>
      </w:tr>
      <w:bookmarkEnd w:id="1131"/>
      <w:tr w:rsidR="00892725" w:rsidRPr="00300324" w14:paraId="5927BDF1" w14:textId="6B3EE0C6" w:rsidTr="00136CC4">
        <w:tc>
          <w:tcPr>
            <w:cnfStyle w:val="001000000000" w:firstRow="0" w:lastRow="0" w:firstColumn="1" w:lastColumn="0" w:oddVBand="0" w:evenVBand="0" w:oddHBand="0" w:evenHBand="0" w:firstRowFirstColumn="0" w:firstRowLastColumn="0" w:lastRowFirstColumn="0" w:lastRowLastColumn="0"/>
            <w:tcW w:w="1325" w:type="pct"/>
            <w:vAlign w:val="top"/>
          </w:tcPr>
          <w:p w14:paraId="17BD4A12" w14:textId="44410060" w:rsidR="00892725" w:rsidRDefault="00892725" w:rsidP="00136CC4">
            <w:pPr>
              <w:pStyle w:val="TableBodyText"/>
            </w:pPr>
            <w:r>
              <w:t>Non-interest bearing</w:t>
            </w:r>
          </w:p>
        </w:tc>
        <w:tc>
          <w:tcPr>
            <w:tcW w:w="735" w:type="pct"/>
            <w:vAlign w:val="top"/>
          </w:tcPr>
          <w:p w14:paraId="53CF452B" w14:textId="0B11BD4A"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361,350</w:t>
            </w:r>
          </w:p>
        </w:tc>
        <w:tc>
          <w:tcPr>
            <w:tcW w:w="736" w:type="pct"/>
            <w:vAlign w:val="top"/>
          </w:tcPr>
          <w:p w14:paraId="519D580A" w14:textId="16790580"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361,350</w:t>
            </w:r>
          </w:p>
        </w:tc>
        <w:tc>
          <w:tcPr>
            <w:tcW w:w="736" w:type="pct"/>
            <w:vAlign w:val="top"/>
          </w:tcPr>
          <w:p w14:paraId="1C47542C" w14:textId="0725FF5F"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358,336</w:t>
            </w:r>
          </w:p>
        </w:tc>
        <w:tc>
          <w:tcPr>
            <w:tcW w:w="756" w:type="pct"/>
            <w:vAlign w:val="top"/>
          </w:tcPr>
          <w:p w14:paraId="7774DBF8" w14:textId="109526B0"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3,014</w:t>
            </w:r>
          </w:p>
        </w:tc>
        <w:tc>
          <w:tcPr>
            <w:tcW w:w="712" w:type="pct"/>
            <w:vAlign w:val="top"/>
          </w:tcPr>
          <w:p w14:paraId="6641EFBB" w14:textId="35D92015"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N/A</w:t>
            </w:r>
          </w:p>
        </w:tc>
      </w:tr>
      <w:tr w:rsidR="00892725" w:rsidRPr="00300324" w14:paraId="1DC3A3A9" w14:textId="77777777" w:rsidTr="00136CC4">
        <w:tc>
          <w:tcPr>
            <w:cnfStyle w:val="001000000000" w:firstRow="0" w:lastRow="0" w:firstColumn="1" w:lastColumn="0" w:oddVBand="0" w:evenVBand="0" w:oddHBand="0" w:evenHBand="0" w:firstRowFirstColumn="0" w:firstRowLastColumn="0" w:lastRowFirstColumn="0" w:lastRowLastColumn="0"/>
            <w:tcW w:w="1325" w:type="pct"/>
            <w:vAlign w:val="top"/>
          </w:tcPr>
          <w:p w14:paraId="5740531E" w14:textId="5CA5EF99" w:rsidR="00892725" w:rsidRDefault="00892725" w:rsidP="00136CC4">
            <w:pPr>
              <w:pStyle w:val="TableBodyText"/>
            </w:pPr>
            <w:r>
              <w:t>Variable rate</w:t>
            </w:r>
          </w:p>
        </w:tc>
        <w:tc>
          <w:tcPr>
            <w:tcW w:w="735" w:type="pct"/>
            <w:vAlign w:val="top"/>
          </w:tcPr>
          <w:p w14:paraId="59C18BE0" w14:textId="1501C355"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201,445</w:t>
            </w:r>
          </w:p>
        </w:tc>
        <w:tc>
          <w:tcPr>
            <w:tcW w:w="736" w:type="pct"/>
            <w:vAlign w:val="top"/>
          </w:tcPr>
          <w:p w14:paraId="711FF261" w14:textId="30EAE259"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203,537</w:t>
            </w:r>
          </w:p>
        </w:tc>
        <w:tc>
          <w:tcPr>
            <w:tcW w:w="736" w:type="pct"/>
            <w:vAlign w:val="top"/>
          </w:tcPr>
          <w:p w14:paraId="71A2638E" w14:textId="61591BDC"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66,977</w:t>
            </w:r>
          </w:p>
        </w:tc>
        <w:tc>
          <w:tcPr>
            <w:tcW w:w="756" w:type="pct"/>
            <w:vAlign w:val="top"/>
          </w:tcPr>
          <w:p w14:paraId="7DD22336" w14:textId="76F97EE7"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101,132</w:t>
            </w:r>
          </w:p>
        </w:tc>
        <w:tc>
          <w:tcPr>
            <w:tcW w:w="712" w:type="pct"/>
            <w:vAlign w:val="top"/>
          </w:tcPr>
          <w:p w14:paraId="019DCCBA" w14:textId="721EC1A7"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35,428</w:t>
            </w:r>
          </w:p>
        </w:tc>
      </w:tr>
      <w:tr w:rsidR="00892725" w:rsidRPr="00300324" w14:paraId="55835178" w14:textId="77777777" w:rsidTr="00136CC4">
        <w:tc>
          <w:tcPr>
            <w:cnfStyle w:val="001000000000" w:firstRow="0" w:lastRow="0" w:firstColumn="1" w:lastColumn="0" w:oddVBand="0" w:evenVBand="0" w:oddHBand="0" w:evenHBand="0" w:firstRowFirstColumn="0" w:firstRowLastColumn="0" w:lastRowFirstColumn="0" w:lastRowLastColumn="0"/>
            <w:tcW w:w="1325" w:type="pct"/>
            <w:vAlign w:val="top"/>
          </w:tcPr>
          <w:p w14:paraId="01F5F246" w14:textId="51772BC5" w:rsidR="00892725" w:rsidRDefault="00892725" w:rsidP="00136CC4">
            <w:pPr>
              <w:pStyle w:val="TableBodyText"/>
            </w:pPr>
            <w:r>
              <w:t>Fixed rate</w:t>
            </w:r>
          </w:p>
        </w:tc>
        <w:tc>
          <w:tcPr>
            <w:tcW w:w="735" w:type="pct"/>
            <w:vAlign w:val="top"/>
          </w:tcPr>
          <w:p w14:paraId="535C25C5" w14:textId="479CECA4"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7,660,813</w:t>
            </w:r>
          </w:p>
        </w:tc>
        <w:tc>
          <w:tcPr>
            <w:tcW w:w="736" w:type="pct"/>
            <w:vAlign w:val="top"/>
          </w:tcPr>
          <w:p w14:paraId="1121D535" w14:textId="4C0BA22C"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14,113,901</w:t>
            </w:r>
          </w:p>
        </w:tc>
        <w:tc>
          <w:tcPr>
            <w:tcW w:w="736" w:type="pct"/>
            <w:vAlign w:val="top"/>
          </w:tcPr>
          <w:p w14:paraId="59FD062E" w14:textId="7978CE7F"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861,325</w:t>
            </w:r>
          </w:p>
        </w:tc>
        <w:tc>
          <w:tcPr>
            <w:tcW w:w="756" w:type="pct"/>
            <w:vAlign w:val="top"/>
          </w:tcPr>
          <w:p w14:paraId="5AE2E7D4" w14:textId="5628E0A7"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3,933,266</w:t>
            </w:r>
          </w:p>
        </w:tc>
        <w:tc>
          <w:tcPr>
            <w:tcW w:w="712" w:type="pct"/>
            <w:vAlign w:val="top"/>
          </w:tcPr>
          <w:p w14:paraId="4DE4970B" w14:textId="1F768432"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9,319,310</w:t>
            </w:r>
          </w:p>
        </w:tc>
      </w:tr>
      <w:tr w:rsidR="00892725" w:rsidRPr="00735F7D" w14:paraId="5FB99014" w14:textId="01E4A858" w:rsidTr="00136CC4">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bottom w:val="single" w:sz="4" w:space="0" w:color="auto"/>
            </w:tcBorders>
            <w:vAlign w:val="top"/>
          </w:tcPr>
          <w:p w14:paraId="674455E5" w14:textId="77777777" w:rsidR="00892725" w:rsidRPr="00735F7D" w:rsidRDefault="00892725" w:rsidP="00136CC4">
            <w:pPr>
              <w:pStyle w:val="TableBodyText"/>
              <w:rPr>
                <w:rStyle w:val="Bold"/>
              </w:rPr>
            </w:pPr>
            <w:r w:rsidRPr="00735F7D">
              <w:rPr>
                <w:rStyle w:val="Bold"/>
              </w:rPr>
              <w:t>Total</w:t>
            </w:r>
          </w:p>
        </w:tc>
        <w:tc>
          <w:tcPr>
            <w:tcW w:w="735" w:type="pct"/>
            <w:tcBorders>
              <w:top w:val="single" w:sz="4" w:space="0" w:color="auto"/>
              <w:bottom w:val="single" w:sz="4" w:space="0" w:color="auto"/>
            </w:tcBorders>
            <w:vAlign w:val="top"/>
          </w:tcPr>
          <w:p w14:paraId="43A02B80" w14:textId="0567DAD4" w:rsidR="00892725" w:rsidRPr="00735F7D" w:rsidRDefault="00892725"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8,223,608</w:t>
            </w:r>
          </w:p>
        </w:tc>
        <w:tc>
          <w:tcPr>
            <w:tcW w:w="736" w:type="pct"/>
            <w:tcBorders>
              <w:top w:val="single" w:sz="4" w:space="0" w:color="auto"/>
              <w:bottom w:val="single" w:sz="4" w:space="0" w:color="auto"/>
            </w:tcBorders>
            <w:vAlign w:val="top"/>
          </w:tcPr>
          <w:p w14:paraId="72B1AA42" w14:textId="5CD6D612" w:rsidR="00892725" w:rsidRPr="00735F7D" w:rsidRDefault="00892725"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14,678,788</w:t>
            </w:r>
          </w:p>
        </w:tc>
        <w:tc>
          <w:tcPr>
            <w:tcW w:w="736" w:type="pct"/>
            <w:tcBorders>
              <w:top w:val="single" w:sz="4" w:space="0" w:color="auto"/>
              <w:bottom w:val="single" w:sz="4" w:space="0" w:color="auto"/>
            </w:tcBorders>
            <w:vAlign w:val="top"/>
          </w:tcPr>
          <w:p w14:paraId="24DDA13C" w14:textId="7FAECA41" w:rsidR="00892725" w:rsidRPr="00735F7D" w:rsidRDefault="00892725"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1,286,638</w:t>
            </w:r>
          </w:p>
        </w:tc>
        <w:tc>
          <w:tcPr>
            <w:tcW w:w="756" w:type="pct"/>
            <w:tcBorders>
              <w:top w:val="single" w:sz="4" w:space="0" w:color="auto"/>
              <w:bottom w:val="single" w:sz="4" w:space="0" w:color="auto"/>
            </w:tcBorders>
            <w:vAlign w:val="top"/>
          </w:tcPr>
          <w:p w14:paraId="657F4CFE" w14:textId="4C1288F3" w:rsidR="00892725" w:rsidRPr="00735F7D" w:rsidRDefault="00892725"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4,037,412</w:t>
            </w:r>
          </w:p>
        </w:tc>
        <w:tc>
          <w:tcPr>
            <w:tcW w:w="712" w:type="pct"/>
            <w:tcBorders>
              <w:top w:val="single" w:sz="4" w:space="0" w:color="auto"/>
              <w:bottom w:val="single" w:sz="4" w:space="0" w:color="auto"/>
            </w:tcBorders>
            <w:vAlign w:val="top"/>
          </w:tcPr>
          <w:p w14:paraId="3C1AE06F" w14:textId="20490B50" w:rsidR="00892725" w:rsidRPr="00735F7D" w:rsidRDefault="00892725"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9,354,738</w:t>
            </w:r>
          </w:p>
        </w:tc>
      </w:tr>
    </w:tbl>
    <w:p w14:paraId="42A47340" w14:textId="76F66110" w:rsidR="00892725" w:rsidRDefault="00892725" w:rsidP="00617766">
      <w:pPr>
        <w:pStyle w:val="BodyText"/>
        <w:keepNext/>
      </w:pPr>
      <w:r>
        <w:lastRenderedPageBreak/>
        <w:t>2020</w:t>
      </w:r>
    </w:p>
    <w:tbl>
      <w:tblPr>
        <w:tblStyle w:val="Style1"/>
        <w:tblW w:w="5000" w:type="pct"/>
        <w:tblLook w:val="04A0" w:firstRow="1" w:lastRow="0" w:firstColumn="1" w:lastColumn="0" w:noHBand="0" w:noVBand="1"/>
      </w:tblPr>
      <w:tblGrid>
        <w:gridCol w:w="2552"/>
        <w:gridCol w:w="1416"/>
        <w:gridCol w:w="1418"/>
        <w:gridCol w:w="1418"/>
        <w:gridCol w:w="1456"/>
        <w:gridCol w:w="1371"/>
      </w:tblGrid>
      <w:tr w:rsidR="00892725" w:rsidRPr="00136CC4" w14:paraId="378098A0" w14:textId="77777777" w:rsidTr="00617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tcBorders>
            <w:vAlign w:val="bottom"/>
          </w:tcPr>
          <w:p w14:paraId="39E62D73" w14:textId="77777777" w:rsidR="00892725" w:rsidRPr="00136CC4" w:rsidRDefault="00892725" w:rsidP="00136CC4">
            <w:bookmarkStart w:id="1132" w:name="ColumnTitle_91"/>
            <w:r w:rsidRPr="00136CC4">
              <w:t>Item</w:t>
            </w:r>
          </w:p>
        </w:tc>
        <w:tc>
          <w:tcPr>
            <w:tcW w:w="735" w:type="pct"/>
            <w:tcBorders>
              <w:top w:val="single" w:sz="4" w:space="0" w:color="auto"/>
            </w:tcBorders>
            <w:vAlign w:val="bottom"/>
          </w:tcPr>
          <w:p w14:paraId="4E6A6E64" w14:textId="5C26E673"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xml:space="preserve">Total carrying </w:t>
            </w:r>
            <w:r w:rsidR="00136CC4">
              <w:t xml:space="preserve"> a</w:t>
            </w:r>
            <w:r w:rsidRPr="00136CC4">
              <w:t>mount</w:t>
            </w:r>
          </w:p>
          <w:p w14:paraId="6419D575"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6" w:type="pct"/>
            <w:tcBorders>
              <w:top w:val="single" w:sz="4" w:space="0" w:color="auto"/>
            </w:tcBorders>
            <w:vAlign w:val="bottom"/>
          </w:tcPr>
          <w:p w14:paraId="4E1ECF42" w14:textId="02D4D629"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Total</w:t>
            </w:r>
            <w:r w:rsidR="00136CC4">
              <w:t xml:space="preserve"> </w:t>
            </w:r>
            <w:r w:rsidRPr="00136CC4">
              <w:t xml:space="preserve">contractual </w:t>
            </w:r>
            <w:r w:rsidR="00136CC4">
              <w:t xml:space="preserve"> c</w:t>
            </w:r>
            <w:r w:rsidRPr="00136CC4">
              <w:t>ash flows</w:t>
            </w:r>
          </w:p>
          <w:p w14:paraId="0F01E415"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6" w:type="pct"/>
            <w:tcBorders>
              <w:top w:val="single" w:sz="4" w:space="0" w:color="auto"/>
            </w:tcBorders>
            <w:vAlign w:val="bottom"/>
          </w:tcPr>
          <w:p w14:paraId="5697A995"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1 year or less</w:t>
            </w:r>
          </w:p>
          <w:p w14:paraId="13519C90"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56" w:type="pct"/>
            <w:tcBorders>
              <w:top w:val="single" w:sz="4" w:space="0" w:color="auto"/>
            </w:tcBorders>
            <w:vAlign w:val="bottom"/>
          </w:tcPr>
          <w:p w14:paraId="3CEFF536"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1 to 5 years</w:t>
            </w:r>
          </w:p>
          <w:p w14:paraId="5C9EFB99"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12" w:type="pct"/>
            <w:tcBorders>
              <w:top w:val="single" w:sz="4" w:space="0" w:color="auto"/>
            </w:tcBorders>
            <w:vAlign w:val="bottom"/>
          </w:tcPr>
          <w:p w14:paraId="5A26F466"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Over 5 years</w:t>
            </w:r>
          </w:p>
          <w:p w14:paraId="237AC266" w14:textId="77777777" w:rsidR="00892725" w:rsidRPr="00136CC4" w:rsidRDefault="00892725" w:rsidP="00136CC4">
            <w:pPr>
              <w:cnfStyle w:val="100000000000" w:firstRow="1" w:lastRow="0" w:firstColumn="0" w:lastColumn="0" w:oddVBand="0" w:evenVBand="0" w:oddHBand="0" w:evenHBand="0" w:firstRowFirstColumn="0" w:firstRowLastColumn="0" w:lastRowFirstColumn="0" w:lastRowLastColumn="0"/>
            </w:pPr>
            <w:r w:rsidRPr="00136CC4">
              <w:t>($ thousands)</w:t>
            </w:r>
          </w:p>
        </w:tc>
      </w:tr>
      <w:bookmarkEnd w:id="1132"/>
      <w:tr w:rsidR="00892725" w:rsidRPr="00300324" w14:paraId="00EA3694" w14:textId="77777777" w:rsidTr="00136CC4">
        <w:tc>
          <w:tcPr>
            <w:cnfStyle w:val="001000000000" w:firstRow="0" w:lastRow="0" w:firstColumn="1" w:lastColumn="0" w:oddVBand="0" w:evenVBand="0" w:oddHBand="0" w:evenHBand="0" w:firstRowFirstColumn="0" w:firstRowLastColumn="0" w:lastRowFirstColumn="0" w:lastRowLastColumn="0"/>
            <w:tcW w:w="1325" w:type="pct"/>
            <w:vAlign w:val="top"/>
          </w:tcPr>
          <w:p w14:paraId="5B6BF63C" w14:textId="77777777" w:rsidR="00892725" w:rsidRDefault="00892725" w:rsidP="00136CC4">
            <w:pPr>
              <w:pStyle w:val="TableBodyText"/>
            </w:pPr>
            <w:r>
              <w:t>Non-interest bearing</w:t>
            </w:r>
          </w:p>
        </w:tc>
        <w:tc>
          <w:tcPr>
            <w:tcW w:w="735" w:type="pct"/>
            <w:vAlign w:val="top"/>
          </w:tcPr>
          <w:p w14:paraId="57D239E8" w14:textId="0255066E"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322,135</w:t>
            </w:r>
          </w:p>
        </w:tc>
        <w:tc>
          <w:tcPr>
            <w:tcW w:w="736" w:type="pct"/>
            <w:vAlign w:val="top"/>
          </w:tcPr>
          <w:p w14:paraId="37045884" w14:textId="0CAE800E"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322,135</w:t>
            </w:r>
          </w:p>
        </w:tc>
        <w:tc>
          <w:tcPr>
            <w:tcW w:w="736" w:type="pct"/>
            <w:vAlign w:val="top"/>
          </w:tcPr>
          <w:p w14:paraId="3CC4949F" w14:textId="2A076CEA"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321,668</w:t>
            </w:r>
          </w:p>
        </w:tc>
        <w:tc>
          <w:tcPr>
            <w:tcW w:w="756" w:type="pct"/>
            <w:vAlign w:val="top"/>
          </w:tcPr>
          <w:p w14:paraId="5C867B57" w14:textId="530DBD78"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467</w:t>
            </w:r>
          </w:p>
        </w:tc>
        <w:tc>
          <w:tcPr>
            <w:tcW w:w="712" w:type="pct"/>
            <w:vAlign w:val="top"/>
          </w:tcPr>
          <w:p w14:paraId="2E36A1CE" w14:textId="77777777"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N/A</w:t>
            </w:r>
          </w:p>
        </w:tc>
      </w:tr>
      <w:tr w:rsidR="00892725" w:rsidRPr="00300324" w14:paraId="74876AC2" w14:textId="77777777" w:rsidTr="00136CC4">
        <w:tc>
          <w:tcPr>
            <w:cnfStyle w:val="001000000000" w:firstRow="0" w:lastRow="0" w:firstColumn="1" w:lastColumn="0" w:oddVBand="0" w:evenVBand="0" w:oddHBand="0" w:evenHBand="0" w:firstRowFirstColumn="0" w:firstRowLastColumn="0" w:lastRowFirstColumn="0" w:lastRowLastColumn="0"/>
            <w:tcW w:w="1325" w:type="pct"/>
            <w:vAlign w:val="top"/>
          </w:tcPr>
          <w:p w14:paraId="343C7DF8" w14:textId="77777777" w:rsidR="00892725" w:rsidRDefault="00892725" w:rsidP="00136CC4">
            <w:pPr>
              <w:pStyle w:val="TableBodyText"/>
            </w:pPr>
            <w:r>
              <w:t>Variable rate</w:t>
            </w:r>
          </w:p>
        </w:tc>
        <w:tc>
          <w:tcPr>
            <w:tcW w:w="735" w:type="pct"/>
            <w:vAlign w:val="top"/>
          </w:tcPr>
          <w:p w14:paraId="0FB96166" w14:textId="30E139D2"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614,300</w:t>
            </w:r>
          </w:p>
        </w:tc>
        <w:tc>
          <w:tcPr>
            <w:tcW w:w="736" w:type="pct"/>
            <w:vAlign w:val="top"/>
          </w:tcPr>
          <w:p w14:paraId="55DA3DEA" w14:textId="59AA8ABA"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617,317</w:t>
            </w:r>
          </w:p>
        </w:tc>
        <w:tc>
          <w:tcPr>
            <w:tcW w:w="736" w:type="pct"/>
            <w:vAlign w:val="top"/>
          </w:tcPr>
          <w:p w14:paraId="30861084" w14:textId="388434F6"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431,848</w:t>
            </w:r>
          </w:p>
        </w:tc>
        <w:tc>
          <w:tcPr>
            <w:tcW w:w="756" w:type="pct"/>
            <w:vAlign w:val="top"/>
          </w:tcPr>
          <w:p w14:paraId="2234534C" w14:textId="106A6F71"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185,470</w:t>
            </w:r>
          </w:p>
        </w:tc>
        <w:tc>
          <w:tcPr>
            <w:tcW w:w="712" w:type="pct"/>
            <w:vAlign w:val="top"/>
          </w:tcPr>
          <w:p w14:paraId="4C6C5F0E" w14:textId="1519AA2C"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N/A</w:t>
            </w:r>
          </w:p>
        </w:tc>
      </w:tr>
      <w:tr w:rsidR="00892725" w:rsidRPr="00300324" w14:paraId="3A379A49" w14:textId="77777777" w:rsidTr="00136CC4">
        <w:tc>
          <w:tcPr>
            <w:cnfStyle w:val="001000000000" w:firstRow="0" w:lastRow="0" w:firstColumn="1" w:lastColumn="0" w:oddVBand="0" w:evenVBand="0" w:oddHBand="0" w:evenHBand="0" w:firstRowFirstColumn="0" w:firstRowLastColumn="0" w:lastRowFirstColumn="0" w:lastRowLastColumn="0"/>
            <w:tcW w:w="1325" w:type="pct"/>
            <w:vAlign w:val="top"/>
          </w:tcPr>
          <w:p w14:paraId="0A178A0B" w14:textId="77777777" w:rsidR="00892725" w:rsidRDefault="00892725" w:rsidP="00136CC4">
            <w:pPr>
              <w:pStyle w:val="TableBodyText"/>
            </w:pPr>
            <w:r>
              <w:t>Fixed rate</w:t>
            </w:r>
          </w:p>
        </w:tc>
        <w:tc>
          <w:tcPr>
            <w:tcW w:w="735" w:type="pct"/>
            <w:vAlign w:val="top"/>
          </w:tcPr>
          <w:p w14:paraId="44177B52" w14:textId="4A4C1871" w:rsidR="00892725" w:rsidRDefault="00892725" w:rsidP="00136CC4">
            <w:pPr>
              <w:pStyle w:val="TableBodyText"/>
              <w:cnfStyle w:val="000000000000" w:firstRow="0" w:lastRow="0" w:firstColumn="0" w:lastColumn="0" w:oddVBand="0" w:evenVBand="0" w:oddHBand="0" w:evenHBand="0" w:firstRowFirstColumn="0" w:firstRowLastColumn="0" w:lastRowFirstColumn="0" w:lastRowLastColumn="0"/>
            </w:pPr>
            <w:r>
              <w:t>7,200,428</w:t>
            </w:r>
          </w:p>
        </w:tc>
        <w:tc>
          <w:tcPr>
            <w:tcW w:w="736" w:type="pct"/>
            <w:vAlign w:val="top"/>
          </w:tcPr>
          <w:p w14:paraId="53E2E2E3" w14:textId="40D18D89" w:rsidR="00892725"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14,129,201</w:t>
            </w:r>
          </w:p>
        </w:tc>
        <w:tc>
          <w:tcPr>
            <w:tcW w:w="736" w:type="pct"/>
            <w:vAlign w:val="top"/>
          </w:tcPr>
          <w:p w14:paraId="42270019" w14:textId="7605B832" w:rsidR="00892725"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901,111</w:t>
            </w:r>
          </w:p>
        </w:tc>
        <w:tc>
          <w:tcPr>
            <w:tcW w:w="756" w:type="pct"/>
            <w:vAlign w:val="top"/>
          </w:tcPr>
          <w:p w14:paraId="6D3B8C8E" w14:textId="33212D24" w:rsidR="00892725"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3,670,690</w:t>
            </w:r>
          </w:p>
        </w:tc>
        <w:tc>
          <w:tcPr>
            <w:tcW w:w="712" w:type="pct"/>
            <w:vAlign w:val="top"/>
          </w:tcPr>
          <w:p w14:paraId="208C1CBF" w14:textId="52665E69" w:rsidR="00892725"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9,557,400</w:t>
            </w:r>
          </w:p>
        </w:tc>
      </w:tr>
      <w:tr w:rsidR="00892725" w:rsidRPr="00735F7D" w14:paraId="59141082" w14:textId="77777777" w:rsidTr="00136CC4">
        <w:tc>
          <w:tcPr>
            <w:cnfStyle w:val="001000000000" w:firstRow="0" w:lastRow="0" w:firstColumn="1" w:lastColumn="0" w:oddVBand="0" w:evenVBand="0" w:oddHBand="0" w:evenHBand="0" w:firstRowFirstColumn="0" w:firstRowLastColumn="0" w:lastRowFirstColumn="0" w:lastRowLastColumn="0"/>
            <w:tcW w:w="1325" w:type="pct"/>
            <w:tcBorders>
              <w:top w:val="single" w:sz="4" w:space="0" w:color="auto"/>
              <w:bottom w:val="single" w:sz="4" w:space="0" w:color="auto"/>
            </w:tcBorders>
            <w:vAlign w:val="top"/>
          </w:tcPr>
          <w:p w14:paraId="0226C6A1" w14:textId="77777777" w:rsidR="00892725" w:rsidRPr="00735F7D" w:rsidRDefault="00892725" w:rsidP="00136CC4">
            <w:pPr>
              <w:pStyle w:val="TableBodyText"/>
              <w:rPr>
                <w:rStyle w:val="Bold"/>
              </w:rPr>
            </w:pPr>
            <w:r w:rsidRPr="00735F7D">
              <w:rPr>
                <w:rStyle w:val="Bold"/>
              </w:rPr>
              <w:t>Total</w:t>
            </w:r>
          </w:p>
        </w:tc>
        <w:tc>
          <w:tcPr>
            <w:tcW w:w="735" w:type="pct"/>
            <w:tcBorders>
              <w:top w:val="single" w:sz="4" w:space="0" w:color="auto"/>
              <w:bottom w:val="single" w:sz="4" w:space="0" w:color="auto"/>
            </w:tcBorders>
            <w:vAlign w:val="top"/>
          </w:tcPr>
          <w:p w14:paraId="249EB561" w14:textId="6ADBA4C1" w:rsidR="00892725"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8,136,863</w:t>
            </w:r>
          </w:p>
        </w:tc>
        <w:tc>
          <w:tcPr>
            <w:tcW w:w="736" w:type="pct"/>
            <w:tcBorders>
              <w:top w:val="single" w:sz="4" w:space="0" w:color="auto"/>
              <w:bottom w:val="single" w:sz="4" w:space="0" w:color="auto"/>
            </w:tcBorders>
            <w:vAlign w:val="top"/>
          </w:tcPr>
          <w:p w14:paraId="77A10821" w14:textId="43984DB1" w:rsidR="00892725"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15,068,654</w:t>
            </w:r>
          </w:p>
        </w:tc>
        <w:tc>
          <w:tcPr>
            <w:tcW w:w="736" w:type="pct"/>
            <w:tcBorders>
              <w:top w:val="single" w:sz="4" w:space="0" w:color="auto"/>
              <w:bottom w:val="single" w:sz="4" w:space="0" w:color="auto"/>
            </w:tcBorders>
            <w:vAlign w:val="top"/>
          </w:tcPr>
          <w:p w14:paraId="77C1CC2D" w14:textId="2FCE1E0B" w:rsidR="00892725"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1,654,626</w:t>
            </w:r>
          </w:p>
        </w:tc>
        <w:tc>
          <w:tcPr>
            <w:tcW w:w="756" w:type="pct"/>
            <w:tcBorders>
              <w:top w:val="single" w:sz="4" w:space="0" w:color="auto"/>
              <w:bottom w:val="single" w:sz="4" w:space="0" w:color="auto"/>
            </w:tcBorders>
            <w:vAlign w:val="top"/>
          </w:tcPr>
          <w:p w14:paraId="60C2D3A8" w14:textId="5C1E14D8" w:rsidR="00892725"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3,856,627</w:t>
            </w:r>
          </w:p>
        </w:tc>
        <w:tc>
          <w:tcPr>
            <w:tcW w:w="712" w:type="pct"/>
            <w:tcBorders>
              <w:top w:val="single" w:sz="4" w:space="0" w:color="auto"/>
              <w:bottom w:val="single" w:sz="4" w:space="0" w:color="auto"/>
            </w:tcBorders>
            <w:vAlign w:val="top"/>
          </w:tcPr>
          <w:p w14:paraId="2D3EB0DE" w14:textId="4DC277B6" w:rsidR="00892725"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9,557,400</w:t>
            </w:r>
          </w:p>
        </w:tc>
      </w:tr>
    </w:tbl>
    <w:p w14:paraId="31CA6C27" w14:textId="77777777" w:rsidR="00276B00" w:rsidRDefault="00276B00" w:rsidP="00276B00">
      <w:pPr>
        <w:pStyle w:val="Heading4"/>
      </w:pPr>
      <w:r>
        <w:t>6.1.6 Other matters</w:t>
      </w:r>
    </w:p>
    <w:p w14:paraId="0BE181F1" w14:textId="45F39218" w:rsidR="00892725" w:rsidRDefault="00276B00" w:rsidP="00276B00">
      <w:pPr>
        <w:pStyle w:val="BodyText"/>
        <w:rPr>
          <w:rStyle w:val="Bold"/>
        </w:rPr>
      </w:pPr>
      <w:r w:rsidRPr="00276B00">
        <w:rPr>
          <w:rStyle w:val="Bold"/>
        </w:rPr>
        <w:t>Net holding gain/(loss) on financial instruments by category</w:t>
      </w:r>
    </w:p>
    <w:p w14:paraId="2C3869E7" w14:textId="437E0D90" w:rsidR="00276B00" w:rsidRPr="00276B00" w:rsidRDefault="00276B00" w:rsidP="00276B00">
      <w:pPr>
        <w:pStyle w:val="BodyText"/>
      </w:pPr>
      <w:r>
        <w:t>2021</w:t>
      </w:r>
    </w:p>
    <w:tbl>
      <w:tblPr>
        <w:tblStyle w:val="Style1"/>
        <w:tblW w:w="5000" w:type="pct"/>
        <w:tblLook w:val="04A0" w:firstRow="1" w:lastRow="0" w:firstColumn="1" w:lastColumn="0" w:noHBand="0" w:noVBand="1"/>
      </w:tblPr>
      <w:tblGrid>
        <w:gridCol w:w="4962"/>
        <w:gridCol w:w="1701"/>
        <w:gridCol w:w="1560"/>
        <w:gridCol w:w="1408"/>
      </w:tblGrid>
      <w:tr w:rsidR="00276B00" w:rsidRPr="00136CC4" w14:paraId="05C0C667" w14:textId="77777777" w:rsidTr="00617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tcBorders>
            <w:vAlign w:val="bottom"/>
          </w:tcPr>
          <w:p w14:paraId="639AD644" w14:textId="77777777" w:rsidR="00276B00" w:rsidRPr="00136CC4" w:rsidRDefault="00276B00" w:rsidP="00136CC4">
            <w:bookmarkStart w:id="1133" w:name="ColumnTitle_92"/>
            <w:r w:rsidRPr="00136CC4">
              <w:t>Item</w:t>
            </w:r>
          </w:p>
        </w:tc>
        <w:tc>
          <w:tcPr>
            <w:tcW w:w="883" w:type="pct"/>
            <w:tcBorders>
              <w:top w:val="single" w:sz="4" w:space="0" w:color="auto"/>
            </w:tcBorders>
            <w:vAlign w:val="bottom"/>
          </w:tcPr>
          <w:p w14:paraId="03E92634"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Net holding gain</w:t>
            </w:r>
          </w:p>
          <w:p w14:paraId="11353880" w14:textId="38030EEC"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810" w:type="pct"/>
            <w:tcBorders>
              <w:top w:val="single" w:sz="4" w:space="0" w:color="auto"/>
            </w:tcBorders>
            <w:vAlign w:val="bottom"/>
          </w:tcPr>
          <w:p w14:paraId="4FC8A200" w14:textId="45D3016C"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xml:space="preserve">Interest </w:t>
            </w:r>
            <w:r w:rsidR="00136CC4">
              <w:t xml:space="preserve"> r</w:t>
            </w:r>
            <w:r w:rsidRPr="00136CC4">
              <w:t>evenue/</w:t>
            </w:r>
          </w:p>
          <w:p w14:paraId="1CEE7CAB" w14:textId="14D879E2"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(expense)</w:t>
            </w:r>
          </w:p>
          <w:p w14:paraId="48A6C276" w14:textId="47335099"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1" w:type="pct"/>
            <w:tcBorders>
              <w:top w:val="single" w:sz="4" w:space="0" w:color="auto"/>
            </w:tcBorders>
            <w:vAlign w:val="bottom"/>
          </w:tcPr>
          <w:p w14:paraId="3BA07128"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Total</w:t>
            </w:r>
          </w:p>
          <w:p w14:paraId="66AE27DC" w14:textId="57D6BBD2"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thousands)</w:t>
            </w:r>
          </w:p>
        </w:tc>
      </w:tr>
      <w:bookmarkEnd w:id="1133"/>
      <w:tr w:rsidR="00276B00" w:rsidRPr="00300324" w14:paraId="49E8820F" w14:textId="77777777" w:rsidTr="00276B00">
        <w:tc>
          <w:tcPr>
            <w:cnfStyle w:val="001000000000" w:firstRow="0" w:lastRow="0" w:firstColumn="1" w:lastColumn="0" w:oddVBand="0" w:evenVBand="0" w:oddHBand="0" w:evenHBand="0" w:firstRowFirstColumn="0" w:firstRowLastColumn="0" w:lastRowFirstColumn="0" w:lastRowLastColumn="0"/>
            <w:tcW w:w="2576" w:type="pct"/>
            <w:vAlign w:val="top"/>
          </w:tcPr>
          <w:p w14:paraId="4F88031B" w14:textId="0A209B3A" w:rsidR="00276B00" w:rsidRDefault="00276B00" w:rsidP="00136CC4">
            <w:pPr>
              <w:pStyle w:val="TableBodyText"/>
            </w:pPr>
            <w:r>
              <w:t>Financial assets</w:t>
            </w:r>
          </w:p>
        </w:tc>
        <w:tc>
          <w:tcPr>
            <w:tcW w:w="883" w:type="pct"/>
            <w:vAlign w:val="top"/>
          </w:tcPr>
          <w:p w14:paraId="2FEC0AA9" w14:textId="4F9E9D5F"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vAlign w:val="top"/>
          </w:tcPr>
          <w:p w14:paraId="0D61C5CC" w14:textId="76AED5BD"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110</w:t>
            </w:r>
          </w:p>
        </w:tc>
        <w:tc>
          <w:tcPr>
            <w:tcW w:w="731" w:type="pct"/>
            <w:vAlign w:val="top"/>
          </w:tcPr>
          <w:p w14:paraId="7AEDD2C3" w14:textId="4A98849B"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110</w:t>
            </w:r>
          </w:p>
        </w:tc>
      </w:tr>
      <w:tr w:rsidR="00276B00" w:rsidRPr="00300324" w14:paraId="2CE2C246" w14:textId="77777777" w:rsidTr="00276B00">
        <w:tc>
          <w:tcPr>
            <w:cnfStyle w:val="001000000000" w:firstRow="0" w:lastRow="0" w:firstColumn="1" w:lastColumn="0" w:oddVBand="0" w:evenVBand="0" w:oddHBand="0" w:evenHBand="0" w:firstRowFirstColumn="0" w:firstRowLastColumn="0" w:lastRowFirstColumn="0" w:lastRowLastColumn="0"/>
            <w:tcW w:w="2576" w:type="pct"/>
            <w:vAlign w:val="top"/>
          </w:tcPr>
          <w:p w14:paraId="77D25B3B" w14:textId="6FE38F43" w:rsidR="00276B00" w:rsidRDefault="00276B00" w:rsidP="00136CC4">
            <w:pPr>
              <w:pStyle w:val="TableBodyText"/>
            </w:pPr>
            <w:r>
              <w:t>Financial liabilities at amortised cost</w:t>
            </w:r>
          </w:p>
        </w:tc>
        <w:tc>
          <w:tcPr>
            <w:tcW w:w="883" w:type="pct"/>
            <w:vAlign w:val="top"/>
          </w:tcPr>
          <w:p w14:paraId="5C02D8D9" w14:textId="387E496D"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vAlign w:val="top"/>
          </w:tcPr>
          <w:p w14:paraId="7445E4C1" w14:textId="2FA753DB"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(573,914)</w:t>
            </w:r>
          </w:p>
        </w:tc>
        <w:tc>
          <w:tcPr>
            <w:tcW w:w="731" w:type="pct"/>
            <w:vAlign w:val="top"/>
          </w:tcPr>
          <w:p w14:paraId="3865BDD8" w14:textId="2530A21B"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(573,914)</w:t>
            </w:r>
          </w:p>
        </w:tc>
      </w:tr>
      <w:tr w:rsidR="00276B00" w:rsidRPr="00735F7D" w14:paraId="050FB085" w14:textId="77777777" w:rsidTr="00276B00">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bottom w:val="single" w:sz="4" w:space="0" w:color="auto"/>
            </w:tcBorders>
            <w:vAlign w:val="top"/>
          </w:tcPr>
          <w:p w14:paraId="6A0A8508" w14:textId="77777777" w:rsidR="00276B00" w:rsidRPr="00735F7D" w:rsidRDefault="00276B00" w:rsidP="00136CC4">
            <w:pPr>
              <w:pStyle w:val="TableBodyText"/>
              <w:rPr>
                <w:rStyle w:val="Bold"/>
              </w:rPr>
            </w:pPr>
            <w:r w:rsidRPr="00735F7D">
              <w:rPr>
                <w:rStyle w:val="Bold"/>
              </w:rPr>
              <w:t>Total</w:t>
            </w:r>
          </w:p>
        </w:tc>
        <w:tc>
          <w:tcPr>
            <w:tcW w:w="883" w:type="pct"/>
            <w:tcBorders>
              <w:top w:val="single" w:sz="4" w:space="0" w:color="auto"/>
              <w:bottom w:val="single" w:sz="4" w:space="0" w:color="auto"/>
            </w:tcBorders>
            <w:vAlign w:val="top"/>
          </w:tcPr>
          <w:p w14:paraId="309E7606" w14:textId="6D28988A" w:rsidR="00276B00"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t>N/A</w:t>
            </w:r>
          </w:p>
        </w:tc>
        <w:tc>
          <w:tcPr>
            <w:tcW w:w="810" w:type="pct"/>
            <w:tcBorders>
              <w:top w:val="single" w:sz="4" w:space="0" w:color="auto"/>
              <w:bottom w:val="single" w:sz="4" w:space="0" w:color="auto"/>
            </w:tcBorders>
            <w:vAlign w:val="top"/>
          </w:tcPr>
          <w:p w14:paraId="4A229028" w14:textId="7E25A840" w:rsidR="00276B00"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(573,804)</w:t>
            </w:r>
          </w:p>
        </w:tc>
        <w:tc>
          <w:tcPr>
            <w:tcW w:w="731" w:type="pct"/>
            <w:tcBorders>
              <w:top w:val="single" w:sz="4" w:space="0" w:color="auto"/>
              <w:bottom w:val="single" w:sz="4" w:space="0" w:color="auto"/>
            </w:tcBorders>
            <w:vAlign w:val="top"/>
          </w:tcPr>
          <w:p w14:paraId="2B012F6A" w14:textId="3ECF6ABD" w:rsidR="00276B00"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(573,804)</w:t>
            </w:r>
          </w:p>
        </w:tc>
      </w:tr>
    </w:tbl>
    <w:p w14:paraId="14DC581F" w14:textId="074DDA96" w:rsidR="00276B00" w:rsidRPr="00276B00" w:rsidRDefault="00276B00" w:rsidP="00276B00">
      <w:pPr>
        <w:pStyle w:val="BodyText"/>
      </w:pPr>
      <w:r>
        <w:t>2020</w:t>
      </w:r>
    </w:p>
    <w:tbl>
      <w:tblPr>
        <w:tblStyle w:val="Style1"/>
        <w:tblW w:w="5000" w:type="pct"/>
        <w:tblLook w:val="04A0" w:firstRow="1" w:lastRow="0" w:firstColumn="1" w:lastColumn="0" w:noHBand="0" w:noVBand="1"/>
      </w:tblPr>
      <w:tblGrid>
        <w:gridCol w:w="4962"/>
        <w:gridCol w:w="1701"/>
        <w:gridCol w:w="1560"/>
        <w:gridCol w:w="1408"/>
      </w:tblGrid>
      <w:tr w:rsidR="00276B00" w:rsidRPr="00136CC4" w14:paraId="737620F3" w14:textId="77777777" w:rsidTr="00617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tcBorders>
            <w:vAlign w:val="bottom"/>
          </w:tcPr>
          <w:p w14:paraId="642D4A4B" w14:textId="77777777" w:rsidR="00276B00" w:rsidRPr="00136CC4" w:rsidRDefault="00276B00" w:rsidP="00136CC4">
            <w:bookmarkStart w:id="1134" w:name="ColumnTitle_93"/>
            <w:r w:rsidRPr="00136CC4">
              <w:t>Item</w:t>
            </w:r>
          </w:p>
        </w:tc>
        <w:tc>
          <w:tcPr>
            <w:tcW w:w="883" w:type="pct"/>
            <w:tcBorders>
              <w:top w:val="single" w:sz="4" w:space="0" w:color="auto"/>
            </w:tcBorders>
            <w:vAlign w:val="bottom"/>
          </w:tcPr>
          <w:p w14:paraId="3887FF74"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Net holding gain</w:t>
            </w:r>
          </w:p>
          <w:p w14:paraId="545FE7AC"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810" w:type="pct"/>
            <w:tcBorders>
              <w:top w:val="single" w:sz="4" w:space="0" w:color="auto"/>
            </w:tcBorders>
            <w:vAlign w:val="bottom"/>
          </w:tcPr>
          <w:p w14:paraId="7E4785DA" w14:textId="7BB280F8"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xml:space="preserve">Interest </w:t>
            </w:r>
            <w:r w:rsidR="00136CC4">
              <w:t xml:space="preserve"> r</w:t>
            </w:r>
            <w:r w:rsidRPr="00136CC4">
              <w:t>evenue/</w:t>
            </w:r>
          </w:p>
          <w:p w14:paraId="18E6EA45"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(expense)</w:t>
            </w:r>
          </w:p>
          <w:p w14:paraId="6DB60619"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thousands)</w:t>
            </w:r>
          </w:p>
        </w:tc>
        <w:tc>
          <w:tcPr>
            <w:tcW w:w="731" w:type="pct"/>
            <w:tcBorders>
              <w:top w:val="single" w:sz="4" w:space="0" w:color="auto"/>
            </w:tcBorders>
            <w:vAlign w:val="bottom"/>
          </w:tcPr>
          <w:p w14:paraId="7B14CD49"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Total</w:t>
            </w:r>
          </w:p>
          <w:p w14:paraId="68147269" w14:textId="77777777" w:rsidR="00276B00" w:rsidRPr="00136CC4" w:rsidRDefault="00276B00" w:rsidP="00136CC4">
            <w:pPr>
              <w:cnfStyle w:val="100000000000" w:firstRow="1" w:lastRow="0" w:firstColumn="0" w:lastColumn="0" w:oddVBand="0" w:evenVBand="0" w:oddHBand="0" w:evenHBand="0" w:firstRowFirstColumn="0" w:firstRowLastColumn="0" w:lastRowFirstColumn="0" w:lastRowLastColumn="0"/>
            </w:pPr>
            <w:r w:rsidRPr="00136CC4">
              <w:t>($ thousands)</w:t>
            </w:r>
          </w:p>
        </w:tc>
      </w:tr>
      <w:bookmarkEnd w:id="1134"/>
      <w:tr w:rsidR="00276B00" w:rsidRPr="00300324" w14:paraId="593AA08A" w14:textId="77777777" w:rsidTr="00C778D6">
        <w:tc>
          <w:tcPr>
            <w:cnfStyle w:val="001000000000" w:firstRow="0" w:lastRow="0" w:firstColumn="1" w:lastColumn="0" w:oddVBand="0" w:evenVBand="0" w:oddHBand="0" w:evenHBand="0" w:firstRowFirstColumn="0" w:firstRowLastColumn="0" w:lastRowFirstColumn="0" w:lastRowLastColumn="0"/>
            <w:tcW w:w="2576" w:type="pct"/>
            <w:vAlign w:val="top"/>
          </w:tcPr>
          <w:p w14:paraId="15DAFF51" w14:textId="77777777" w:rsidR="00276B00" w:rsidRDefault="00276B00" w:rsidP="00136CC4">
            <w:pPr>
              <w:pStyle w:val="TableBodyText"/>
            </w:pPr>
            <w:r>
              <w:t>Financial assets</w:t>
            </w:r>
          </w:p>
        </w:tc>
        <w:tc>
          <w:tcPr>
            <w:tcW w:w="883" w:type="pct"/>
            <w:vAlign w:val="top"/>
          </w:tcPr>
          <w:p w14:paraId="0D8195C7" w14:textId="77777777"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10" w:type="pct"/>
            <w:vAlign w:val="top"/>
          </w:tcPr>
          <w:p w14:paraId="3F5BB47B" w14:textId="26C78AB7"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79</w:t>
            </w:r>
          </w:p>
        </w:tc>
        <w:tc>
          <w:tcPr>
            <w:tcW w:w="731" w:type="pct"/>
            <w:vAlign w:val="top"/>
          </w:tcPr>
          <w:p w14:paraId="3C27AD92" w14:textId="6F64EF07"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79</w:t>
            </w:r>
          </w:p>
        </w:tc>
      </w:tr>
      <w:tr w:rsidR="00276B00" w:rsidRPr="00300324" w14:paraId="6CA0437E" w14:textId="77777777" w:rsidTr="00C778D6">
        <w:tc>
          <w:tcPr>
            <w:cnfStyle w:val="001000000000" w:firstRow="0" w:lastRow="0" w:firstColumn="1" w:lastColumn="0" w:oddVBand="0" w:evenVBand="0" w:oddHBand="0" w:evenHBand="0" w:firstRowFirstColumn="0" w:firstRowLastColumn="0" w:lastRowFirstColumn="0" w:lastRowLastColumn="0"/>
            <w:tcW w:w="2576" w:type="pct"/>
            <w:vAlign w:val="top"/>
          </w:tcPr>
          <w:p w14:paraId="392DBA8E" w14:textId="77777777" w:rsidR="00276B00" w:rsidRDefault="00276B00" w:rsidP="00136CC4">
            <w:pPr>
              <w:pStyle w:val="TableBodyText"/>
            </w:pPr>
            <w:r>
              <w:t>Financial liabilities at amortised cost</w:t>
            </w:r>
          </w:p>
        </w:tc>
        <w:tc>
          <w:tcPr>
            <w:tcW w:w="883" w:type="pct"/>
            <w:vAlign w:val="top"/>
          </w:tcPr>
          <w:p w14:paraId="2A5AAD0F" w14:textId="0A65E38A"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38,142</w:t>
            </w:r>
          </w:p>
        </w:tc>
        <w:tc>
          <w:tcPr>
            <w:tcW w:w="810" w:type="pct"/>
            <w:vAlign w:val="top"/>
          </w:tcPr>
          <w:p w14:paraId="73ADD942" w14:textId="5E45C258"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(601,800)</w:t>
            </w:r>
          </w:p>
        </w:tc>
        <w:tc>
          <w:tcPr>
            <w:tcW w:w="731" w:type="pct"/>
            <w:vAlign w:val="top"/>
          </w:tcPr>
          <w:p w14:paraId="6F74BDBF" w14:textId="33E5A6D4" w:rsidR="00276B00" w:rsidRDefault="00276B00" w:rsidP="00136CC4">
            <w:pPr>
              <w:pStyle w:val="TableBodyText"/>
              <w:cnfStyle w:val="000000000000" w:firstRow="0" w:lastRow="0" w:firstColumn="0" w:lastColumn="0" w:oddVBand="0" w:evenVBand="0" w:oddHBand="0" w:evenHBand="0" w:firstRowFirstColumn="0" w:firstRowLastColumn="0" w:lastRowFirstColumn="0" w:lastRowLastColumn="0"/>
            </w:pPr>
            <w:r>
              <w:t>(563,658)</w:t>
            </w:r>
          </w:p>
        </w:tc>
      </w:tr>
      <w:tr w:rsidR="00276B00" w:rsidRPr="00735F7D" w14:paraId="1F736EBC" w14:textId="77777777" w:rsidTr="00C778D6">
        <w:tc>
          <w:tcPr>
            <w:cnfStyle w:val="001000000000" w:firstRow="0" w:lastRow="0" w:firstColumn="1" w:lastColumn="0" w:oddVBand="0" w:evenVBand="0" w:oddHBand="0" w:evenHBand="0" w:firstRowFirstColumn="0" w:firstRowLastColumn="0" w:lastRowFirstColumn="0" w:lastRowLastColumn="0"/>
            <w:tcW w:w="2576" w:type="pct"/>
            <w:tcBorders>
              <w:top w:val="single" w:sz="4" w:space="0" w:color="auto"/>
              <w:bottom w:val="single" w:sz="4" w:space="0" w:color="auto"/>
            </w:tcBorders>
            <w:vAlign w:val="top"/>
          </w:tcPr>
          <w:p w14:paraId="5B4A2365" w14:textId="77777777" w:rsidR="00276B00" w:rsidRPr="00735F7D" w:rsidRDefault="00276B00" w:rsidP="00136CC4">
            <w:pPr>
              <w:pStyle w:val="TableBodyText"/>
              <w:rPr>
                <w:rStyle w:val="Bold"/>
              </w:rPr>
            </w:pPr>
            <w:r w:rsidRPr="00735F7D">
              <w:rPr>
                <w:rStyle w:val="Bold"/>
              </w:rPr>
              <w:t>Total</w:t>
            </w:r>
          </w:p>
        </w:tc>
        <w:tc>
          <w:tcPr>
            <w:tcW w:w="883" w:type="pct"/>
            <w:tcBorders>
              <w:top w:val="single" w:sz="4" w:space="0" w:color="auto"/>
              <w:bottom w:val="single" w:sz="4" w:space="0" w:color="auto"/>
            </w:tcBorders>
            <w:vAlign w:val="top"/>
          </w:tcPr>
          <w:p w14:paraId="463CC5D0" w14:textId="0E5E0740" w:rsidR="00276B00"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t>38,142</w:t>
            </w:r>
          </w:p>
        </w:tc>
        <w:tc>
          <w:tcPr>
            <w:tcW w:w="810" w:type="pct"/>
            <w:tcBorders>
              <w:top w:val="single" w:sz="4" w:space="0" w:color="auto"/>
              <w:bottom w:val="single" w:sz="4" w:space="0" w:color="auto"/>
            </w:tcBorders>
            <w:vAlign w:val="top"/>
          </w:tcPr>
          <w:p w14:paraId="247D9A86" w14:textId="56743E63" w:rsidR="00276B00"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(601,721)</w:t>
            </w:r>
          </w:p>
        </w:tc>
        <w:tc>
          <w:tcPr>
            <w:tcW w:w="731" w:type="pct"/>
            <w:tcBorders>
              <w:top w:val="single" w:sz="4" w:space="0" w:color="auto"/>
              <w:bottom w:val="single" w:sz="4" w:space="0" w:color="auto"/>
            </w:tcBorders>
            <w:vAlign w:val="top"/>
          </w:tcPr>
          <w:p w14:paraId="019DD7FB" w14:textId="0E1B3A20" w:rsidR="00276B00" w:rsidRPr="00735F7D" w:rsidRDefault="00276B00" w:rsidP="00136CC4">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(563,579)</w:t>
            </w:r>
          </w:p>
        </w:tc>
      </w:tr>
    </w:tbl>
    <w:p w14:paraId="695851C2" w14:textId="77777777" w:rsidR="00276B00" w:rsidRDefault="00276B00" w:rsidP="00276B00">
      <w:pPr>
        <w:pStyle w:val="Heading3"/>
      </w:pPr>
      <w:bookmarkStart w:id="1135" w:name="_Toc89723146"/>
      <w:bookmarkStart w:id="1136" w:name="_Ref89844204"/>
      <w:bookmarkStart w:id="1137" w:name="_Ref89845715"/>
      <w:bookmarkStart w:id="1138" w:name="_Toc90326090"/>
      <w:bookmarkStart w:id="1139" w:name="_Toc93659496"/>
      <w:r>
        <w:t>6.2 Fair value determination of financial assets and liabilities</w:t>
      </w:r>
      <w:bookmarkEnd w:id="1135"/>
      <w:bookmarkEnd w:id="1136"/>
      <w:bookmarkEnd w:id="1137"/>
      <w:bookmarkEnd w:id="1138"/>
      <w:bookmarkEnd w:id="1139"/>
    </w:p>
    <w:p w14:paraId="14D6F5F3" w14:textId="7C457856" w:rsidR="00892725" w:rsidRDefault="00276B00" w:rsidP="00276B00">
      <w:pPr>
        <w:pStyle w:val="BodyText"/>
      </w:pPr>
      <w:r>
        <w:t>The fair values and net fair values of financial instrument assets and liabilities are determined as follows:</w:t>
      </w:r>
    </w:p>
    <w:p w14:paraId="6D2A7C9C" w14:textId="1A564AA2" w:rsidR="00276B00" w:rsidRDefault="00276B00" w:rsidP="00C778D6">
      <w:pPr>
        <w:pStyle w:val="ListBullet"/>
      </w:pPr>
      <w:r>
        <w:t>Level 1: the fair value of financial instrument with standard terms and conditions and traded in active liquid markets are determined with reference to quoted market prices.</w:t>
      </w:r>
    </w:p>
    <w:p w14:paraId="23FBE100" w14:textId="30D3370B" w:rsidR="00892725" w:rsidRDefault="00276B00" w:rsidP="00C778D6">
      <w:pPr>
        <w:pStyle w:val="ListBullet"/>
      </w:pPr>
      <w:r>
        <w:t>Level 2: the fair value is determined using inputs other than quoted prices that are observable for the financial asset or liability, either directly or indirectly.</w:t>
      </w:r>
    </w:p>
    <w:p w14:paraId="66B5E3E9" w14:textId="48B66DFC" w:rsidR="00892725" w:rsidRDefault="00276B00" w:rsidP="00C778D6">
      <w:pPr>
        <w:pStyle w:val="ListBullet"/>
      </w:pPr>
      <w:r>
        <w:t>Level 3: the fair value is determined in accordance with generally accepted pricing models based on discounted cash flow analysis using unobservable market inputs.</w:t>
      </w:r>
    </w:p>
    <w:p w14:paraId="625E7783" w14:textId="2D0CC86B" w:rsidR="00892725" w:rsidRDefault="00276B00" w:rsidP="00276B00">
      <w:pPr>
        <w:pStyle w:val="BodyText"/>
      </w:pPr>
      <w:r>
        <w:lastRenderedPageBreak/>
        <w:t>The following table shows the carrying amounts and fair values of financial assets and financial liabilities. The fair values are classified as level 2 within the fair value hierarchy with the exception of cash and cash equivalents (classified as level 1).</w:t>
      </w:r>
    </w:p>
    <w:p w14:paraId="172E14E6" w14:textId="04E403B9" w:rsidR="00276B00" w:rsidRPr="00276B00" w:rsidRDefault="00276B00" w:rsidP="00B52171">
      <w:pPr>
        <w:pStyle w:val="BodyText"/>
        <w:rPr>
          <w:rStyle w:val="Bold"/>
        </w:rPr>
      </w:pPr>
      <w:bookmarkStart w:id="1140" w:name="Carryingrisksend"/>
      <w:r w:rsidRPr="00276B00">
        <w:rPr>
          <w:rStyle w:val="Bold"/>
        </w:rPr>
        <w:t>Carrying amounts, fair values and fair value hierarchy</w:t>
      </w:r>
    </w:p>
    <w:tbl>
      <w:tblPr>
        <w:tblStyle w:val="Style1"/>
        <w:tblW w:w="5000" w:type="pct"/>
        <w:tblLook w:val="04A0" w:firstRow="1" w:lastRow="0" w:firstColumn="1" w:lastColumn="0" w:noHBand="0" w:noVBand="1"/>
      </w:tblPr>
      <w:tblGrid>
        <w:gridCol w:w="3401"/>
        <w:gridCol w:w="1701"/>
        <w:gridCol w:w="1418"/>
        <w:gridCol w:w="1703"/>
        <w:gridCol w:w="1408"/>
      </w:tblGrid>
      <w:tr w:rsidR="00C60500" w:rsidRPr="001A057B" w14:paraId="1D47503D"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tcBorders>
            <w:vAlign w:val="bottom"/>
          </w:tcPr>
          <w:p w14:paraId="405D1E85" w14:textId="44953563" w:rsidR="00C60500" w:rsidRPr="001A057B" w:rsidRDefault="00C60500" w:rsidP="001A057B">
            <w:bookmarkStart w:id="1141" w:name="ColumnTitle_94"/>
            <w:bookmarkEnd w:id="1140"/>
            <w:r w:rsidRPr="001A057B">
              <w:t>Item</w:t>
            </w:r>
          </w:p>
        </w:tc>
        <w:tc>
          <w:tcPr>
            <w:tcW w:w="883" w:type="pct"/>
            <w:tcBorders>
              <w:top w:val="single" w:sz="4" w:space="0" w:color="auto"/>
            </w:tcBorders>
            <w:vAlign w:val="bottom"/>
          </w:tcPr>
          <w:p w14:paraId="1EC71F11" w14:textId="77777777"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Carrying amount</w:t>
            </w:r>
          </w:p>
          <w:p w14:paraId="204A426C" w14:textId="77777777"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2021</w:t>
            </w:r>
          </w:p>
          <w:p w14:paraId="4F68A936" w14:textId="76CEA44F"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 thousands)</w:t>
            </w:r>
          </w:p>
        </w:tc>
        <w:tc>
          <w:tcPr>
            <w:tcW w:w="736" w:type="pct"/>
            <w:tcBorders>
              <w:top w:val="single" w:sz="4" w:space="0" w:color="auto"/>
            </w:tcBorders>
            <w:vAlign w:val="bottom"/>
          </w:tcPr>
          <w:p w14:paraId="12EAE5E6" w14:textId="77777777"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Fair value</w:t>
            </w:r>
          </w:p>
          <w:p w14:paraId="52DF2A07" w14:textId="3EF702D6"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2021</w:t>
            </w:r>
          </w:p>
          <w:p w14:paraId="4149857F" w14:textId="4ED7280A"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 thousands)</w:t>
            </w:r>
          </w:p>
        </w:tc>
        <w:tc>
          <w:tcPr>
            <w:tcW w:w="884" w:type="pct"/>
            <w:tcBorders>
              <w:top w:val="single" w:sz="4" w:space="0" w:color="auto"/>
            </w:tcBorders>
            <w:vAlign w:val="bottom"/>
          </w:tcPr>
          <w:p w14:paraId="3A75B180" w14:textId="77777777"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Carrying amount</w:t>
            </w:r>
          </w:p>
          <w:p w14:paraId="50AE3253" w14:textId="77777777"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2020</w:t>
            </w:r>
          </w:p>
          <w:p w14:paraId="3C933513" w14:textId="6A9704C3"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 thousands)</w:t>
            </w:r>
          </w:p>
        </w:tc>
        <w:tc>
          <w:tcPr>
            <w:tcW w:w="731" w:type="pct"/>
            <w:tcBorders>
              <w:top w:val="single" w:sz="4" w:space="0" w:color="auto"/>
            </w:tcBorders>
            <w:vAlign w:val="bottom"/>
          </w:tcPr>
          <w:p w14:paraId="509C0C4A" w14:textId="77777777"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Fair value</w:t>
            </w:r>
          </w:p>
          <w:p w14:paraId="68121DEE" w14:textId="77777777"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2020</w:t>
            </w:r>
          </w:p>
          <w:p w14:paraId="0C43BA1B" w14:textId="39FB6B7E" w:rsidR="00C60500" w:rsidRPr="001A057B" w:rsidRDefault="00C60500" w:rsidP="001A057B">
            <w:pPr>
              <w:cnfStyle w:val="100000000000" w:firstRow="1" w:lastRow="0" w:firstColumn="0" w:lastColumn="0" w:oddVBand="0" w:evenVBand="0" w:oddHBand="0" w:evenHBand="0" w:firstRowFirstColumn="0" w:firstRowLastColumn="0" w:lastRowFirstColumn="0" w:lastRowLastColumn="0"/>
            </w:pPr>
            <w:r w:rsidRPr="001A057B">
              <w:t>($ thousands)</w:t>
            </w:r>
          </w:p>
        </w:tc>
      </w:tr>
      <w:bookmarkEnd w:id="1141"/>
      <w:tr w:rsidR="00C60500" w:rsidRPr="00835BFD" w14:paraId="2B2A163C"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259F7DC4" w14:textId="77777777" w:rsidR="00C60500" w:rsidRPr="00C60500" w:rsidRDefault="00C60500" w:rsidP="001A057B">
            <w:pPr>
              <w:pStyle w:val="TableBodyText"/>
              <w:rPr>
                <w:rStyle w:val="Bold"/>
              </w:rPr>
            </w:pPr>
            <w:r w:rsidRPr="00C60500">
              <w:rPr>
                <w:rStyle w:val="Bold"/>
              </w:rPr>
              <w:t>Financial assets</w:t>
            </w:r>
          </w:p>
        </w:tc>
        <w:tc>
          <w:tcPr>
            <w:tcW w:w="883" w:type="pct"/>
            <w:vAlign w:val="top"/>
          </w:tcPr>
          <w:p w14:paraId="72A896A6" w14:textId="058D1FE6"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7F440747" w14:textId="2ED8148A"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vAlign w:val="top"/>
          </w:tcPr>
          <w:p w14:paraId="6FD81EBC" w14:textId="4A852449"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52DAB3A1" w14:textId="3468FDAD"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r>
      <w:tr w:rsidR="00C60500" w:rsidRPr="00835BFD" w14:paraId="3406EBD9"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08A3C11C" w14:textId="77777777" w:rsidR="00C60500" w:rsidRPr="00835BFD" w:rsidRDefault="00C60500" w:rsidP="001A057B">
            <w:pPr>
              <w:pStyle w:val="TableBodyText"/>
            </w:pPr>
            <w:r w:rsidRPr="00835BFD">
              <w:t>Cash and cash equivalents</w:t>
            </w:r>
          </w:p>
        </w:tc>
        <w:tc>
          <w:tcPr>
            <w:tcW w:w="883" w:type="pct"/>
            <w:vAlign w:val="top"/>
          </w:tcPr>
          <w:p w14:paraId="0D340353"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3,703</w:t>
            </w:r>
          </w:p>
        </w:tc>
        <w:tc>
          <w:tcPr>
            <w:tcW w:w="736" w:type="pct"/>
            <w:vAlign w:val="top"/>
          </w:tcPr>
          <w:p w14:paraId="31F2E83A"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3,703</w:t>
            </w:r>
          </w:p>
        </w:tc>
        <w:tc>
          <w:tcPr>
            <w:tcW w:w="884" w:type="pct"/>
            <w:vAlign w:val="top"/>
          </w:tcPr>
          <w:p w14:paraId="4EC3CAAB"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14,324</w:t>
            </w:r>
          </w:p>
        </w:tc>
        <w:tc>
          <w:tcPr>
            <w:tcW w:w="731" w:type="pct"/>
            <w:vAlign w:val="top"/>
          </w:tcPr>
          <w:p w14:paraId="46E0AAD8"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14,324</w:t>
            </w:r>
          </w:p>
        </w:tc>
      </w:tr>
      <w:tr w:rsidR="00C60500" w:rsidRPr="00835BFD" w14:paraId="48AF707F"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0892B356" w14:textId="77777777" w:rsidR="00C60500" w:rsidRPr="00835BFD" w:rsidRDefault="00C60500" w:rsidP="001A057B">
            <w:pPr>
              <w:pStyle w:val="TableBodyText"/>
            </w:pPr>
            <w:r w:rsidRPr="00835BFD">
              <w:t>Trade debtors</w:t>
            </w:r>
          </w:p>
        </w:tc>
        <w:tc>
          <w:tcPr>
            <w:tcW w:w="883" w:type="pct"/>
            <w:vAlign w:val="top"/>
          </w:tcPr>
          <w:p w14:paraId="7EF69300"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43,707</w:t>
            </w:r>
          </w:p>
        </w:tc>
        <w:tc>
          <w:tcPr>
            <w:tcW w:w="736" w:type="pct"/>
            <w:vAlign w:val="top"/>
          </w:tcPr>
          <w:p w14:paraId="42DA140E"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43,707</w:t>
            </w:r>
          </w:p>
        </w:tc>
        <w:tc>
          <w:tcPr>
            <w:tcW w:w="884" w:type="pct"/>
            <w:vAlign w:val="top"/>
          </w:tcPr>
          <w:p w14:paraId="43402312"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40,983</w:t>
            </w:r>
          </w:p>
        </w:tc>
        <w:tc>
          <w:tcPr>
            <w:tcW w:w="731" w:type="pct"/>
            <w:vAlign w:val="top"/>
          </w:tcPr>
          <w:p w14:paraId="00BC08EF"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40,983</w:t>
            </w:r>
          </w:p>
        </w:tc>
      </w:tr>
      <w:tr w:rsidR="00C60500" w:rsidRPr="00835BFD" w14:paraId="0542B4E8"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tcBorders>
              <w:bottom w:val="single" w:sz="4" w:space="0" w:color="auto"/>
            </w:tcBorders>
            <w:vAlign w:val="top"/>
          </w:tcPr>
          <w:p w14:paraId="0D7B9068" w14:textId="77777777" w:rsidR="00C60500" w:rsidRPr="00835BFD" w:rsidRDefault="00C60500" w:rsidP="001A057B">
            <w:pPr>
              <w:pStyle w:val="TableBodyText"/>
            </w:pPr>
            <w:r w:rsidRPr="00835BFD">
              <w:t>Other receivables</w:t>
            </w:r>
          </w:p>
        </w:tc>
        <w:tc>
          <w:tcPr>
            <w:tcW w:w="883" w:type="pct"/>
            <w:tcBorders>
              <w:bottom w:val="single" w:sz="4" w:space="0" w:color="auto"/>
            </w:tcBorders>
            <w:vAlign w:val="top"/>
          </w:tcPr>
          <w:p w14:paraId="585FA3AC"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42,673</w:t>
            </w:r>
          </w:p>
        </w:tc>
        <w:tc>
          <w:tcPr>
            <w:tcW w:w="736" w:type="pct"/>
            <w:tcBorders>
              <w:bottom w:val="single" w:sz="4" w:space="0" w:color="auto"/>
            </w:tcBorders>
            <w:vAlign w:val="top"/>
          </w:tcPr>
          <w:p w14:paraId="4F831A7F"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42,673</w:t>
            </w:r>
          </w:p>
        </w:tc>
        <w:tc>
          <w:tcPr>
            <w:tcW w:w="884" w:type="pct"/>
            <w:tcBorders>
              <w:bottom w:val="single" w:sz="4" w:space="0" w:color="auto"/>
            </w:tcBorders>
            <w:vAlign w:val="top"/>
          </w:tcPr>
          <w:p w14:paraId="739C5612"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47,397</w:t>
            </w:r>
          </w:p>
        </w:tc>
        <w:tc>
          <w:tcPr>
            <w:tcW w:w="731" w:type="pct"/>
            <w:tcBorders>
              <w:bottom w:val="single" w:sz="4" w:space="0" w:color="auto"/>
            </w:tcBorders>
            <w:vAlign w:val="top"/>
          </w:tcPr>
          <w:p w14:paraId="1ECBA341"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47,397</w:t>
            </w:r>
          </w:p>
        </w:tc>
      </w:tr>
      <w:tr w:rsidR="00C60500" w:rsidRPr="00C60500" w14:paraId="79D66251"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tcBorders>
            <w:vAlign w:val="top"/>
          </w:tcPr>
          <w:p w14:paraId="6B22D5E9" w14:textId="77777777" w:rsidR="00C60500" w:rsidRPr="00C60500" w:rsidRDefault="00C60500" w:rsidP="001A057B">
            <w:pPr>
              <w:pStyle w:val="TableBodyText"/>
              <w:rPr>
                <w:rStyle w:val="Bold"/>
              </w:rPr>
            </w:pPr>
            <w:r w:rsidRPr="00C60500">
              <w:rPr>
                <w:rStyle w:val="Bold"/>
              </w:rPr>
              <w:t>Total financial assets</w:t>
            </w:r>
          </w:p>
        </w:tc>
        <w:tc>
          <w:tcPr>
            <w:tcW w:w="883" w:type="pct"/>
            <w:tcBorders>
              <w:top w:val="single" w:sz="4" w:space="0" w:color="auto"/>
            </w:tcBorders>
            <w:vAlign w:val="top"/>
          </w:tcPr>
          <w:p w14:paraId="32753D3D" w14:textId="77777777" w:rsidR="00C60500" w:rsidRPr="00C6050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60500">
              <w:rPr>
                <w:rStyle w:val="Bold"/>
              </w:rPr>
              <w:t>90,083</w:t>
            </w:r>
          </w:p>
        </w:tc>
        <w:tc>
          <w:tcPr>
            <w:tcW w:w="736" w:type="pct"/>
            <w:tcBorders>
              <w:top w:val="single" w:sz="4" w:space="0" w:color="auto"/>
            </w:tcBorders>
            <w:vAlign w:val="top"/>
          </w:tcPr>
          <w:p w14:paraId="6130A692" w14:textId="77777777" w:rsidR="00C60500" w:rsidRPr="00C6050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60500">
              <w:rPr>
                <w:rStyle w:val="Bold"/>
              </w:rPr>
              <w:t>90,083</w:t>
            </w:r>
          </w:p>
        </w:tc>
        <w:tc>
          <w:tcPr>
            <w:tcW w:w="884" w:type="pct"/>
            <w:tcBorders>
              <w:top w:val="single" w:sz="4" w:space="0" w:color="auto"/>
            </w:tcBorders>
            <w:vAlign w:val="top"/>
          </w:tcPr>
          <w:p w14:paraId="2273274D" w14:textId="77777777" w:rsidR="00C60500" w:rsidRPr="00C6050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60500">
              <w:rPr>
                <w:rStyle w:val="Bold"/>
              </w:rPr>
              <w:t>102,704</w:t>
            </w:r>
          </w:p>
        </w:tc>
        <w:tc>
          <w:tcPr>
            <w:tcW w:w="731" w:type="pct"/>
            <w:tcBorders>
              <w:top w:val="single" w:sz="4" w:space="0" w:color="auto"/>
            </w:tcBorders>
            <w:vAlign w:val="top"/>
          </w:tcPr>
          <w:p w14:paraId="383F9225" w14:textId="77777777" w:rsidR="00C60500" w:rsidRPr="00C6050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C60500">
              <w:rPr>
                <w:rStyle w:val="Bold"/>
              </w:rPr>
              <w:t>102,704</w:t>
            </w:r>
          </w:p>
        </w:tc>
      </w:tr>
      <w:tr w:rsidR="00C60500" w:rsidRPr="00835BFD" w14:paraId="6820F5D5"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3086A534" w14:textId="77777777" w:rsidR="00C60500" w:rsidRPr="00C60500" w:rsidRDefault="00C60500" w:rsidP="001A057B">
            <w:pPr>
              <w:pStyle w:val="TableBodyText"/>
              <w:rPr>
                <w:rStyle w:val="Bold"/>
              </w:rPr>
            </w:pPr>
            <w:r w:rsidRPr="00C60500">
              <w:rPr>
                <w:rStyle w:val="Bold"/>
              </w:rPr>
              <w:t>Financial liabilities</w:t>
            </w:r>
          </w:p>
        </w:tc>
        <w:tc>
          <w:tcPr>
            <w:tcW w:w="883" w:type="pct"/>
            <w:vAlign w:val="top"/>
          </w:tcPr>
          <w:p w14:paraId="387C8565" w14:textId="5D33E169"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6" w:type="pct"/>
            <w:vAlign w:val="top"/>
          </w:tcPr>
          <w:p w14:paraId="1FBFFF89" w14:textId="7EEC96CC"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84" w:type="pct"/>
            <w:vAlign w:val="top"/>
          </w:tcPr>
          <w:p w14:paraId="23BAF40D" w14:textId="69A3B4F5"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731" w:type="pct"/>
            <w:vAlign w:val="top"/>
          </w:tcPr>
          <w:p w14:paraId="3FACED86" w14:textId="189DCBC1"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t>N/A</w:t>
            </w:r>
          </w:p>
        </w:tc>
      </w:tr>
      <w:tr w:rsidR="00C60500" w:rsidRPr="00835BFD" w14:paraId="1A20AFEF"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5383E982" w14:textId="77777777" w:rsidR="00C60500" w:rsidRPr="00835BFD" w:rsidRDefault="00C60500" w:rsidP="001A057B">
            <w:pPr>
              <w:pStyle w:val="TableBodyText"/>
            </w:pPr>
            <w:r w:rsidRPr="00835BFD">
              <w:t>Payables</w:t>
            </w:r>
          </w:p>
        </w:tc>
        <w:tc>
          <w:tcPr>
            <w:tcW w:w="883" w:type="pct"/>
            <w:vAlign w:val="top"/>
          </w:tcPr>
          <w:p w14:paraId="06A2071B"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361,350</w:t>
            </w:r>
          </w:p>
        </w:tc>
        <w:tc>
          <w:tcPr>
            <w:tcW w:w="736" w:type="pct"/>
            <w:vAlign w:val="top"/>
          </w:tcPr>
          <w:p w14:paraId="10F75959"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361,350</w:t>
            </w:r>
          </w:p>
        </w:tc>
        <w:tc>
          <w:tcPr>
            <w:tcW w:w="884" w:type="pct"/>
            <w:vAlign w:val="top"/>
          </w:tcPr>
          <w:p w14:paraId="7C2B6A32"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322,135</w:t>
            </w:r>
          </w:p>
        </w:tc>
        <w:tc>
          <w:tcPr>
            <w:tcW w:w="731" w:type="pct"/>
            <w:vAlign w:val="top"/>
          </w:tcPr>
          <w:p w14:paraId="2895E937"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322,135</w:t>
            </w:r>
          </w:p>
        </w:tc>
      </w:tr>
      <w:tr w:rsidR="00C60500" w:rsidRPr="00835BFD" w14:paraId="14E54E64"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6E00FBB7" w14:textId="36144560" w:rsidR="00377520" w:rsidRDefault="00DC0A06" w:rsidP="001A057B">
            <w:pPr>
              <w:pStyle w:val="TableBodyText"/>
            </w:pPr>
            <w:r>
              <w:t>Victorian Desalination Plant</w:t>
            </w:r>
            <w:r w:rsidR="00C60500" w:rsidRPr="00835BFD">
              <w:t xml:space="preserve"> service concession liability</w:t>
            </w:r>
          </w:p>
          <w:p w14:paraId="730A2C34" w14:textId="7A7FEEB5" w:rsidR="00C60500" w:rsidRPr="00835BFD" w:rsidRDefault="00926282" w:rsidP="001A057B">
            <w:pPr>
              <w:pStyle w:val="TableBodyText"/>
            </w:pPr>
            <w:hyperlink w:anchor="NoteTable62" w:history="1">
              <w:r w:rsidR="00377520" w:rsidRPr="00377520">
                <w:rPr>
                  <w:rStyle w:val="Hyperlink"/>
                </w:rPr>
                <w:t>refer note</w:t>
              </w:r>
            </w:hyperlink>
          </w:p>
        </w:tc>
        <w:tc>
          <w:tcPr>
            <w:tcW w:w="883" w:type="pct"/>
            <w:vAlign w:val="top"/>
          </w:tcPr>
          <w:p w14:paraId="684EB28F"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3,564,921</w:t>
            </w:r>
          </w:p>
        </w:tc>
        <w:tc>
          <w:tcPr>
            <w:tcW w:w="736" w:type="pct"/>
            <w:vAlign w:val="top"/>
          </w:tcPr>
          <w:p w14:paraId="2E2518E7"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4,921,831</w:t>
            </w:r>
          </w:p>
        </w:tc>
        <w:tc>
          <w:tcPr>
            <w:tcW w:w="884" w:type="pct"/>
            <w:vAlign w:val="top"/>
          </w:tcPr>
          <w:p w14:paraId="6039208B"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3,602,984</w:t>
            </w:r>
          </w:p>
        </w:tc>
        <w:tc>
          <w:tcPr>
            <w:tcW w:w="731" w:type="pct"/>
            <w:vAlign w:val="top"/>
          </w:tcPr>
          <w:p w14:paraId="0AA27168"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4,845,410</w:t>
            </w:r>
          </w:p>
        </w:tc>
      </w:tr>
      <w:tr w:rsidR="00C60500" w:rsidRPr="00835BFD" w14:paraId="675BAE5D"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3BFD213A" w14:textId="77777777" w:rsidR="00C60500" w:rsidRPr="00835BFD" w:rsidRDefault="00C60500" w:rsidP="001A057B">
            <w:pPr>
              <w:pStyle w:val="TableBodyText"/>
            </w:pPr>
            <w:r w:rsidRPr="00835BFD">
              <w:t>Lease liabilities</w:t>
            </w:r>
          </w:p>
        </w:tc>
        <w:tc>
          <w:tcPr>
            <w:tcW w:w="883" w:type="pct"/>
            <w:vAlign w:val="top"/>
          </w:tcPr>
          <w:p w14:paraId="78F0922C"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50,892</w:t>
            </w:r>
          </w:p>
        </w:tc>
        <w:tc>
          <w:tcPr>
            <w:tcW w:w="736" w:type="pct"/>
            <w:vAlign w:val="top"/>
          </w:tcPr>
          <w:p w14:paraId="40249599"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50,892</w:t>
            </w:r>
          </w:p>
        </w:tc>
        <w:tc>
          <w:tcPr>
            <w:tcW w:w="884" w:type="pct"/>
            <w:vAlign w:val="top"/>
          </w:tcPr>
          <w:p w14:paraId="568BF2E9"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57,444</w:t>
            </w:r>
          </w:p>
        </w:tc>
        <w:tc>
          <w:tcPr>
            <w:tcW w:w="731" w:type="pct"/>
            <w:vAlign w:val="top"/>
          </w:tcPr>
          <w:p w14:paraId="51F2B6CD"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57,444</w:t>
            </w:r>
          </w:p>
        </w:tc>
      </w:tr>
      <w:tr w:rsidR="00C60500" w:rsidRPr="00835BFD" w14:paraId="1C7CBC0B"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433D0219" w14:textId="77777777" w:rsidR="00C60500" w:rsidRPr="00835BFD" w:rsidRDefault="00C60500" w:rsidP="001A057B">
            <w:pPr>
              <w:pStyle w:val="TableBodyText"/>
            </w:pPr>
            <w:r w:rsidRPr="00835BFD">
              <w:t>Short-term borrowings</w:t>
            </w:r>
          </w:p>
        </w:tc>
        <w:tc>
          <w:tcPr>
            <w:tcW w:w="883" w:type="pct"/>
            <w:vAlign w:val="top"/>
          </w:tcPr>
          <w:p w14:paraId="16864A88"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66,445</w:t>
            </w:r>
          </w:p>
        </w:tc>
        <w:tc>
          <w:tcPr>
            <w:tcW w:w="736" w:type="pct"/>
            <w:vAlign w:val="top"/>
          </w:tcPr>
          <w:p w14:paraId="38E607E4"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66,445</w:t>
            </w:r>
          </w:p>
        </w:tc>
        <w:tc>
          <w:tcPr>
            <w:tcW w:w="884" w:type="pct"/>
            <w:vAlign w:val="top"/>
          </w:tcPr>
          <w:p w14:paraId="6BC9906A"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289,300</w:t>
            </w:r>
          </w:p>
        </w:tc>
        <w:tc>
          <w:tcPr>
            <w:tcW w:w="731" w:type="pct"/>
            <w:vAlign w:val="top"/>
          </w:tcPr>
          <w:p w14:paraId="2EB62380"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289,300</w:t>
            </w:r>
          </w:p>
        </w:tc>
      </w:tr>
      <w:tr w:rsidR="00C60500" w:rsidRPr="00835BFD" w14:paraId="6766B125"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vAlign w:val="top"/>
          </w:tcPr>
          <w:p w14:paraId="7846C3F7" w14:textId="77777777" w:rsidR="00C60500" w:rsidRPr="00835BFD" w:rsidRDefault="00C60500" w:rsidP="001A057B">
            <w:pPr>
              <w:pStyle w:val="TableBodyText"/>
            </w:pPr>
            <w:r w:rsidRPr="00835BFD">
              <w:t>Floating rate notes</w:t>
            </w:r>
          </w:p>
        </w:tc>
        <w:tc>
          <w:tcPr>
            <w:tcW w:w="883" w:type="pct"/>
            <w:vAlign w:val="top"/>
          </w:tcPr>
          <w:p w14:paraId="4DD8CFFE"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135,000</w:t>
            </w:r>
          </w:p>
        </w:tc>
        <w:tc>
          <w:tcPr>
            <w:tcW w:w="736" w:type="pct"/>
            <w:vAlign w:val="top"/>
          </w:tcPr>
          <w:p w14:paraId="11B02775"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135,445</w:t>
            </w:r>
          </w:p>
        </w:tc>
        <w:tc>
          <w:tcPr>
            <w:tcW w:w="884" w:type="pct"/>
            <w:vAlign w:val="top"/>
          </w:tcPr>
          <w:p w14:paraId="2DE6615D"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325,000</w:t>
            </w:r>
          </w:p>
        </w:tc>
        <w:tc>
          <w:tcPr>
            <w:tcW w:w="731" w:type="pct"/>
            <w:vAlign w:val="top"/>
          </w:tcPr>
          <w:p w14:paraId="7A31E68D"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325,715</w:t>
            </w:r>
          </w:p>
        </w:tc>
      </w:tr>
      <w:tr w:rsidR="00C60500" w:rsidRPr="00835BFD" w14:paraId="52AD8341"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tcBorders>
              <w:bottom w:val="single" w:sz="4" w:space="0" w:color="auto"/>
            </w:tcBorders>
            <w:vAlign w:val="top"/>
          </w:tcPr>
          <w:p w14:paraId="69A6D771" w14:textId="77777777" w:rsidR="00C60500" w:rsidRPr="00835BFD" w:rsidRDefault="00C60500" w:rsidP="001A057B">
            <w:pPr>
              <w:pStyle w:val="TableBodyText"/>
            </w:pPr>
            <w:r w:rsidRPr="00835BFD">
              <w:t>Fixed interest</w:t>
            </w:r>
          </w:p>
        </w:tc>
        <w:tc>
          <w:tcPr>
            <w:tcW w:w="883" w:type="pct"/>
            <w:tcBorders>
              <w:bottom w:val="single" w:sz="4" w:space="0" w:color="auto"/>
            </w:tcBorders>
            <w:vAlign w:val="top"/>
          </w:tcPr>
          <w:p w14:paraId="40A405AF"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4,045,000</w:t>
            </w:r>
          </w:p>
        </w:tc>
        <w:tc>
          <w:tcPr>
            <w:tcW w:w="736" w:type="pct"/>
            <w:tcBorders>
              <w:bottom w:val="single" w:sz="4" w:space="0" w:color="auto"/>
            </w:tcBorders>
            <w:vAlign w:val="top"/>
          </w:tcPr>
          <w:p w14:paraId="6F7AD92C"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4,246,769</w:t>
            </w:r>
          </w:p>
        </w:tc>
        <w:tc>
          <w:tcPr>
            <w:tcW w:w="884" w:type="pct"/>
            <w:tcBorders>
              <w:bottom w:val="single" w:sz="4" w:space="0" w:color="auto"/>
            </w:tcBorders>
            <w:vAlign w:val="top"/>
          </w:tcPr>
          <w:p w14:paraId="56EA5B94"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3,540,000</w:t>
            </w:r>
          </w:p>
        </w:tc>
        <w:tc>
          <w:tcPr>
            <w:tcW w:w="731" w:type="pct"/>
            <w:tcBorders>
              <w:bottom w:val="single" w:sz="4" w:space="0" w:color="auto"/>
            </w:tcBorders>
            <w:vAlign w:val="top"/>
          </w:tcPr>
          <w:p w14:paraId="77C81A7F" w14:textId="77777777" w:rsidR="00C60500" w:rsidRPr="00835BFD" w:rsidRDefault="00C60500" w:rsidP="001A057B">
            <w:pPr>
              <w:pStyle w:val="TableBodyText"/>
              <w:cnfStyle w:val="000000000000" w:firstRow="0" w:lastRow="0" w:firstColumn="0" w:lastColumn="0" w:oddVBand="0" w:evenVBand="0" w:oddHBand="0" w:evenHBand="0" w:firstRowFirstColumn="0" w:firstRowLastColumn="0" w:lastRowFirstColumn="0" w:lastRowLastColumn="0"/>
            </w:pPr>
            <w:r w:rsidRPr="00835BFD">
              <w:t>3,870,461</w:t>
            </w:r>
          </w:p>
        </w:tc>
      </w:tr>
      <w:tr w:rsidR="00C60500" w:rsidRPr="00377520" w14:paraId="5CCF82EF" w14:textId="77777777" w:rsidTr="00377520">
        <w:trPr>
          <w:trHeight w:val="20"/>
        </w:trPr>
        <w:tc>
          <w:tcPr>
            <w:cnfStyle w:val="001000000000" w:firstRow="0" w:lastRow="0" w:firstColumn="1" w:lastColumn="0" w:oddVBand="0" w:evenVBand="0" w:oddHBand="0" w:evenHBand="0" w:firstRowFirstColumn="0" w:firstRowLastColumn="0" w:lastRowFirstColumn="0" w:lastRowLastColumn="0"/>
            <w:tcW w:w="1766" w:type="pct"/>
            <w:tcBorders>
              <w:top w:val="single" w:sz="4" w:space="0" w:color="auto"/>
              <w:bottom w:val="single" w:sz="4" w:space="0" w:color="auto"/>
            </w:tcBorders>
            <w:vAlign w:val="top"/>
          </w:tcPr>
          <w:p w14:paraId="65913E09" w14:textId="77777777" w:rsidR="00C60500" w:rsidRPr="00377520" w:rsidRDefault="00C60500" w:rsidP="001A057B">
            <w:pPr>
              <w:pStyle w:val="TableBodyText"/>
              <w:rPr>
                <w:rStyle w:val="Bold"/>
              </w:rPr>
            </w:pPr>
            <w:r w:rsidRPr="00377520">
              <w:rPr>
                <w:rStyle w:val="Bold"/>
              </w:rPr>
              <w:t>Total financial liabilities</w:t>
            </w:r>
          </w:p>
        </w:tc>
        <w:tc>
          <w:tcPr>
            <w:tcW w:w="883" w:type="pct"/>
            <w:tcBorders>
              <w:top w:val="single" w:sz="4" w:space="0" w:color="auto"/>
              <w:bottom w:val="single" w:sz="4" w:space="0" w:color="auto"/>
            </w:tcBorders>
            <w:vAlign w:val="top"/>
          </w:tcPr>
          <w:p w14:paraId="1005CEEA" w14:textId="77777777" w:rsidR="00C60500" w:rsidRPr="0037752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77520">
              <w:rPr>
                <w:rStyle w:val="Bold"/>
              </w:rPr>
              <w:t>8,223,608</w:t>
            </w:r>
          </w:p>
        </w:tc>
        <w:tc>
          <w:tcPr>
            <w:tcW w:w="736" w:type="pct"/>
            <w:tcBorders>
              <w:top w:val="single" w:sz="4" w:space="0" w:color="auto"/>
              <w:bottom w:val="single" w:sz="4" w:space="0" w:color="auto"/>
            </w:tcBorders>
            <w:vAlign w:val="top"/>
          </w:tcPr>
          <w:p w14:paraId="49DFB336" w14:textId="77777777" w:rsidR="00C60500" w:rsidRPr="0037752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77520">
              <w:rPr>
                <w:rStyle w:val="Bold"/>
              </w:rPr>
              <w:t>9,782,732</w:t>
            </w:r>
          </w:p>
        </w:tc>
        <w:tc>
          <w:tcPr>
            <w:tcW w:w="884" w:type="pct"/>
            <w:tcBorders>
              <w:top w:val="single" w:sz="4" w:space="0" w:color="auto"/>
              <w:bottom w:val="single" w:sz="4" w:space="0" w:color="auto"/>
            </w:tcBorders>
            <w:vAlign w:val="top"/>
          </w:tcPr>
          <w:p w14:paraId="25EAEE0B" w14:textId="77777777" w:rsidR="00C60500" w:rsidRPr="0037752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77520">
              <w:rPr>
                <w:rStyle w:val="Bold"/>
              </w:rPr>
              <w:t>8,136,863</w:t>
            </w:r>
          </w:p>
        </w:tc>
        <w:tc>
          <w:tcPr>
            <w:tcW w:w="731" w:type="pct"/>
            <w:tcBorders>
              <w:top w:val="single" w:sz="4" w:space="0" w:color="auto"/>
              <w:bottom w:val="single" w:sz="4" w:space="0" w:color="auto"/>
            </w:tcBorders>
            <w:vAlign w:val="top"/>
          </w:tcPr>
          <w:p w14:paraId="40BAE427" w14:textId="77777777" w:rsidR="00C60500" w:rsidRPr="00377520" w:rsidRDefault="00C60500" w:rsidP="001A057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377520">
              <w:rPr>
                <w:rStyle w:val="Bold"/>
              </w:rPr>
              <w:t>9,710,465</w:t>
            </w:r>
          </w:p>
        </w:tc>
      </w:tr>
    </w:tbl>
    <w:p w14:paraId="48F55AAF" w14:textId="19F62D02" w:rsidR="00276B00" w:rsidRDefault="00377520" w:rsidP="00377520">
      <w:pPr>
        <w:pStyle w:val="BodyText"/>
      </w:pPr>
      <w:bookmarkStart w:id="1142" w:name="NoteTable62"/>
      <w:r>
        <w:t xml:space="preserve">(a) </w:t>
      </w:r>
      <w:bookmarkEnd w:id="1142"/>
      <w:r>
        <w:t>2019-20 comparative fair value has been restated for consistency with the current year (formerly $3,602,984). The 2019-20 fair value estimate was not available in the previous financial year.</w:t>
      </w:r>
    </w:p>
    <w:p w14:paraId="2B3C6677" w14:textId="77777777" w:rsidR="00377520" w:rsidRDefault="00377520" w:rsidP="00377520">
      <w:pPr>
        <w:pStyle w:val="Heading3"/>
      </w:pPr>
      <w:bookmarkStart w:id="1143" w:name="Note63"/>
      <w:bookmarkStart w:id="1144" w:name="_Toc89723147"/>
      <w:bookmarkStart w:id="1145" w:name="_Ref89844214"/>
      <w:bookmarkStart w:id="1146" w:name="_Ref89845721"/>
      <w:bookmarkStart w:id="1147" w:name="_Toc90326091"/>
      <w:bookmarkStart w:id="1148" w:name="_Toc93659497"/>
      <w:r>
        <w:t xml:space="preserve">6.3 </w:t>
      </w:r>
      <w:bookmarkEnd w:id="1143"/>
      <w:r>
        <w:t>Contingent assets and liabilities</w:t>
      </w:r>
      <w:bookmarkEnd w:id="1144"/>
      <w:bookmarkEnd w:id="1145"/>
      <w:bookmarkEnd w:id="1146"/>
      <w:bookmarkEnd w:id="1147"/>
      <w:bookmarkEnd w:id="1148"/>
    </w:p>
    <w:p w14:paraId="34F7F3FA" w14:textId="53578FB0" w:rsidR="00377520" w:rsidRDefault="00377520" w:rsidP="00377520">
      <w:pPr>
        <w:pStyle w:val="BodyText"/>
      </w:pPr>
      <w:r w:rsidRPr="00377520">
        <w:rPr>
          <w:rStyle w:val="Bold"/>
        </w:rPr>
        <w:t>Contingent assets</w:t>
      </w:r>
      <w:r>
        <w:t xml:space="preserve"> are possible assets that arise from past events, whose existence will be confirmed only by the occurrence or non-occurrence of one or more uncertain future events not wholly within the control of the entity.</w:t>
      </w:r>
    </w:p>
    <w:p w14:paraId="275781B5" w14:textId="77777777" w:rsidR="00377520" w:rsidRDefault="00377520" w:rsidP="00377520">
      <w:pPr>
        <w:pStyle w:val="BodyText"/>
      </w:pPr>
      <w:r w:rsidRPr="00377520">
        <w:rPr>
          <w:rStyle w:val="Bold"/>
        </w:rPr>
        <w:t>Contingent liabilities</w:t>
      </w:r>
      <w:r>
        <w:t xml:space="preserve"> are:</w:t>
      </w:r>
    </w:p>
    <w:p w14:paraId="322F4EE2" w14:textId="77777777" w:rsidR="00377520" w:rsidRPr="00377520" w:rsidRDefault="00377520" w:rsidP="00C778D6">
      <w:pPr>
        <w:pStyle w:val="ListBullet"/>
        <w:spacing w:line="240" w:lineRule="auto"/>
        <w:rPr>
          <w:rFonts w:eastAsia="Cambria"/>
          <w:lang w:eastAsia="en-US"/>
        </w:rPr>
      </w:pPr>
      <w:r>
        <w:t>possible obligations that arise from past events, whose existence will be confirmed only by the occurrence or non-occurrence of one or more uncertain future events not wholly within the control of the entity (for example, potential litigation or climate-related risks)</w:t>
      </w:r>
    </w:p>
    <w:p w14:paraId="4A7E7CB2" w14:textId="70162CDD" w:rsidR="00377520" w:rsidRDefault="00377520" w:rsidP="00C778D6">
      <w:pPr>
        <w:pStyle w:val="ListBullet"/>
      </w:pPr>
      <w:r>
        <w:t>present obligations that arise from past events but are not recognised because:</w:t>
      </w:r>
    </w:p>
    <w:p w14:paraId="3BB7B67F" w14:textId="2F2C82D4" w:rsidR="00377520" w:rsidRDefault="00377520" w:rsidP="00C778D6">
      <w:pPr>
        <w:pStyle w:val="ListBullet2"/>
      </w:pPr>
      <w:r>
        <w:t>it is not probable that an outflow of resources embodying economic benefits will be required to settle the obligations</w:t>
      </w:r>
    </w:p>
    <w:p w14:paraId="6F4A3104" w14:textId="718F1659" w:rsidR="00377520" w:rsidRDefault="00377520" w:rsidP="00C778D6">
      <w:pPr>
        <w:pStyle w:val="ListBullet2"/>
      </w:pPr>
      <w:r>
        <w:t>the amount of the obligations cannot be measured with sufficient reliability.</w:t>
      </w:r>
    </w:p>
    <w:p w14:paraId="23D9B5CF" w14:textId="689EC1C5" w:rsidR="00377520" w:rsidRPr="00377520" w:rsidRDefault="00377520" w:rsidP="00617766">
      <w:pPr>
        <w:pStyle w:val="BodyText"/>
        <w:keepNext/>
      </w:pPr>
      <w:r w:rsidRPr="00377520">
        <w:lastRenderedPageBreak/>
        <w:t>Contingent assets and liabilities are not recognised in the Statement of Financial Position, but if quantifiable are dis</w:t>
      </w:r>
      <w:r>
        <w:t>closed below.</w:t>
      </w:r>
    </w:p>
    <w:tbl>
      <w:tblPr>
        <w:tblStyle w:val="Style1"/>
        <w:tblW w:w="5000" w:type="pct"/>
        <w:tblLook w:val="04A0" w:firstRow="1" w:lastRow="0" w:firstColumn="1" w:lastColumn="0" w:noHBand="0" w:noVBand="1"/>
      </w:tblPr>
      <w:tblGrid>
        <w:gridCol w:w="6520"/>
        <w:gridCol w:w="1560"/>
        <w:gridCol w:w="1551"/>
      </w:tblGrid>
      <w:tr w:rsidR="00377520" w:rsidRPr="001A057B" w14:paraId="17A58F7B"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72209E16" w14:textId="77777777" w:rsidR="00377520" w:rsidRPr="001A057B" w:rsidRDefault="00377520" w:rsidP="0027014B">
            <w:bookmarkStart w:id="1149" w:name="ColumnTitle_95"/>
            <w:r w:rsidRPr="001A057B">
              <w:t>Item</w:t>
            </w:r>
          </w:p>
        </w:tc>
        <w:tc>
          <w:tcPr>
            <w:tcW w:w="810" w:type="pct"/>
            <w:tcBorders>
              <w:top w:val="single" w:sz="4" w:space="0" w:color="auto"/>
            </w:tcBorders>
            <w:vAlign w:val="bottom"/>
          </w:tcPr>
          <w:p w14:paraId="28E71295" w14:textId="43B00C85" w:rsidR="00377520" w:rsidRPr="001A057B" w:rsidRDefault="00377520" w:rsidP="0027014B">
            <w:pPr>
              <w:cnfStyle w:val="100000000000" w:firstRow="1" w:lastRow="0" w:firstColumn="0" w:lastColumn="0" w:oddVBand="0" w:evenVBand="0" w:oddHBand="0" w:evenHBand="0" w:firstRowFirstColumn="0" w:firstRowLastColumn="0" w:lastRowFirstColumn="0" w:lastRowLastColumn="0"/>
            </w:pPr>
            <w:r w:rsidRPr="001A057B">
              <w:t>2021</w:t>
            </w:r>
          </w:p>
          <w:p w14:paraId="43C094E7" w14:textId="77777777" w:rsidR="00377520" w:rsidRPr="001A057B" w:rsidRDefault="00377520" w:rsidP="0027014B">
            <w:pPr>
              <w:cnfStyle w:val="100000000000" w:firstRow="1" w:lastRow="0" w:firstColumn="0" w:lastColumn="0" w:oddVBand="0" w:evenVBand="0" w:oddHBand="0" w:evenHBand="0" w:firstRowFirstColumn="0" w:firstRowLastColumn="0" w:lastRowFirstColumn="0" w:lastRowLastColumn="0"/>
            </w:pPr>
            <w:r w:rsidRPr="001A057B">
              <w:t>($ thousands)</w:t>
            </w:r>
          </w:p>
        </w:tc>
        <w:tc>
          <w:tcPr>
            <w:tcW w:w="805" w:type="pct"/>
            <w:tcBorders>
              <w:top w:val="single" w:sz="4" w:space="0" w:color="auto"/>
            </w:tcBorders>
            <w:vAlign w:val="bottom"/>
          </w:tcPr>
          <w:p w14:paraId="514581C3" w14:textId="02A8E940" w:rsidR="00377520" w:rsidRPr="001A057B" w:rsidRDefault="00377520" w:rsidP="0027014B">
            <w:pPr>
              <w:cnfStyle w:val="100000000000" w:firstRow="1" w:lastRow="0" w:firstColumn="0" w:lastColumn="0" w:oddVBand="0" w:evenVBand="0" w:oddHBand="0" w:evenHBand="0" w:firstRowFirstColumn="0" w:firstRowLastColumn="0" w:lastRowFirstColumn="0" w:lastRowLastColumn="0"/>
            </w:pPr>
            <w:r w:rsidRPr="001A057B">
              <w:t>2020</w:t>
            </w:r>
          </w:p>
          <w:p w14:paraId="728FF48C" w14:textId="77777777" w:rsidR="00377520" w:rsidRPr="001A057B" w:rsidRDefault="00377520" w:rsidP="0027014B">
            <w:pPr>
              <w:cnfStyle w:val="100000000000" w:firstRow="1" w:lastRow="0" w:firstColumn="0" w:lastColumn="0" w:oddVBand="0" w:evenVBand="0" w:oddHBand="0" w:evenHBand="0" w:firstRowFirstColumn="0" w:firstRowLastColumn="0" w:lastRowFirstColumn="0" w:lastRowLastColumn="0"/>
            </w:pPr>
            <w:r w:rsidRPr="001A057B">
              <w:t>($ thousands)</w:t>
            </w:r>
          </w:p>
        </w:tc>
      </w:tr>
      <w:bookmarkEnd w:id="1149"/>
      <w:tr w:rsidR="00377520" w:rsidRPr="00835BFD" w14:paraId="04EBA2A0" w14:textId="77777777" w:rsidTr="0027014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CF469DD" w14:textId="143CAE3E" w:rsidR="00377520" w:rsidRPr="00835BFD" w:rsidRDefault="00377520" w:rsidP="0027014B">
            <w:pPr>
              <w:pStyle w:val="TableBodyText"/>
            </w:pPr>
            <w:r>
              <w:t>Contingent assets</w:t>
            </w:r>
          </w:p>
        </w:tc>
        <w:tc>
          <w:tcPr>
            <w:tcW w:w="810" w:type="pct"/>
            <w:vAlign w:val="top"/>
          </w:tcPr>
          <w:p w14:paraId="71313398" w14:textId="6BCBCD5C" w:rsidR="00377520" w:rsidRPr="00835BFD" w:rsidRDefault="00377520" w:rsidP="0027014B">
            <w:pPr>
              <w:pStyle w:val="TableBodyText"/>
              <w:cnfStyle w:val="000000000000" w:firstRow="0" w:lastRow="0" w:firstColumn="0" w:lastColumn="0" w:oddVBand="0" w:evenVBand="0" w:oddHBand="0" w:evenHBand="0" w:firstRowFirstColumn="0" w:firstRowLastColumn="0" w:lastRowFirstColumn="0" w:lastRowLastColumn="0"/>
            </w:pPr>
            <w:r>
              <w:t>12,971</w:t>
            </w:r>
          </w:p>
        </w:tc>
        <w:tc>
          <w:tcPr>
            <w:tcW w:w="805" w:type="pct"/>
            <w:vAlign w:val="top"/>
          </w:tcPr>
          <w:p w14:paraId="079547AE" w14:textId="19C9E886" w:rsidR="00377520" w:rsidRPr="00835BFD" w:rsidRDefault="00377520" w:rsidP="0027014B">
            <w:pPr>
              <w:pStyle w:val="TableBodyText"/>
              <w:cnfStyle w:val="000000000000" w:firstRow="0" w:lastRow="0" w:firstColumn="0" w:lastColumn="0" w:oddVBand="0" w:evenVBand="0" w:oddHBand="0" w:evenHBand="0" w:firstRowFirstColumn="0" w:firstRowLastColumn="0" w:lastRowFirstColumn="0" w:lastRowLastColumn="0"/>
            </w:pPr>
            <w:r>
              <w:t>15,257</w:t>
            </w:r>
          </w:p>
        </w:tc>
      </w:tr>
      <w:tr w:rsidR="00377520" w:rsidRPr="00835BFD" w14:paraId="25F4E558" w14:textId="77777777" w:rsidTr="0027014B">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5ECA8161" w14:textId="18F599A1" w:rsidR="00377520" w:rsidRPr="00835BFD" w:rsidRDefault="00377520" w:rsidP="0027014B">
            <w:pPr>
              <w:pStyle w:val="TableBodyText"/>
            </w:pPr>
            <w:r>
              <w:t xml:space="preserve">Contingent liabilities </w:t>
            </w:r>
            <w:hyperlink w:anchor="NoteTable63" w:history="1">
              <w:r w:rsidRPr="00377520">
                <w:rPr>
                  <w:rStyle w:val="Hyperlink"/>
                </w:rPr>
                <w:t>refer note</w:t>
              </w:r>
            </w:hyperlink>
          </w:p>
        </w:tc>
        <w:tc>
          <w:tcPr>
            <w:tcW w:w="810" w:type="pct"/>
            <w:tcBorders>
              <w:bottom w:val="single" w:sz="4" w:space="0" w:color="auto"/>
            </w:tcBorders>
            <w:vAlign w:val="top"/>
          </w:tcPr>
          <w:p w14:paraId="544230C7" w14:textId="4EC6653E" w:rsidR="00377520" w:rsidRPr="00835BFD" w:rsidRDefault="00377520" w:rsidP="0027014B">
            <w:pPr>
              <w:pStyle w:val="TableBodyText"/>
              <w:cnfStyle w:val="000000000000" w:firstRow="0" w:lastRow="0" w:firstColumn="0" w:lastColumn="0" w:oddVBand="0" w:evenVBand="0" w:oddHBand="0" w:evenHBand="0" w:firstRowFirstColumn="0" w:firstRowLastColumn="0" w:lastRowFirstColumn="0" w:lastRowLastColumn="0"/>
            </w:pPr>
            <w:r>
              <w:t>45,254</w:t>
            </w:r>
          </w:p>
        </w:tc>
        <w:tc>
          <w:tcPr>
            <w:tcW w:w="805" w:type="pct"/>
            <w:tcBorders>
              <w:bottom w:val="single" w:sz="4" w:space="0" w:color="auto"/>
            </w:tcBorders>
            <w:vAlign w:val="top"/>
          </w:tcPr>
          <w:p w14:paraId="0A5625CD" w14:textId="42D56044" w:rsidR="00377520" w:rsidRPr="00835BFD" w:rsidRDefault="00377520" w:rsidP="0027014B">
            <w:pPr>
              <w:pStyle w:val="TableBodyText"/>
              <w:cnfStyle w:val="000000000000" w:firstRow="0" w:lastRow="0" w:firstColumn="0" w:lastColumn="0" w:oddVBand="0" w:evenVBand="0" w:oddHBand="0" w:evenHBand="0" w:firstRowFirstColumn="0" w:firstRowLastColumn="0" w:lastRowFirstColumn="0" w:lastRowLastColumn="0"/>
            </w:pPr>
            <w:r>
              <w:t>45,146</w:t>
            </w:r>
          </w:p>
        </w:tc>
      </w:tr>
    </w:tbl>
    <w:p w14:paraId="12292EEE" w14:textId="77777777" w:rsidR="00377520" w:rsidRDefault="00377520" w:rsidP="00377520">
      <w:pPr>
        <w:pStyle w:val="BodyText"/>
      </w:pPr>
      <w:r>
        <w:t>Note:</w:t>
      </w:r>
    </w:p>
    <w:p w14:paraId="1C9A7D60" w14:textId="67CF35EA" w:rsidR="00377520" w:rsidRDefault="00377520" w:rsidP="00377520">
      <w:pPr>
        <w:pStyle w:val="BodyText"/>
      </w:pPr>
      <w:bookmarkStart w:id="1150" w:name="NoteTable63"/>
      <w:r>
        <w:t xml:space="preserve">(a) </w:t>
      </w:r>
      <w:bookmarkEnd w:id="1150"/>
      <w:r>
        <w:t>Contingent liabilities primarily relate to compulsory land acquisitions where the Corporation will receive an equivalent land asset. Compulsory land acquisitions have not been included as contingent assets. Given the significant estimation uncertainty, compulsory land acquisitions are not treated as provisions. The Corporation only recognises assets and liabilities once the Notice of Acquisition has been issued to the landowner. Total compulsory land acquisitions for 2020-21 are $40.9 million (2019-20: $40.9 million).</w:t>
      </w:r>
    </w:p>
    <w:p w14:paraId="01B343DC" w14:textId="77777777" w:rsidR="00377520" w:rsidRDefault="00377520" w:rsidP="00377520">
      <w:pPr>
        <w:pStyle w:val="Heading2"/>
      </w:pPr>
      <w:bookmarkStart w:id="1151" w:name="_Toc89723148"/>
      <w:bookmarkStart w:id="1152" w:name="_Toc89723247"/>
      <w:bookmarkStart w:id="1153" w:name="_Toc89723307"/>
      <w:bookmarkStart w:id="1154" w:name="_Ref89844237"/>
      <w:bookmarkStart w:id="1155" w:name="_Toc89860573"/>
      <w:bookmarkStart w:id="1156" w:name="_Toc89860717"/>
      <w:bookmarkStart w:id="1157" w:name="_Toc90326092"/>
      <w:bookmarkStart w:id="1158" w:name="OtherDisclosuresheading"/>
      <w:bookmarkStart w:id="1159" w:name="_Toc93659498"/>
      <w:r>
        <w:t>Other Disclosures</w:t>
      </w:r>
      <w:bookmarkEnd w:id="1151"/>
      <w:bookmarkEnd w:id="1152"/>
      <w:bookmarkEnd w:id="1153"/>
      <w:bookmarkEnd w:id="1154"/>
      <w:bookmarkEnd w:id="1155"/>
      <w:bookmarkEnd w:id="1156"/>
      <w:bookmarkEnd w:id="1157"/>
      <w:bookmarkEnd w:id="1159"/>
    </w:p>
    <w:p w14:paraId="553F05C5" w14:textId="77777777" w:rsidR="00377520" w:rsidRDefault="00377520" w:rsidP="00377520">
      <w:pPr>
        <w:pStyle w:val="Heading3"/>
      </w:pPr>
      <w:bookmarkStart w:id="1160" w:name="_Toc89723149"/>
      <w:bookmarkStart w:id="1161" w:name="_Toc90326093"/>
      <w:bookmarkStart w:id="1162" w:name="_Toc93659499"/>
      <w:bookmarkEnd w:id="1158"/>
      <w:r>
        <w:t>Introduction</w:t>
      </w:r>
      <w:bookmarkEnd w:id="1160"/>
      <w:bookmarkEnd w:id="1161"/>
      <w:bookmarkEnd w:id="1162"/>
    </w:p>
    <w:p w14:paraId="738D710A" w14:textId="555D1BE8" w:rsidR="00377520" w:rsidRDefault="00377520" w:rsidP="00377520">
      <w:pPr>
        <w:pStyle w:val="BodyText"/>
      </w:pPr>
      <w:r>
        <w:t>This section includes those additional disclosures required by Australian Accounting Standards or otherwise, that are material, for the understanding of this financial report.</w:t>
      </w:r>
    </w:p>
    <w:p w14:paraId="14368917" w14:textId="77777777" w:rsidR="00377520" w:rsidRPr="00377520" w:rsidRDefault="00377520" w:rsidP="00377520">
      <w:pPr>
        <w:pStyle w:val="BodyText"/>
        <w:rPr>
          <w:rStyle w:val="Bold"/>
        </w:rPr>
      </w:pPr>
      <w:r w:rsidRPr="00377520">
        <w:rPr>
          <w:rStyle w:val="Bold"/>
        </w:rPr>
        <w:t>Structure</w:t>
      </w:r>
    </w:p>
    <w:p w14:paraId="2EADA30C" w14:textId="5B95CEFC"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_Ref89845804 \h  \* MERGEFORMAT </w:instrText>
      </w:r>
      <w:r w:rsidRPr="006777C8">
        <w:rPr>
          <w:color w:val="0000FF"/>
          <w:u w:val="single"/>
        </w:rPr>
      </w:r>
      <w:r w:rsidRPr="006777C8">
        <w:rPr>
          <w:color w:val="0000FF"/>
          <w:u w:val="single"/>
        </w:rPr>
        <w:fldChar w:fldCharType="separate"/>
      </w:r>
      <w:r w:rsidR="00472151">
        <w:t xml:space="preserve">7.1 </w:t>
      </w:r>
      <w:r w:rsidR="00472151" w:rsidRPr="00472151">
        <w:rPr>
          <w:color w:val="0000FF"/>
          <w:u w:val="single"/>
        </w:rPr>
        <w:t>Superannuation – defined benefit plan</w:t>
      </w:r>
      <w:r w:rsidRPr="006777C8">
        <w:rPr>
          <w:color w:val="0000FF"/>
          <w:u w:val="single"/>
        </w:rPr>
        <w:fldChar w:fldCharType="end"/>
      </w:r>
    </w:p>
    <w:p w14:paraId="0D8943CD" w14:textId="006A4386"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_Ref89845808 \h  \* MERGEFORMAT </w:instrText>
      </w:r>
      <w:r w:rsidRPr="006777C8">
        <w:rPr>
          <w:color w:val="0000FF"/>
          <w:u w:val="single"/>
        </w:rPr>
      </w:r>
      <w:r w:rsidRPr="006777C8">
        <w:rPr>
          <w:color w:val="0000FF"/>
          <w:u w:val="single"/>
        </w:rPr>
        <w:fldChar w:fldCharType="separate"/>
      </w:r>
      <w:r w:rsidR="00472151">
        <w:t xml:space="preserve">7.2 </w:t>
      </w:r>
      <w:r w:rsidR="00472151" w:rsidRPr="00472151">
        <w:rPr>
          <w:color w:val="0000FF"/>
          <w:u w:val="single"/>
        </w:rPr>
        <w:t>Responsible persons</w:t>
      </w:r>
      <w:r w:rsidRPr="006777C8">
        <w:rPr>
          <w:color w:val="0000FF"/>
          <w:u w:val="single"/>
        </w:rPr>
        <w:fldChar w:fldCharType="end"/>
      </w:r>
    </w:p>
    <w:p w14:paraId="6251BC36" w14:textId="679A0D0F"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_Ref89845811 \h  \* MERGEFORMAT </w:instrText>
      </w:r>
      <w:r w:rsidRPr="006777C8">
        <w:rPr>
          <w:color w:val="0000FF"/>
          <w:u w:val="single"/>
        </w:rPr>
      </w:r>
      <w:r w:rsidRPr="006777C8">
        <w:rPr>
          <w:color w:val="0000FF"/>
          <w:u w:val="single"/>
        </w:rPr>
        <w:fldChar w:fldCharType="separate"/>
      </w:r>
      <w:r w:rsidR="00472151">
        <w:t xml:space="preserve">7.3 </w:t>
      </w:r>
      <w:r w:rsidR="00472151" w:rsidRPr="00472151">
        <w:rPr>
          <w:color w:val="0000FF"/>
          <w:u w:val="single"/>
        </w:rPr>
        <w:t>Remuneration of executives</w:t>
      </w:r>
      <w:r w:rsidRPr="006777C8">
        <w:rPr>
          <w:color w:val="0000FF"/>
          <w:u w:val="single"/>
        </w:rPr>
        <w:fldChar w:fldCharType="end"/>
      </w:r>
    </w:p>
    <w:p w14:paraId="5EFC3AB2" w14:textId="59E56997"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_Ref89845816 \h  \* MERGEFORMAT </w:instrText>
      </w:r>
      <w:r w:rsidRPr="006777C8">
        <w:rPr>
          <w:color w:val="0000FF"/>
          <w:u w:val="single"/>
        </w:rPr>
      </w:r>
      <w:r w:rsidRPr="006777C8">
        <w:rPr>
          <w:color w:val="0000FF"/>
          <w:u w:val="single"/>
        </w:rPr>
        <w:fldChar w:fldCharType="separate"/>
      </w:r>
      <w:r w:rsidR="00472151">
        <w:t xml:space="preserve">7.4 </w:t>
      </w:r>
      <w:r w:rsidR="00472151" w:rsidRPr="00472151">
        <w:rPr>
          <w:color w:val="0000FF"/>
          <w:u w:val="single"/>
        </w:rPr>
        <w:t>Related parties</w:t>
      </w:r>
      <w:r w:rsidRPr="006777C8">
        <w:rPr>
          <w:color w:val="0000FF"/>
          <w:u w:val="single"/>
        </w:rPr>
        <w:fldChar w:fldCharType="end"/>
      </w:r>
    </w:p>
    <w:p w14:paraId="6957C638" w14:textId="40DEEFC6"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_Ref89845819 \h  \* MERGEFORMAT </w:instrText>
      </w:r>
      <w:r w:rsidRPr="006777C8">
        <w:rPr>
          <w:color w:val="0000FF"/>
          <w:u w:val="single"/>
        </w:rPr>
      </w:r>
      <w:r w:rsidRPr="006777C8">
        <w:rPr>
          <w:color w:val="0000FF"/>
          <w:u w:val="single"/>
        </w:rPr>
        <w:fldChar w:fldCharType="separate"/>
      </w:r>
      <w:r w:rsidR="00472151" w:rsidRPr="005C05CB">
        <w:t xml:space="preserve">7.5 </w:t>
      </w:r>
      <w:r w:rsidR="00472151" w:rsidRPr="00472151">
        <w:rPr>
          <w:color w:val="0000FF"/>
          <w:u w:val="single"/>
        </w:rPr>
        <w:t>Remuneration of auditors</w:t>
      </w:r>
      <w:r w:rsidRPr="006777C8">
        <w:rPr>
          <w:color w:val="0000FF"/>
          <w:u w:val="single"/>
        </w:rPr>
        <w:fldChar w:fldCharType="end"/>
      </w:r>
    </w:p>
    <w:p w14:paraId="5AA6E43D" w14:textId="5F6ECBFB"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_Ref89845822 \h  \* MERGEFORMAT </w:instrText>
      </w:r>
      <w:r w:rsidRPr="006777C8">
        <w:rPr>
          <w:color w:val="0000FF"/>
          <w:u w:val="single"/>
        </w:rPr>
      </w:r>
      <w:r w:rsidRPr="006777C8">
        <w:rPr>
          <w:color w:val="0000FF"/>
          <w:u w:val="single"/>
        </w:rPr>
        <w:fldChar w:fldCharType="separate"/>
      </w:r>
      <w:r w:rsidR="00472151">
        <w:t xml:space="preserve">7.6 </w:t>
      </w:r>
      <w:r w:rsidR="00472151" w:rsidRPr="00472151">
        <w:rPr>
          <w:color w:val="0000FF"/>
          <w:u w:val="single"/>
        </w:rPr>
        <w:t>Ex-gratia expenses</w:t>
      </w:r>
      <w:r w:rsidRPr="006777C8">
        <w:rPr>
          <w:color w:val="0000FF"/>
          <w:u w:val="single"/>
        </w:rPr>
        <w:fldChar w:fldCharType="end"/>
      </w:r>
    </w:p>
    <w:p w14:paraId="374302D8" w14:textId="7A3067F2"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_Ref89845828 \h  \* MERGEFORMAT </w:instrText>
      </w:r>
      <w:r w:rsidRPr="006777C8">
        <w:rPr>
          <w:color w:val="0000FF"/>
          <w:u w:val="single"/>
        </w:rPr>
      </w:r>
      <w:r w:rsidRPr="006777C8">
        <w:rPr>
          <w:color w:val="0000FF"/>
          <w:u w:val="single"/>
        </w:rPr>
        <w:fldChar w:fldCharType="separate"/>
      </w:r>
      <w:r w:rsidR="00472151">
        <w:t xml:space="preserve">7.7 </w:t>
      </w:r>
      <w:r w:rsidR="00472151" w:rsidRPr="00472151">
        <w:rPr>
          <w:color w:val="0000FF"/>
          <w:u w:val="single"/>
        </w:rPr>
        <w:t>Subsequent events</w:t>
      </w:r>
      <w:r w:rsidRPr="006777C8">
        <w:rPr>
          <w:color w:val="0000FF"/>
          <w:u w:val="single"/>
        </w:rPr>
        <w:fldChar w:fldCharType="end"/>
      </w:r>
    </w:p>
    <w:p w14:paraId="07437C89" w14:textId="7C00E241" w:rsidR="006777C8" w:rsidRPr="006777C8" w:rsidRDefault="006777C8" w:rsidP="006777C8">
      <w:pPr>
        <w:pStyle w:val="NoSpacing"/>
        <w:spacing w:line="288" w:lineRule="auto"/>
        <w:rPr>
          <w:u w:val="single"/>
        </w:rPr>
      </w:pPr>
      <w:r w:rsidRPr="006777C8">
        <w:rPr>
          <w:color w:val="0000FF"/>
          <w:u w:val="single"/>
        </w:rPr>
        <w:fldChar w:fldCharType="begin"/>
      </w:r>
      <w:r w:rsidRPr="006777C8">
        <w:rPr>
          <w:color w:val="0000FF"/>
          <w:u w:val="single"/>
        </w:rPr>
        <w:instrText xml:space="preserve"> REF _Ref89845831 \h  \* MERGEFORMAT </w:instrText>
      </w:r>
      <w:r w:rsidRPr="006777C8">
        <w:rPr>
          <w:color w:val="0000FF"/>
          <w:u w:val="single"/>
        </w:rPr>
      </w:r>
      <w:r w:rsidRPr="006777C8">
        <w:rPr>
          <w:color w:val="0000FF"/>
          <w:u w:val="single"/>
        </w:rPr>
        <w:fldChar w:fldCharType="separate"/>
      </w:r>
      <w:r w:rsidR="00472151">
        <w:t xml:space="preserve">7.8 </w:t>
      </w:r>
      <w:r w:rsidR="00472151" w:rsidRPr="00472151">
        <w:rPr>
          <w:color w:val="0000FF"/>
          <w:u w:val="single"/>
        </w:rPr>
        <w:t>Prospective accounting and reporting changes</w:t>
      </w:r>
      <w:r w:rsidRPr="006777C8">
        <w:rPr>
          <w:color w:val="0000FF"/>
          <w:u w:val="single"/>
        </w:rPr>
        <w:fldChar w:fldCharType="end"/>
      </w:r>
    </w:p>
    <w:p w14:paraId="1930F915" w14:textId="77777777" w:rsidR="00F118C3" w:rsidRDefault="00F118C3" w:rsidP="00F118C3">
      <w:pPr>
        <w:pStyle w:val="Heading3"/>
      </w:pPr>
      <w:bookmarkStart w:id="1163" w:name="Note71"/>
      <w:bookmarkStart w:id="1164" w:name="_Toc89723150"/>
      <w:bookmarkStart w:id="1165" w:name="_Ref89807332"/>
      <w:bookmarkStart w:id="1166" w:name="_Ref89844249"/>
      <w:bookmarkStart w:id="1167" w:name="_Ref89845804"/>
      <w:bookmarkStart w:id="1168" w:name="_Toc90326094"/>
      <w:bookmarkStart w:id="1169" w:name="_Toc93659500"/>
      <w:r>
        <w:t xml:space="preserve">7.1 </w:t>
      </w:r>
      <w:bookmarkEnd w:id="1163"/>
      <w:r>
        <w:t>Superannuation – defined benefit plan</w:t>
      </w:r>
      <w:bookmarkEnd w:id="1164"/>
      <w:bookmarkEnd w:id="1165"/>
      <w:bookmarkEnd w:id="1166"/>
      <w:bookmarkEnd w:id="1167"/>
      <w:bookmarkEnd w:id="1168"/>
      <w:bookmarkEnd w:id="1169"/>
    </w:p>
    <w:p w14:paraId="385CEC77" w14:textId="1BAD9C53" w:rsidR="00F118C3" w:rsidRDefault="00F118C3" w:rsidP="00F118C3">
      <w:pPr>
        <w:pStyle w:val="BodyText"/>
      </w:pPr>
      <w:r>
        <w:t>The defined benefit plan within Equipsuper (the Plan) provides lump sum benefits based on length of service and final superannuable salary for employees engaged prior to 31 December 1993. Employees contribute at rates between 0 per cent to 7.5 per cent of their superannuable salary. The Corporation contributes to the Plan based on the Corporation's commitments under the Employee Participation Agreement and Contribution Policy with the Trustee of the Plan.</w:t>
      </w:r>
    </w:p>
    <w:p w14:paraId="269F4C27" w14:textId="62A45130" w:rsidR="00F118C3" w:rsidRDefault="00F118C3" w:rsidP="00F118C3">
      <w:pPr>
        <w:pStyle w:val="BodyText"/>
      </w:pPr>
      <w:r>
        <w:t>Defined benefit members receive lump sum benefits on retirement, death, disablement and withdrawal. Some defined benefit members are also eligible for pension benefits in some cases. The defined benefit section of the Plan is closed to new members. At each reporting date, a liability or asset in respect of defined benefit superannuation obligations is recognised. This is measured as the difference between the present value of the defined benefit obligations at the reporting date and the net market value of the Plan's assets.</w:t>
      </w:r>
    </w:p>
    <w:p w14:paraId="50F858E2" w14:textId="30EF3C3E" w:rsidR="00F118C3" w:rsidRDefault="00F118C3" w:rsidP="00F118C3">
      <w:pPr>
        <w:pStyle w:val="BodyText"/>
      </w:pPr>
      <w:r>
        <w:t>The present value of defined benefit obligations is based upon future payments, which are expected to arise due to membership of the Plan to date, taking into account the taxes payable by the Plan.</w:t>
      </w:r>
    </w:p>
    <w:p w14:paraId="633D3376" w14:textId="18F34150" w:rsidR="00377520" w:rsidRDefault="00F118C3" w:rsidP="00617766">
      <w:pPr>
        <w:pStyle w:val="BodyText"/>
        <w:keepLines/>
      </w:pPr>
      <w:r>
        <w:lastRenderedPageBreak/>
        <w:t>Consideration is given to expected future salary levels and employee departures. Expected future payments are discounted to present values using yields applying to long-term Commonwealth Government Bonds with six years' duration (2019-20: six years) reflecting future service. Furthermore, the</w:t>
      </w:r>
      <w:r w:rsidR="00203819">
        <w:t xml:space="preserve"> </w:t>
      </w:r>
      <w:r>
        <w:t>inflation assumption is based upon the relationship between nominal and index linked bond yields of similar duration. This approach ensures that the inflation assumption reflects market expectations and is compatible with the market-based discount rate that is used to value the outstanding liability.</w:t>
      </w:r>
    </w:p>
    <w:p w14:paraId="508E9C8F" w14:textId="020D2389" w:rsidR="00F118C3" w:rsidRDefault="00F118C3" w:rsidP="00F118C3">
      <w:pPr>
        <w:pStyle w:val="BodyText"/>
      </w:pPr>
      <w:r>
        <w:t>Remeasurements of the net defined liability or asset, which comprise actuarial gains and losses, return on the Plan assets (excluding interest) and effect of the asset ceiling (if any, excluding interest), are recognised immediately in Other Comprehensive Income. The Corporation determines the net interest expense on the net defined benefit liability for the period by applying the discount rate used to measure the defined benefit obligation at the beginning of the annual period to the net defined benefit liability or asset taking into account contributions and benefit payments during the period. Net interest expense and other expenses related to defined benefit plans are recognised in the Statement of Profit or Loss and Other Comprehensive Income.</w:t>
      </w:r>
    </w:p>
    <w:p w14:paraId="261A6DCC" w14:textId="2E3C02D0" w:rsidR="00377520" w:rsidRDefault="00F118C3" w:rsidP="00F118C3">
      <w:pPr>
        <w:pStyle w:val="BodyText"/>
      </w:pPr>
      <w:r>
        <w:t>When the benefits of the Plan are changed or when a plan is curtailed, the resulting change in benefit that relates to past service or the gain or loss on curtailment is recognised immediately in the Statement of Profit or Loss and Other Comprehensive Income. The Corporation recognises gains and losses on settlement when it occurs.</w:t>
      </w:r>
    </w:p>
    <w:p w14:paraId="418042AB" w14:textId="468DA220" w:rsidR="00F118C3" w:rsidRDefault="00F118C3" w:rsidP="00F118C3">
      <w:pPr>
        <w:pStyle w:val="BodyText"/>
      </w:pPr>
      <w:r>
        <w:t xml:space="preserve">The </w:t>
      </w:r>
      <w:r w:rsidRPr="00F118C3">
        <w:rPr>
          <w:rStyle w:val="Bold"/>
        </w:rPr>
        <w:t>Superannuation Industry Supervision (SIS)</w:t>
      </w:r>
      <w:r>
        <w:t xml:space="preserve"> legislation governs the superannuation industry and provides the framework within which superannuation plans operate. The </w:t>
      </w:r>
      <w:r w:rsidR="00DC0A06">
        <w:t>Superannuation Industry Supervision</w:t>
      </w:r>
      <w:r>
        <w:t xml:space="preserve"> regulations require an actuarial valuation to be performed for each defined benefit superannuation plan every three years, or every year if the plan pays defined benefit pensions.</w:t>
      </w:r>
    </w:p>
    <w:p w14:paraId="3FDCBC65" w14:textId="318474C4" w:rsidR="00F118C3" w:rsidRDefault="00F118C3" w:rsidP="00F118C3">
      <w:pPr>
        <w:pStyle w:val="BodyText"/>
      </w:pPr>
      <w:r>
        <w:t>The Plan's Trustee is responsible for the governance of the Plan. The Trustee has a legal obligation to act solely in the best interests of Plan beneficiaries. The Trustee has the following roles:</w:t>
      </w:r>
    </w:p>
    <w:p w14:paraId="3C8F1D22" w14:textId="3C71B2F4" w:rsidR="00F118C3" w:rsidRDefault="00F118C3" w:rsidP="00C778D6">
      <w:pPr>
        <w:pStyle w:val="ListBullet"/>
      </w:pPr>
      <w:r>
        <w:t>administration of the Plan and payment to the beneficiaries from Plan assets when required in accordance with the Plan rules</w:t>
      </w:r>
    </w:p>
    <w:p w14:paraId="595D701A" w14:textId="06101DC4" w:rsidR="00F118C3" w:rsidRDefault="00F118C3" w:rsidP="00F118C3">
      <w:pPr>
        <w:pStyle w:val="ListBullet"/>
      </w:pPr>
      <w:r>
        <w:t>management and investment of the Plan assets</w:t>
      </w:r>
    </w:p>
    <w:p w14:paraId="22073B88" w14:textId="3194D81F" w:rsidR="00F118C3" w:rsidRDefault="00F118C3" w:rsidP="00C778D6">
      <w:pPr>
        <w:pStyle w:val="ListBullet"/>
      </w:pPr>
      <w:r>
        <w:t>compliance with superannuation law and other applicable regulations.</w:t>
      </w:r>
    </w:p>
    <w:p w14:paraId="4F44B3B6" w14:textId="349BD469" w:rsidR="00F118C3" w:rsidRDefault="00F118C3" w:rsidP="00F118C3">
      <w:pPr>
        <w:pStyle w:val="BodyText"/>
      </w:pPr>
      <w:r>
        <w:t>The prudential regulator, the Australian Prudential Regulation Authority (APRA), licenses and supervises regulated superannuation plans.</w:t>
      </w:r>
    </w:p>
    <w:p w14:paraId="7C38F311" w14:textId="0F118386" w:rsidR="00F118C3" w:rsidRDefault="00F118C3" w:rsidP="00F118C3">
      <w:pPr>
        <w:pStyle w:val="BodyText"/>
      </w:pPr>
      <w:r>
        <w:t>There are a number of risks to which the Plan exposes the Corporation. The more significant risks relating to the defined benefits are:</w:t>
      </w:r>
    </w:p>
    <w:p w14:paraId="7A8E3F02" w14:textId="0E5BF99F" w:rsidR="00F118C3" w:rsidRDefault="00F118C3" w:rsidP="00F118C3">
      <w:pPr>
        <w:pStyle w:val="BodyText"/>
      </w:pPr>
      <w:r w:rsidRPr="00F118C3">
        <w:rPr>
          <w:rStyle w:val="Bold"/>
        </w:rPr>
        <w:t>Investment risk</w:t>
      </w:r>
      <w:r>
        <w:t xml:space="preserve"> – The risk that investment returns will be lower than assumed and the Corporation will need to increase contributions to offset this shortfall.</w:t>
      </w:r>
    </w:p>
    <w:p w14:paraId="1248B764" w14:textId="67E3D24A" w:rsidR="00F118C3" w:rsidRDefault="00F118C3" w:rsidP="00F118C3">
      <w:pPr>
        <w:pStyle w:val="BodyText"/>
      </w:pPr>
      <w:r w:rsidRPr="00F118C3">
        <w:rPr>
          <w:rStyle w:val="Bold"/>
        </w:rPr>
        <w:t>Salary growth risk</w:t>
      </w:r>
      <w:r>
        <w:t xml:space="preserve"> – The risk that wages/salaries (on which future benefit amounts will be based) will rise more rapidly than assumed, increasing defined benefit amounts and thereby requiring additional employer contributions.</w:t>
      </w:r>
    </w:p>
    <w:p w14:paraId="3F14E74C" w14:textId="2A060F08" w:rsidR="00F118C3" w:rsidRDefault="00F118C3" w:rsidP="00F118C3">
      <w:pPr>
        <w:pStyle w:val="BodyText"/>
      </w:pPr>
      <w:r w:rsidRPr="00F118C3">
        <w:rPr>
          <w:rStyle w:val="Bold"/>
        </w:rPr>
        <w:t>Legislative risk</w:t>
      </w:r>
      <w:r>
        <w:t xml:space="preserve"> – The risk that legislative changes could be made which could increase the cost of providing the defined benefits.</w:t>
      </w:r>
    </w:p>
    <w:p w14:paraId="2D548AA2" w14:textId="5DACDD26" w:rsidR="00F118C3" w:rsidRDefault="00F118C3" w:rsidP="00F118C3">
      <w:pPr>
        <w:pStyle w:val="BodyText"/>
      </w:pPr>
      <w:r w:rsidRPr="00F118C3">
        <w:rPr>
          <w:rStyle w:val="Bold"/>
        </w:rPr>
        <w:t>Pension risk</w:t>
      </w:r>
      <w:r>
        <w:t xml:space="preserve"> – The risk is firstly that pensioner mortality will be lower than expected, resulting in pensions being paid for a longer period. Secondly, the risk that a greater proportion of eligible members will elect to take a pension benefit, which is generally more valuable than the corresponding lump sum benefit.</w:t>
      </w:r>
    </w:p>
    <w:p w14:paraId="59308A53" w14:textId="2F84A29A" w:rsidR="00F118C3" w:rsidRDefault="00F118C3" w:rsidP="00F118C3">
      <w:pPr>
        <w:pStyle w:val="BodyText"/>
      </w:pPr>
      <w:r>
        <w:t>The Plan assets are invested by the Trustee in a pool of assets with plans providing defined benefits for other employers. The allocation both globally and across sectors is diversified.</w:t>
      </w:r>
    </w:p>
    <w:p w14:paraId="0E5EBF05" w14:textId="3D8EC559" w:rsidR="00F118C3" w:rsidRPr="00F118C3" w:rsidRDefault="00F118C3" w:rsidP="00F118C3">
      <w:pPr>
        <w:pStyle w:val="BodyText"/>
        <w:rPr>
          <w:rStyle w:val="Bold"/>
        </w:rPr>
      </w:pPr>
      <w:r w:rsidRPr="00F118C3">
        <w:rPr>
          <w:rStyle w:val="Bold"/>
        </w:rPr>
        <w:lastRenderedPageBreak/>
        <w:t>Reconciliation of the present value of the defined benefit superannuation obligation</w:t>
      </w:r>
    </w:p>
    <w:tbl>
      <w:tblPr>
        <w:tblStyle w:val="Style1"/>
        <w:tblW w:w="5000" w:type="pct"/>
        <w:tblLook w:val="04A0" w:firstRow="1" w:lastRow="0" w:firstColumn="1" w:lastColumn="0" w:noHBand="0" w:noVBand="1"/>
      </w:tblPr>
      <w:tblGrid>
        <w:gridCol w:w="6520"/>
        <w:gridCol w:w="1560"/>
        <w:gridCol w:w="1551"/>
      </w:tblGrid>
      <w:tr w:rsidR="002E7ABF" w:rsidRPr="00CD1ECB" w14:paraId="27E07426"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4F9CD5D3" w14:textId="77777777" w:rsidR="002E7ABF" w:rsidRPr="00CD1ECB" w:rsidRDefault="002E7ABF" w:rsidP="00CD1ECB">
            <w:bookmarkStart w:id="1170" w:name="ColumnTitle_96"/>
            <w:r w:rsidRPr="00CD1ECB">
              <w:t>Item</w:t>
            </w:r>
          </w:p>
        </w:tc>
        <w:tc>
          <w:tcPr>
            <w:tcW w:w="810" w:type="pct"/>
            <w:tcBorders>
              <w:top w:val="single" w:sz="4" w:space="0" w:color="auto"/>
            </w:tcBorders>
            <w:vAlign w:val="bottom"/>
          </w:tcPr>
          <w:p w14:paraId="4EC3DA04" w14:textId="77777777" w:rsidR="002E7ABF" w:rsidRPr="00CD1ECB" w:rsidRDefault="002E7ABF" w:rsidP="00CD1ECB">
            <w:pPr>
              <w:cnfStyle w:val="100000000000" w:firstRow="1" w:lastRow="0" w:firstColumn="0" w:lastColumn="0" w:oddVBand="0" w:evenVBand="0" w:oddHBand="0" w:evenHBand="0" w:firstRowFirstColumn="0" w:firstRowLastColumn="0" w:lastRowFirstColumn="0" w:lastRowLastColumn="0"/>
            </w:pPr>
            <w:r w:rsidRPr="00CD1ECB">
              <w:t>2021</w:t>
            </w:r>
          </w:p>
          <w:p w14:paraId="4A8FA78A" w14:textId="77777777" w:rsidR="002E7ABF" w:rsidRPr="00CD1ECB" w:rsidRDefault="002E7ABF" w:rsidP="00CD1ECB">
            <w:pPr>
              <w:cnfStyle w:val="100000000000" w:firstRow="1" w:lastRow="0" w:firstColumn="0" w:lastColumn="0" w:oddVBand="0" w:evenVBand="0" w:oddHBand="0" w:evenHBand="0" w:firstRowFirstColumn="0" w:firstRowLastColumn="0" w:lastRowFirstColumn="0" w:lastRowLastColumn="0"/>
            </w:pPr>
            <w:r w:rsidRPr="00CD1ECB">
              <w:t>($ thousands)</w:t>
            </w:r>
          </w:p>
        </w:tc>
        <w:tc>
          <w:tcPr>
            <w:tcW w:w="805" w:type="pct"/>
            <w:tcBorders>
              <w:top w:val="single" w:sz="4" w:space="0" w:color="auto"/>
            </w:tcBorders>
            <w:vAlign w:val="bottom"/>
          </w:tcPr>
          <w:p w14:paraId="041B3C0B" w14:textId="77777777" w:rsidR="002E7ABF" w:rsidRPr="00CD1ECB" w:rsidRDefault="002E7ABF" w:rsidP="00CD1ECB">
            <w:pPr>
              <w:cnfStyle w:val="100000000000" w:firstRow="1" w:lastRow="0" w:firstColumn="0" w:lastColumn="0" w:oddVBand="0" w:evenVBand="0" w:oddHBand="0" w:evenHBand="0" w:firstRowFirstColumn="0" w:firstRowLastColumn="0" w:lastRowFirstColumn="0" w:lastRowLastColumn="0"/>
            </w:pPr>
            <w:r w:rsidRPr="00CD1ECB">
              <w:t>2020</w:t>
            </w:r>
          </w:p>
          <w:p w14:paraId="23DB1C7C" w14:textId="77777777" w:rsidR="002E7ABF" w:rsidRPr="00CD1ECB" w:rsidRDefault="002E7ABF" w:rsidP="00CD1ECB">
            <w:pPr>
              <w:cnfStyle w:val="100000000000" w:firstRow="1" w:lastRow="0" w:firstColumn="0" w:lastColumn="0" w:oddVBand="0" w:evenVBand="0" w:oddHBand="0" w:evenHBand="0" w:firstRowFirstColumn="0" w:firstRowLastColumn="0" w:lastRowFirstColumn="0" w:lastRowLastColumn="0"/>
            </w:pPr>
            <w:r w:rsidRPr="00CD1ECB">
              <w:t>($ thousands)</w:t>
            </w:r>
          </w:p>
        </w:tc>
      </w:tr>
      <w:bookmarkEnd w:id="1170"/>
      <w:tr w:rsidR="002E7ABF" w:rsidRPr="00835BFD" w14:paraId="40112540"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68D4AAFF" w14:textId="0841C36F" w:rsidR="002E7ABF" w:rsidRPr="00835BFD" w:rsidRDefault="002E7ABF" w:rsidP="00CD1ECB">
            <w:pPr>
              <w:pStyle w:val="TableBodyText"/>
            </w:pPr>
            <w:r>
              <w:t>Present value of defined benefit obligation at beginning of the year</w:t>
            </w:r>
          </w:p>
        </w:tc>
        <w:tc>
          <w:tcPr>
            <w:tcW w:w="810" w:type="pct"/>
            <w:vAlign w:val="top"/>
          </w:tcPr>
          <w:p w14:paraId="41B0E6A2" w14:textId="1F5EDF1A" w:rsidR="002E7ABF" w:rsidRPr="00835BFD"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62,250</w:t>
            </w:r>
          </w:p>
        </w:tc>
        <w:tc>
          <w:tcPr>
            <w:tcW w:w="805" w:type="pct"/>
            <w:vAlign w:val="top"/>
          </w:tcPr>
          <w:p w14:paraId="3A8CA134" w14:textId="06784361" w:rsidR="002E7ABF" w:rsidRPr="00835BFD"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62,381</w:t>
            </w:r>
          </w:p>
        </w:tc>
      </w:tr>
      <w:tr w:rsidR="002E7ABF" w:rsidRPr="00835BFD" w14:paraId="69A04C61"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557F39B" w14:textId="6BD9E92F" w:rsidR="002E7ABF" w:rsidRDefault="002E7ABF" w:rsidP="00CD1ECB">
            <w:pPr>
              <w:pStyle w:val="TableBodyText"/>
            </w:pPr>
            <w:r>
              <w:t>Current service cost</w:t>
            </w:r>
          </w:p>
        </w:tc>
        <w:tc>
          <w:tcPr>
            <w:tcW w:w="810" w:type="pct"/>
            <w:vAlign w:val="top"/>
          </w:tcPr>
          <w:p w14:paraId="1A293F47" w14:textId="6832C3DF"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1,769</w:t>
            </w:r>
          </w:p>
        </w:tc>
        <w:tc>
          <w:tcPr>
            <w:tcW w:w="805" w:type="pct"/>
            <w:vAlign w:val="top"/>
          </w:tcPr>
          <w:p w14:paraId="3B6D4296" w14:textId="7C8FD884"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2,126</w:t>
            </w:r>
          </w:p>
        </w:tc>
      </w:tr>
      <w:tr w:rsidR="002E7ABF" w:rsidRPr="00835BFD" w14:paraId="242B4561"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C829580" w14:textId="6B78F9B3" w:rsidR="002E7ABF" w:rsidRDefault="002E7ABF" w:rsidP="00CD1ECB">
            <w:pPr>
              <w:pStyle w:val="TableBodyText"/>
            </w:pPr>
            <w:r>
              <w:t>Interest cost</w:t>
            </w:r>
          </w:p>
        </w:tc>
        <w:tc>
          <w:tcPr>
            <w:tcW w:w="810" w:type="pct"/>
            <w:vAlign w:val="top"/>
          </w:tcPr>
          <w:p w14:paraId="58AE1A21" w14:textId="0916DDAA"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469</w:t>
            </w:r>
          </w:p>
        </w:tc>
        <w:tc>
          <w:tcPr>
            <w:tcW w:w="805" w:type="pct"/>
            <w:vAlign w:val="top"/>
          </w:tcPr>
          <w:p w14:paraId="2A2D3A88" w14:textId="6F05ABA4"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713</w:t>
            </w:r>
          </w:p>
        </w:tc>
      </w:tr>
      <w:tr w:rsidR="002E7ABF" w:rsidRPr="00835BFD" w14:paraId="1B6607A7"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B2A6264" w14:textId="2E95D3FA" w:rsidR="002E7ABF" w:rsidRDefault="002E7ABF" w:rsidP="00CD1ECB">
            <w:pPr>
              <w:pStyle w:val="TableBodyText"/>
            </w:pPr>
            <w:r>
              <w:t>Contributions by Plan participants</w:t>
            </w:r>
          </w:p>
        </w:tc>
        <w:tc>
          <w:tcPr>
            <w:tcW w:w="810" w:type="pct"/>
            <w:vAlign w:val="top"/>
          </w:tcPr>
          <w:p w14:paraId="740D4B26" w14:textId="20A6C22A"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544</w:t>
            </w:r>
          </w:p>
        </w:tc>
        <w:tc>
          <w:tcPr>
            <w:tcW w:w="805" w:type="pct"/>
            <w:vAlign w:val="top"/>
          </w:tcPr>
          <w:p w14:paraId="3D08F32E" w14:textId="4C1A167D"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581</w:t>
            </w:r>
          </w:p>
        </w:tc>
      </w:tr>
      <w:tr w:rsidR="002E7ABF" w:rsidRPr="00835BFD" w14:paraId="2641CE90"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4922024" w14:textId="733879C9" w:rsidR="002E7ABF" w:rsidRDefault="002E7ABF" w:rsidP="00CD1ECB">
            <w:pPr>
              <w:pStyle w:val="TableBodyText"/>
            </w:pPr>
            <w:r>
              <w:t>Benefits paid</w:t>
            </w:r>
          </w:p>
        </w:tc>
        <w:tc>
          <w:tcPr>
            <w:tcW w:w="810" w:type="pct"/>
            <w:vAlign w:val="top"/>
          </w:tcPr>
          <w:p w14:paraId="24E7F5EC" w14:textId="05F169F2"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(5,621)</w:t>
            </w:r>
          </w:p>
        </w:tc>
        <w:tc>
          <w:tcPr>
            <w:tcW w:w="805" w:type="pct"/>
            <w:vAlign w:val="top"/>
          </w:tcPr>
          <w:p w14:paraId="71D2277D" w14:textId="366C32AC"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(4,846)</w:t>
            </w:r>
          </w:p>
        </w:tc>
      </w:tr>
      <w:tr w:rsidR="002E7ABF" w:rsidRPr="00835BFD" w14:paraId="1E871727"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0F552D4" w14:textId="454F889F" w:rsidR="002E7ABF" w:rsidRDefault="002E7ABF" w:rsidP="00CD1ECB">
            <w:pPr>
              <w:pStyle w:val="TableBodyText"/>
            </w:pPr>
            <w:r>
              <w:t>Taxes and premiums paid</w:t>
            </w:r>
          </w:p>
        </w:tc>
        <w:tc>
          <w:tcPr>
            <w:tcW w:w="810" w:type="pct"/>
            <w:vAlign w:val="top"/>
          </w:tcPr>
          <w:p w14:paraId="0E778A20" w14:textId="7AA1763F"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(176)</w:t>
            </w:r>
          </w:p>
        </w:tc>
        <w:tc>
          <w:tcPr>
            <w:tcW w:w="805" w:type="pct"/>
            <w:vAlign w:val="top"/>
          </w:tcPr>
          <w:p w14:paraId="1AFAB1E3" w14:textId="67285228"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(292)</w:t>
            </w:r>
          </w:p>
        </w:tc>
      </w:tr>
      <w:tr w:rsidR="002E7ABF" w:rsidRPr="00835BFD" w14:paraId="56EB187D"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8D8BD1E" w14:textId="184A104D" w:rsidR="002E7ABF" w:rsidRDefault="002E7ABF" w:rsidP="00CD1ECB">
            <w:pPr>
              <w:pStyle w:val="TableBodyText"/>
            </w:pPr>
            <w:r>
              <w:t>Actuarial losses/(gains) arising from changes in demographic assumptions</w:t>
            </w:r>
          </w:p>
        </w:tc>
        <w:tc>
          <w:tcPr>
            <w:tcW w:w="810" w:type="pct"/>
            <w:vAlign w:val="top"/>
          </w:tcPr>
          <w:p w14:paraId="0DDC0663" w14:textId="26383C2E"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4CEDB950" w14:textId="725F22FA" w:rsidR="002E7ABF" w:rsidRDefault="00CD1ECB" w:rsidP="00CD1ECB">
            <w:pPr>
              <w:pStyle w:val="TableBodyText"/>
              <w:cnfStyle w:val="000000000000" w:firstRow="0" w:lastRow="0" w:firstColumn="0" w:lastColumn="0" w:oddVBand="0" w:evenVBand="0" w:oddHBand="0" w:evenHBand="0" w:firstRowFirstColumn="0" w:firstRowLastColumn="0" w:lastRowFirstColumn="0" w:lastRowLastColumn="0"/>
            </w:pPr>
            <w:r>
              <w:t>4,021</w:t>
            </w:r>
          </w:p>
        </w:tc>
      </w:tr>
      <w:tr w:rsidR="002E7ABF" w:rsidRPr="00835BFD" w14:paraId="26F45554"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9F04D48" w14:textId="785B5B23" w:rsidR="002E7ABF" w:rsidRDefault="002E7ABF" w:rsidP="00CD1ECB">
            <w:pPr>
              <w:pStyle w:val="TableBodyText"/>
            </w:pPr>
            <w:r>
              <w:t>Actuarial (gains)/losses arising from changes in financial assumptions</w:t>
            </w:r>
          </w:p>
        </w:tc>
        <w:tc>
          <w:tcPr>
            <w:tcW w:w="810" w:type="pct"/>
            <w:vAlign w:val="top"/>
          </w:tcPr>
          <w:p w14:paraId="32D18638" w14:textId="640EA96E"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(3,351)</w:t>
            </w:r>
          </w:p>
        </w:tc>
        <w:tc>
          <w:tcPr>
            <w:tcW w:w="805" w:type="pct"/>
            <w:vAlign w:val="top"/>
          </w:tcPr>
          <w:p w14:paraId="2B16DBA0" w14:textId="32D01EBB"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(42)</w:t>
            </w:r>
          </w:p>
        </w:tc>
      </w:tr>
      <w:tr w:rsidR="002E7ABF" w:rsidRPr="00835BFD" w14:paraId="23E194AA"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DB15E32" w14:textId="16C7E7BC" w:rsidR="002E7ABF" w:rsidRDefault="002E7ABF" w:rsidP="00CD1ECB">
            <w:pPr>
              <w:pStyle w:val="TableBodyText"/>
            </w:pPr>
            <w:r>
              <w:t>Actuarial (gains)/losses arising from liability experience</w:t>
            </w:r>
          </w:p>
        </w:tc>
        <w:tc>
          <w:tcPr>
            <w:tcW w:w="810" w:type="pct"/>
            <w:vAlign w:val="top"/>
          </w:tcPr>
          <w:p w14:paraId="687766B3" w14:textId="76AD26DE"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(224)</w:t>
            </w:r>
          </w:p>
        </w:tc>
        <w:tc>
          <w:tcPr>
            <w:tcW w:w="805" w:type="pct"/>
            <w:vAlign w:val="top"/>
          </w:tcPr>
          <w:p w14:paraId="47ABC641" w14:textId="1F9D5FAA"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(2,047)</w:t>
            </w:r>
          </w:p>
        </w:tc>
      </w:tr>
      <w:tr w:rsidR="002E7ABF" w:rsidRPr="00835BFD" w14:paraId="370D0B50"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22EB64F" w14:textId="39BC6450" w:rsidR="002E7ABF" w:rsidRDefault="002E7ABF" w:rsidP="00CD1ECB">
            <w:pPr>
              <w:pStyle w:val="TableBodyText"/>
            </w:pPr>
            <w:r>
              <w:t>Contributions to accumulation section</w:t>
            </w:r>
            <w:r w:rsidR="009F6E4A">
              <w:t xml:space="preserve"> </w:t>
            </w:r>
            <w:hyperlink w:anchor="NoteaTable71" w:history="1">
              <w:r w:rsidR="009F6E4A" w:rsidRPr="009F6E4A">
                <w:rPr>
                  <w:rStyle w:val="Hyperlink"/>
                </w:rPr>
                <w:t>refer note a</w:t>
              </w:r>
            </w:hyperlink>
          </w:p>
        </w:tc>
        <w:tc>
          <w:tcPr>
            <w:tcW w:w="810" w:type="pct"/>
            <w:vAlign w:val="top"/>
          </w:tcPr>
          <w:p w14:paraId="4514BF67" w14:textId="6CE1083C"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47FFAFEE" w14:textId="130E36CE" w:rsidR="002E7ABF" w:rsidRDefault="002E7ABF" w:rsidP="00CD1ECB">
            <w:pPr>
              <w:pStyle w:val="TableBodyText"/>
              <w:cnfStyle w:val="000000000000" w:firstRow="0" w:lastRow="0" w:firstColumn="0" w:lastColumn="0" w:oddVBand="0" w:evenVBand="0" w:oddHBand="0" w:evenHBand="0" w:firstRowFirstColumn="0" w:firstRowLastColumn="0" w:lastRowFirstColumn="0" w:lastRowLastColumn="0"/>
            </w:pPr>
            <w:r>
              <w:t>(345)</w:t>
            </w:r>
          </w:p>
        </w:tc>
      </w:tr>
      <w:tr w:rsidR="002E7ABF" w:rsidRPr="00835BFD" w14:paraId="79ED85C4"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79FDB485" w14:textId="0B612E34" w:rsidR="002E7ABF" w:rsidRDefault="002E7ABF" w:rsidP="00CD1ECB">
            <w:pPr>
              <w:pStyle w:val="TableBodyText"/>
            </w:pPr>
            <w:r>
              <w:t>Contributions to accumulation section in relation to prior year</w:t>
            </w:r>
            <w:r w:rsidR="009F6E4A">
              <w:t xml:space="preserve"> </w:t>
            </w:r>
            <w:hyperlink w:anchor="NoteaTable71" w:history="1">
              <w:r w:rsidR="009F6E4A" w:rsidRPr="009F6E4A">
                <w:rPr>
                  <w:rStyle w:val="Hyperlink"/>
                </w:rPr>
                <w:t>refer note a</w:t>
              </w:r>
            </w:hyperlink>
          </w:p>
        </w:tc>
        <w:tc>
          <w:tcPr>
            <w:tcW w:w="810" w:type="pct"/>
            <w:tcBorders>
              <w:bottom w:val="single" w:sz="4" w:space="0" w:color="auto"/>
            </w:tcBorders>
            <w:vAlign w:val="top"/>
          </w:tcPr>
          <w:p w14:paraId="15034243" w14:textId="12CAFEA1" w:rsidR="002E7ABF" w:rsidRDefault="008B6A72" w:rsidP="00CD1EC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bottom w:val="single" w:sz="4" w:space="0" w:color="auto"/>
            </w:tcBorders>
            <w:vAlign w:val="top"/>
          </w:tcPr>
          <w:p w14:paraId="3911C634" w14:textId="2AB8FBAF" w:rsidR="002E7ABF" w:rsidRDefault="008B6A72" w:rsidP="00CD1ECB">
            <w:pPr>
              <w:pStyle w:val="TableBodyText"/>
              <w:cnfStyle w:val="000000000000" w:firstRow="0" w:lastRow="0" w:firstColumn="0" w:lastColumn="0" w:oddVBand="0" w:evenVBand="0" w:oddHBand="0" w:evenHBand="0" w:firstRowFirstColumn="0" w:firstRowLastColumn="0" w:lastRowFirstColumn="0" w:lastRowLastColumn="0"/>
            </w:pPr>
            <w:r>
              <w:t>N/A</w:t>
            </w:r>
          </w:p>
        </w:tc>
      </w:tr>
      <w:tr w:rsidR="002E7ABF" w:rsidRPr="008B6A72" w14:paraId="274A9FB6" w14:textId="77777777" w:rsidTr="00CD1ECB">
        <w:trPr>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6CCEEE86" w14:textId="6B8A33F9" w:rsidR="002E7ABF" w:rsidRPr="008B6A72" w:rsidRDefault="008B6A72" w:rsidP="00CD1ECB">
            <w:pPr>
              <w:pStyle w:val="TableBodyText"/>
              <w:rPr>
                <w:rStyle w:val="Bold"/>
              </w:rPr>
            </w:pPr>
            <w:r w:rsidRPr="008B6A72">
              <w:rPr>
                <w:rStyle w:val="Bold"/>
              </w:rPr>
              <w:t>Present value of the defined benefit obligation at year end</w:t>
            </w:r>
          </w:p>
        </w:tc>
        <w:tc>
          <w:tcPr>
            <w:tcW w:w="810" w:type="pct"/>
            <w:tcBorders>
              <w:top w:val="single" w:sz="4" w:space="0" w:color="auto"/>
              <w:bottom w:val="single" w:sz="4" w:space="0" w:color="auto"/>
            </w:tcBorders>
            <w:vAlign w:val="top"/>
          </w:tcPr>
          <w:p w14:paraId="59A1888F" w14:textId="7C22B342" w:rsidR="002E7ABF" w:rsidRPr="008B6A72" w:rsidRDefault="008B6A72" w:rsidP="00CD1EC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B6A72">
              <w:rPr>
                <w:rStyle w:val="Bold"/>
              </w:rPr>
              <w:t>55,660</w:t>
            </w:r>
          </w:p>
        </w:tc>
        <w:tc>
          <w:tcPr>
            <w:tcW w:w="805" w:type="pct"/>
            <w:tcBorders>
              <w:top w:val="single" w:sz="4" w:space="0" w:color="auto"/>
              <w:bottom w:val="single" w:sz="4" w:space="0" w:color="auto"/>
            </w:tcBorders>
            <w:vAlign w:val="top"/>
          </w:tcPr>
          <w:p w14:paraId="2500B5C9" w14:textId="1573DA31" w:rsidR="002E7ABF" w:rsidRPr="008B6A72" w:rsidRDefault="008B6A72" w:rsidP="00CD1EC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8B6A72">
              <w:rPr>
                <w:rStyle w:val="Bold"/>
              </w:rPr>
              <w:t>62,250</w:t>
            </w:r>
          </w:p>
        </w:tc>
      </w:tr>
    </w:tbl>
    <w:p w14:paraId="1806AB8B" w14:textId="192481A6" w:rsidR="008B6A72" w:rsidRPr="00F118C3" w:rsidRDefault="008B6A72" w:rsidP="008B6A72">
      <w:pPr>
        <w:pStyle w:val="BodyText"/>
        <w:rPr>
          <w:rStyle w:val="Bold"/>
        </w:rPr>
      </w:pPr>
      <w:r w:rsidRPr="00F118C3">
        <w:rPr>
          <w:rStyle w:val="Bold"/>
        </w:rPr>
        <w:t xml:space="preserve">Reconciliation of the </w:t>
      </w:r>
      <w:r>
        <w:rPr>
          <w:rStyle w:val="Bold"/>
        </w:rPr>
        <w:t>fair value of Plan assets</w:t>
      </w:r>
    </w:p>
    <w:tbl>
      <w:tblPr>
        <w:tblStyle w:val="Style1"/>
        <w:tblW w:w="5000" w:type="pct"/>
        <w:tblLook w:val="04A0" w:firstRow="1" w:lastRow="0" w:firstColumn="1" w:lastColumn="0" w:noHBand="0" w:noVBand="1"/>
      </w:tblPr>
      <w:tblGrid>
        <w:gridCol w:w="6520"/>
        <w:gridCol w:w="1560"/>
        <w:gridCol w:w="1551"/>
      </w:tblGrid>
      <w:tr w:rsidR="008B6A72" w:rsidRPr="00CD1ECB" w14:paraId="113C025C"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52EFAE50" w14:textId="77777777" w:rsidR="008B6A72" w:rsidRPr="00CD1ECB" w:rsidRDefault="008B6A72" w:rsidP="00CD1ECB">
            <w:bookmarkStart w:id="1171" w:name="ColumnTitle_97"/>
            <w:r w:rsidRPr="00CD1ECB">
              <w:t>Item</w:t>
            </w:r>
          </w:p>
        </w:tc>
        <w:tc>
          <w:tcPr>
            <w:tcW w:w="810" w:type="pct"/>
            <w:tcBorders>
              <w:top w:val="single" w:sz="4" w:space="0" w:color="auto"/>
            </w:tcBorders>
            <w:vAlign w:val="bottom"/>
          </w:tcPr>
          <w:p w14:paraId="4FFF2374" w14:textId="77777777" w:rsidR="008B6A72" w:rsidRPr="00CD1ECB" w:rsidRDefault="008B6A72" w:rsidP="00CD1ECB">
            <w:pPr>
              <w:cnfStyle w:val="100000000000" w:firstRow="1" w:lastRow="0" w:firstColumn="0" w:lastColumn="0" w:oddVBand="0" w:evenVBand="0" w:oddHBand="0" w:evenHBand="0" w:firstRowFirstColumn="0" w:firstRowLastColumn="0" w:lastRowFirstColumn="0" w:lastRowLastColumn="0"/>
            </w:pPr>
            <w:r w:rsidRPr="00CD1ECB">
              <w:t>2021</w:t>
            </w:r>
          </w:p>
          <w:p w14:paraId="0A0004AB" w14:textId="77777777" w:rsidR="008B6A72" w:rsidRPr="00CD1ECB" w:rsidRDefault="008B6A72" w:rsidP="00CD1ECB">
            <w:pPr>
              <w:cnfStyle w:val="100000000000" w:firstRow="1" w:lastRow="0" w:firstColumn="0" w:lastColumn="0" w:oddVBand="0" w:evenVBand="0" w:oddHBand="0" w:evenHBand="0" w:firstRowFirstColumn="0" w:firstRowLastColumn="0" w:lastRowFirstColumn="0" w:lastRowLastColumn="0"/>
            </w:pPr>
            <w:r w:rsidRPr="00CD1ECB">
              <w:t>($ thousands)</w:t>
            </w:r>
          </w:p>
        </w:tc>
        <w:tc>
          <w:tcPr>
            <w:tcW w:w="805" w:type="pct"/>
            <w:tcBorders>
              <w:top w:val="single" w:sz="4" w:space="0" w:color="auto"/>
            </w:tcBorders>
            <w:vAlign w:val="bottom"/>
          </w:tcPr>
          <w:p w14:paraId="3DBFBA56" w14:textId="77777777" w:rsidR="008B6A72" w:rsidRPr="00CD1ECB" w:rsidRDefault="008B6A72" w:rsidP="00CD1ECB">
            <w:pPr>
              <w:cnfStyle w:val="100000000000" w:firstRow="1" w:lastRow="0" w:firstColumn="0" w:lastColumn="0" w:oddVBand="0" w:evenVBand="0" w:oddHBand="0" w:evenHBand="0" w:firstRowFirstColumn="0" w:firstRowLastColumn="0" w:lastRowFirstColumn="0" w:lastRowLastColumn="0"/>
            </w:pPr>
            <w:r w:rsidRPr="00CD1ECB">
              <w:t>2020</w:t>
            </w:r>
          </w:p>
          <w:p w14:paraId="7F5C4124" w14:textId="77777777" w:rsidR="008B6A72" w:rsidRPr="00CD1ECB" w:rsidRDefault="008B6A72" w:rsidP="00CD1ECB">
            <w:pPr>
              <w:cnfStyle w:val="100000000000" w:firstRow="1" w:lastRow="0" w:firstColumn="0" w:lastColumn="0" w:oddVBand="0" w:evenVBand="0" w:oddHBand="0" w:evenHBand="0" w:firstRowFirstColumn="0" w:firstRowLastColumn="0" w:lastRowFirstColumn="0" w:lastRowLastColumn="0"/>
            </w:pPr>
            <w:r w:rsidRPr="00CD1ECB">
              <w:t>($ thousands)</w:t>
            </w:r>
          </w:p>
        </w:tc>
      </w:tr>
      <w:bookmarkEnd w:id="1171"/>
      <w:tr w:rsidR="008B6A72" w:rsidRPr="00835BFD" w14:paraId="0ADDFADA"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63335B3" w14:textId="7D63D2E0" w:rsidR="008B6A72" w:rsidRPr="00835BFD" w:rsidRDefault="00132278" w:rsidP="00CD1ECB">
            <w:pPr>
              <w:pStyle w:val="TableBodyText"/>
            </w:pPr>
            <w:r>
              <w:t>Fair value of Plan assets at beginning of the year</w:t>
            </w:r>
          </w:p>
        </w:tc>
        <w:tc>
          <w:tcPr>
            <w:tcW w:w="810" w:type="pct"/>
            <w:vAlign w:val="top"/>
          </w:tcPr>
          <w:p w14:paraId="359FE94C" w14:textId="207DABD1" w:rsidR="008B6A72" w:rsidRPr="00835BFD"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74,157</w:t>
            </w:r>
          </w:p>
        </w:tc>
        <w:tc>
          <w:tcPr>
            <w:tcW w:w="805" w:type="pct"/>
            <w:vAlign w:val="top"/>
          </w:tcPr>
          <w:p w14:paraId="52C5D735" w14:textId="7286BE5F" w:rsidR="008B6A72" w:rsidRPr="00835BFD"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77,374</w:t>
            </w:r>
          </w:p>
        </w:tc>
      </w:tr>
      <w:tr w:rsidR="008B6A72" w:rsidRPr="00835BFD" w14:paraId="0219E502"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0ED3492" w14:textId="449D356D" w:rsidR="008B6A72" w:rsidRDefault="00132278" w:rsidP="00CD1ECB">
            <w:pPr>
              <w:pStyle w:val="TableBodyText"/>
            </w:pPr>
            <w:r>
              <w:t>Contributions by Plan participants</w:t>
            </w:r>
          </w:p>
        </w:tc>
        <w:tc>
          <w:tcPr>
            <w:tcW w:w="810" w:type="pct"/>
            <w:vAlign w:val="top"/>
          </w:tcPr>
          <w:p w14:paraId="2706816F" w14:textId="531F64D9"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544</w:t>
            </w:r>
          </w:p>
        </w:tc>
        <w:tc>
          <w:tcPr>
            <w:tcW w:w="805" w:type="pct"/>
            <w:vAlign w:val="top"/>
          </w:tcPr>
          <w:p w14:paraId="3FA0423D" w14:textId="6509C0EC"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581</w:t>
            </w:r>
          </w:p>
        </w:tc>
      </w:tr>
      <w:tr w:rsidR="008B6A72" w:rsidRPr="00835BFD" w14:paraId="7BD6D2ED"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6733A6B" w14:textId="54EA0EE1" w:rsidR="008B6A72" w:rsidRDefault="00132278" w:rsidP="00CD1ECB">
            <w:pPr>
              <w:pStyle w:val="TableBodyText"/>
            </w:pPr>
            <w:r>
              <w:t>Benefits paid</w:t>
            </w:r>
          </w:p>
        </w:tc>
        <w:tc>
          <w:tcPr>
            <w:tcW w:w="810" w:type="pct"/>
            <w:vAlign w:val="top"/>
          </w:tcPr>
          <w:p w14:paraId="7D94F9A7" w14:textId="7B58EEC6"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(5,621)</w:t>
            </w:r>
          </w:p>
        </w:tc>
        <w:tc>
          <w:tcPr>
            <w:tcW w:w="805" w:type="pct"/>
            <w:vAlign w:val="top"/>
          </w:tcPr>
          <w:p w14:paraId="573A8A41" w14:textId="7C85C36C"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(4,846)</w:t>
            </w:r>
          </w:p>
        </w:tc>
      </w:tr>
      <w:tr w:rsidR="008B6A72" w:rsidRPr="00835BFD" w14:paraId="11ED1F84"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B66BCD7" w14:textId="35A02BCF" w:rsidR="008B6A72" w:rsidRDefault="00132278" w:rsidP="00CD1ECB">
            <w:pPr>
              <w:pStyle w:val="TableBodyText"/>
            </w:pPr>
            <w:r>
              <w:t>Taxes and premiums paid</w:t>
            </w:r>
          </w:p>
        </w:tc>
        <w:tc>
          <w:tcPr>
            <w:tcW w:w="810" w:type="pct"/>
            <w:vAlign w:val="top"/>
          </w:tcPr>
          <w:p w14:paraId="2F676FEE" w14:textId="5C579769"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(176)</w:t>
            </w:r>
          </w:p>
        </w:tc>
        <w:tc>
          <w:tcPr>
            <w:tcW w:w="805" w:type="pct"/>
            <w:vAlign w:val="top"/>
          </w:tcPr>
          <w:p w14:paraId="2E3DBFA0" w14:textId="5666D7DD"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(292)</w:t>
            </w:r>
          </w:p>
        </w:tc>
      </w:tr>
      <w:tr w:rsidR="008B6A72" w:rsidRPr="00835BFD" w14:paraId="1BD43CDB"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0DEBBE1" w14:textId="515D9538" w:rsidR="008B6A72" w:rsidRDefault="00132278" w:rsidP="00CD1ECB">
            <w:pPr>
              <w:pStyle w:val="TableBodyText"/>
            </w:pPr>
            <w:r>
              <w:t>Interest income</w:t>
            </w:r>
          </w:p>
        </w:tc>
        <w:tc>
          <w:tcPr>
            <w:tcW w:w="810" w:type="pct"/>
            <w:vAlign w:val="top"/>
          </w:tcPr>
          <w:p w14:paraId="0BDA9809" w14:textId="1DD7270B"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551</w:t>
            </w:r>
          </w:p>
        </w:tc>
        <w:tc>
          <w:tcPr>
            <w:tcW w:w="805" w:type="pct"/>
            <w:vAlign w:val="top"/>
          </w:tcPr>
          <w:p w14:paraId="5C0736F5" w14:textId="310BD86B"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868</w:t>
            </w:r>
          </w:p>
        </w:tc>
      </w:tr>
      <w:tr w:rsidR="008B6A72" w:rsidRPr="00835BFD" w14:paraId="15E4C70C"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82F6DF5" w14:textId="33562881" w:rsidR="008B6A72" w:rsidRDefault="00132278" w:rsidP="00CD1ECB">
            <w:pPr>
              <w:pStyle w:val="TableBodyText"/>
            </w:pPr>
            <w:r>
              <w:t>Actual return on Plan assets less interest income</w:t>
            </w:r>
          </w:p>
        </w:tc>
        <w:tc>
          <w:tcPr>
            <w:tcW w:w="810" w:type="pct"/>
            <w:vAlign w:val="top"/>
          </w:tcPr>
          <w:p w14:paraId="0E9A2606" w14:textId="72C96EB6"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6,704</w:t>
            </w:r>
          </w:p>
        </w:tc>
        <w:tc>
          <w:tcPr>
            <w:tcW w:w="805" w:type="pct"/>
            <w:vAlign w:val="top"/>
          </w:tcPr>
          <w:p w14:paraId="4AB17BBC" w14:textId="6867ABBF"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817</w:t>
            </w:r>
          </w:p>
        </w:tc>
      </w:tr>
      <w:tr w:rsidR="008B6A72" w:rsidRPr="00835BFD" w14:paraId="32F65677"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04B4D27B" w14:textId="2A362BE7" w:rsidR="008B6A72" w:rsidRDefault="00132278" w:rsidP="00CD1ECB">
            <w:pPr>
              <w:pStyle w:val="TableBodyText"/>
            </w:pPr>
            <w:r>
              <w:t>Contributions to accumulation section</w:t>
            </w:r>
            <w:r w:rsidR="009F6E4A">
              <w:t xml:space="preserve"> </w:t>
            </w:r>
            <w:hyperlink w:anchor="NoteaTable71" w:history="1">
              <w:r w:rsidR="009F6E4A" w:rsidRPr="009F6E4A">
                <w:rPr>
                  <w:rStyle w:val="Hyperlink"/>
                </w:rPr>
                <w:t>refer note a</w:t>
              </w:r>
            </w:hyperlink>
          </w:p>
        </w:tc>
        <w:tc>
          <w:tcPr>
            <w:tcW w:w="810" w:type="pct"/>
            <w:tcBorders>
              <w:bottom w:val="single" w:sz="4" w:space="0" w:color="auto"/>
            </w:tcBorders>
            <w:vAlign w:val="top"/>
          </w:tcPr>
          <w:p w14:paraId="27FB7839" w14:textId="7A815A67"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bottom w:val="single" w:sz="4" w:space="0" w:color="auto"/>
            </w:tcBorders>
            <w:vAlign w:val="top"/>
          </w:tcPr>
          <w:p w14:paraId="753FFDBE" w14:textId="32F46500" w:rsid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pPr>
            <w:r>
              <w:t>(345)</w:t>
            </w:r>
          </w:p>
        </w:tc>
      </w:tr>
      <w:tr w:rsidR="008B6A72" w:rsidRPr="008B6A72" w14:paraId="19430FD3"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6DD1AD15" w14:textId="7B3EFA6E" w:rsidR="008B6A72" w:rsidRPr="008B6A72" w:rsidRDefault="00132278" w:rsidP="00CD1ECB">
            <w:pPr>
              <w:pStyle w:val="TableBodyText"/>
              <w:rPr>
                <w:rStyle w:val="Bold"/>
              </w:rPr>
            </w:pPr>
            <w:r>
              <w:rPr>
                <w:rStyle w:val="Bold"/>
              </w:rPr>
              <w:t>Fair value of Plan assets at year end</w:t>
            </w:r>
            <w:r w:rsidR="009F6E4A">
              <w:rPr>
                <w:rStyle w:val="Bold"/>
              </w:rPr>
              <w:t xml:space="preserve"> </w:t>
            </w:r>
            <w:hyperlink w:anchor="NotebTable71" w:history="1">
              <w:r w:rsidR="009F6E4A" w:rsidRPr="009F6E4A">
                <w:rPr>
                  <w:rStyle w:val="Hyperlink"/>
                </w:rPr>
                <w:t>refer note b</w:t>
              </w:r>
            </w:hyperlink>
          </w:p>
        </w:tc>
        <w:tc>
          <w:tcPr>
            <w:tcW w:w="810" w:type="pct"/>
            <w:tcBorders>
              <w:top w:val="single" w:sz="4" w:space="0" w:color="auto"/>
              <w:bottom w:val="single" w:sz="4" w:space="0" w:color="auto"/>
            </w:tcBorders>
            <w:vAlign w:val="top"/>
          </w:tcPr>
          <w:p w14:paraId="1FE9F34B" w14:textId="62CA55DA" w:rsidR="008B6A72" w:rsidRP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76,159</w:t>
            </w:r>
          </w:p>
        </w:tc>
        <w:tc>
          <w:tcPr>
            <w:tcW w:w="805" w:type="pct"/>
            <w:tcBorders>
              <w:top w:val="single" w:sz="4" w:space="0" w:color="auto"/>
              <w:bottom w:val="single" w:sz="4" w:space="0" w:color="auto"/>
            </w:tcBorders>
            <w:vAlign w:val="top"/>
          </w:tcPr>
          <w:p w14:paraId="6D27570A" w14:textId="04229598" w:rsidR="008B6A72" w:rsidRPr="008B6A72" w:rsidRDefault="00132278" w:rsidP="00CD1EC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74,157</w:t>
            </w:r>
          </w:p>
        </w:tc>
      </w:tr>
    </w:tbl>
    <w:p w14:paraId="69A84003" w14:textId="2A20BEB5" w:rsidR="00132278" w:rsidRPr="00F118C3" w:rsidRDefault="00132278" w:rsidP="00617766">
      <w:pPr>
        <w:pStyle w:val="BodyText"/>
        <w:keepNext/>
        <w:keepLines/>
        <w:rPr>
          <w:rStyle w:val="Bold"/>
        </w:rPr>
      </w:pPr>
      <w:r w:rsidRPr="00132278">
        <w:rPr>
          <w:rStyle w:val="Bold"/>
        </w:rPr>
        <w:lastRenderedPageBreak/>
        <w:t>Reconciliation of the assets and liabilities recognised in the Statement of Financial Position</w:t>
      </w:r>
    </w:p>
    <w:tbl>
      <w:tblPr>
        <w:tblStyle w:val="Style1"/>
        <w:tblW w:w="5000" w:type="pct"/>
        <w:tblLook w:val="04A0" w:firstRow="1" w:lastRow="0" w:firstColumn="1" w:lastColumn="0" w:noHBand="0" w:noVBand="1"/>
      </w:tblPr>
      <w:tblGrid>
        <w:gridCol w:w="6520"/>
        <w:gridCol w:w="1560"/>
        <w:gridCol w:w="1551"/>
      </w:tblGrid>
      <w:tr w:rsidR="00132278" w:rsidRPr="00B4086B" w14:paraId="079830DA"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76AC964B" w14:textId="77777777" w:rsidR="00132278" w:rsidRPr="00B4086B" w:rsidRDefault="00132278" w:rsidP="00617766">
            <w:pPr>
              <w:keepNext/>
              <w:keepLines/>
            </w:pPr>
            <w:bookmarkStart w:id="1172" w:name="ColumnTitle_98"/>
            <w:r w:rsidRPr="00B4086B">
              <w:t>Item</w:t>
            </w:r>
          </w:p>
        </w:tc>
        <w:tc>
          <w:tcPr>
            <w:tcW w:w="810" w:type="pct"/>
            <w:tcBorders>
              <w:top w:val="single" w:sz="4" w:space="0" w:color="auto"/>
            </w:tcBorders>
            <w:vAlign w:val="bottom"/>
          </w:tcPr>
          <w:p w14:paraId="560EA7F7" w14:textId="77777777" w:rsidR="00132278" w:rsidRPr="00B4086B" w:rsidRDefault="00132278" w:rsidP="00617766">
            <w:pPr>
              <w:keepNext/>
              <w:keepLines/>
              <w:cnfStyle w:val="100000000000" w:firstRow="1" w:lastRow="0" w:firstColumn="0" w:lastColumn="0" w:oddVBand="0" w:evenVBand="0" w:oddHBand="0" w:evenHBand="0" w:firstRowFirstColumn="0" w:firstRowLastColumn="0" w:lastRowFirstColumn="0" w:lastRowLastColumn="0"/>
            </w:pPr>
            <w:r w:rsidRPr="00B4086B">
              <w:t>2021</w:t>
            </w:r>
          </w:p>
          <w:p w14:paraId="0B4E9E27" w14:textId="77777777" w:rsidR="00132278" w:rsidRPr="00B4086B" w:rsidRDefault="00132278" w:rsidP="00617766">
            <w:pPr>
              <w:keepNext/>
              <w:keepLines/>
              <w:cnfStyle w:val="100000000000" w:firstRow="1" w:lastRow="0" w:firstColumn="0" w:lastColumn="0" w:oddVBand="0" w:evenVBand="0" w:oddHBand="0" w:evenHBand="0" w:firstRowFirstColumn="0" w:firstRowLastColumn="0" w:lastRowFirstColumn="0" w:lastRowLastColumn="0"/>
            </w:pPr>
            <w:r w:rsidRPr="00B4086B">
              <w:t>($ thousands)</w:t>
            </w:r>
          </w:p>
        </w:tc>
        <w:tc>
          <w:tcPr>
            <w:tcW w:w="805" w:type="pct"/>
            <w:tcBorders>
              <w:top w:val="single" w:sz="4" w:space="0" w:color="auto"/>
            </w:tcBorders>
            <w:vAlign w:val="bottom"/>
          </w:tcPr>
          <w:p w14:paraId="6215F577" w14:textId="77777777" w:rsidR="00132278" w:rsidRPr="00B4086B" w:rsidRDefault="00132278" w:rsidP="00617766">
            <w:pPr>
              <w:keepNext/>
              <w:keepLines/>
              <w:cnfStyle w:val="100000000000" w:firstRow="1" w:lastRow="0" w:firstColumn="0" w:lastColumn="0" w:oddVBand="0" w:evenVBand="0" w:oddHBand="0" w:evenHBand="0" w:firstRowFirstColumn="0" w:firstRowLastColumn="0" w:lastRowFirstColumn="0" w:lastRowLastColumn="0"/>
            </w:pPr>
            <w:r w:rsidRPr="00B4086B">
              <w:t>2020</w:t>
            </w:r>
          </w:p>
          <w:p w14:paraId="7F76B204" w14:textId="77777777" w:rsidR="00132278" w:rsidRPr="00B4086B" w:rsidRDefault="00132278" w:rsidP="00617766">
            <w:pPr>
              <w:keepNext/>
              <w:keepLines/>
              <w:cnfStyle w:val="100000000000" w:firstRow="1" w:lastRow="0" w:firstColumn="0" w:lastColumn="0" w:oddVBand="0" w:evenVBand="0" w:oddHBand="0" w:evenHBand="0" w:firstRowFirstColumn="0" w:firstRowLastColumn="0" w:lastRowFirstColumn="0" w:lastRowLastColumn="0"/>
            </w:pPr>
            <w:r w:rsidRPr="00B4086B">
              <w:t>($ thousands)</w:t>
            </w:r>
          </w:p>
        </w:tc>
      </w:tr>
      <w:bookmarkEnd w:id="1172"/>
      <w:tr w:rsidR="00132278" w:rsidRPr="00835BFD" w14:paraId="202EB8FB"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496D629" w14:textId="3F3608E7" w:rsidR="00132278" w:rsidRPr="00835BFD" w:rsidRDefault="00132278" w:rsidP="00617766">
            <w:pPr>
              <w:pStyle w:val="TableBodyText"/>
              <w:keepNext/>
              <w:keepLines/>
            </w:pPr>
            <w:r>
              <w:t>Net defined benefit asset/(liability) at start of year</w:t>
            </w:r>
          </w:p>
        </w:tc>
        <w:tc>
          <w:tcPr>
            <w:tcW w:w="810" w:type="pct"/>
            <w:vAlign w:val="top"/>
          </w:tcPr>
          <w:p w14:paraId="59A2E139" w14:textId="55DB141B" w:rsidR="00132278" w:rsidRPr="00835BFD" w:rsidRDefault="00132278"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11,907</w:t>
            </w:r>
          </w:p>
        </w:tc>
        <w:tc>
          <w:tcPr>
            <w:tcW w:w="805" w:type="pct"/>
            <w:vAlign w:val="top"/>
          </w:tcPr>
          <w:p w14:paraId="58A72B23" w14:textId="349A4297" w:rsidR="00132278" w:rsidRPr="00835BFD" w:rsidRDefault="00132278"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14,993</w:t>
            </w:r>
          </w:p>
        </w:tc>
      </w:tr>
      <w:tr w:rsidR="00132278" w:rsidRPr="00835BFD" w14:paraId="390247A4"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B7B31CD" w14:textId="2239943B" w:rsidR="00132278" w:rsidRDefault="00132278" w:rsidP="00617766">
            <w:pPr>
              <w:pStyle w:val="TableBodyText"/>
              <w:keepNext/>
              <w:keepLines/>
            </w:pPr>
            <w:r>
              <w:t>Current service cost</w:t>
            </w:r>
          </w:p>
        </w:tc>
        <w:tc>
          <w:tcPr>
            <w:tcW w:w="810" w:type="pct"/>
            <w:vAlign w:val="top"/>
          </w:tcPr>
          <w:p w14:paraId="00325D4B" w14:textId="29E11A4F" w:rsidR="00132278" w:rsidRDefault="00132278"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(1,769)</w:t>
            </w:r>
          </w:p>
        </w:tc>
        <w:tc>
          <w:tcPr>
            <w:tcW w:w="805" w:type="pct"/>
            <w:vAlign w:val="top"/>
          </w:tcPr>
          <w:p w14:paraId="2731B53A" w14:textId="0CFC3155" w:rsidR="00132278" w:rsidRDefault="00132278"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(2,126)</w:t>
            </w:r>
          </w:p>
        </w:tc>
      </w:tr>
      <w:tr w:rsidR="00132278" w:rsidRPr="00835BFD" w14:paraId="60CB39E4"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7833113" w14:textId="02FDEB91" w:rsidR="00132278" w:rsidRDefault="00132278" w:rsidP="00617766">
            <w:pPr>
              <w:pStyle w:val="TableBodyText"/>
              <w:keepNext/>
              <w:keepLines/>
            </w:pPr>
            <w:r>
              <w:t>Net interest</w:t>
            </w:r>
          </w:p>
        </w:tc>
        <w:tc>
          <w:tcPr>
            <w:tcW w:w="810" w:type="pct"/>
            <w:vAlign w:val="top"/>
          </w:tcPr>
          <w:p w14:paraId="6EFE7F37" w14:textId="391208D6" w:rsidR="00132278" w:rsidRDefault="00132278"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82</w:t>
            </w:r>
          </w:p>
        </w:tc>
        <w:tc>
          <w:tcPr>
            <w:tcW w:w="805" w:type="pct"/>
            <w:vAlign w:val="top"/>
          </w:tcPr>
          <w:p w14:paraId="34634E9A" w14:textId="3B07229E" w:rsidR="00132278" w:rsidRDefault="00132278"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155</w:t>
            </w:r>
          </w:p>
        </w:tc>
      </w:tr>
      <w:tr w:rsidR="00132278" w:rsidRPr="00835BFD" w14:paraId="394057F6"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6F78D8C3" w14:textId="3A1A5309" w:rsidR="00132278" w:rsidRDefault="00132278" w:rsidP="00B4086B">
            <w:pPr>
              <w:pStyle w:val="TableBodyText"/>
            </w:pPr>
            <w:r>
              <w:t xml:space="preserve">Actual return on Plan assets less interest income </w:t>
            </w:r>
            <w:hyperlink w:anchor="NotecTable71" w:history="1">
              <w:r w:rsidR="009F6E4A" w:rsidRPr="009F6E4A">
                <w:rPr>
                  <w:rStyle w:val="Hyperlink"/>
                </w:rPr>
                <w:t>refer note c</w:t>
              </w:r>
            </w:hyperlink>
          </w:p>
        </w:tc>
        <w:tc>
          <w:tcPr>
            <w:tcW w:w="810" w:type="pct"/>
            <w:vAlign w:val="top"/>
          </w:tcPr>
          <w:p w14:paraId="0A209120" w14:textId="3890A11A"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6,704</w:t>
            </w:r>
          </w:p>
        </w:tc>
        <w:tc>
          <w:tcPr>
            <w:tcW w:w="805" w:type="pct"/>
            <w:vAlign w:val="top"/>
          </w:tcPr>
          <w:p w14:paraId="1E6C3BD7" w14:textId="38702411"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817</w:t>
            </w:r>
          </w:p>
        </w:tc>
      </w:tr>
      <w:tr w:rsidR="00132278" w:rsidRPr="00835BFD" w14:paraId="6F78832B"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47B3C53" w14:textId="1EF04A87" w:rsidR="00132278" w:rsidRDefault="00132278" w:rsidP="00B4086B">
            <w:pPr>
              <w:pStyle w:val="TableBodyText"/>
            </w:pPr>
            <w:r>
              <w:t>Actuarial (losses)/gains arising from changes in demographic assumptions</w:t>
            </w:r>
            <w:r w:rsidR="009F6E4A">
              <w:t xml:space="preserve"> </w:t>
            </w:r>
            <w:hyperlink w:anchor="NotecTable71" w:history="1">
              <w:r w:rsidR="009F6E4A" w:rsidRPr="009F6E4A">
                <w:rPr>
                  <w:rStyle w:val="Hyperlink"/>
                </w:rPr>
                <w:t>refer note c</w:t>
              </w:r>
            </w:hyperlink>
          </w:p>
        </w:tc>
        <w:tc>
          <w:tcPr>
            <w:tcW w:w="810" w:type="pct"/>
            <w:vAlign w:val="top"/>
          </w:tcPr>
          <w:p w14:paraId="36C632B1" w14:textId="0C8FC83E"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6C937190" w14:textId="0949D1B3"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(4,021)</w:t>
            </w:r>
          </w:p>
        </w:tc>
      </w:tr>
      <w:tr w:rsidR="00132278" w:rsidRPr="00835BFD" w14:paraId="75B9792F"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D4CEB26" w14:textId="0367D0BF" w:rsidR="00132278" w:rsidRDefault="00132278" w:rsidP="00B4086B">
            <w:pPr>
              <w:pStyle w:val="TableBodyText"/>
            </w:pPr>
            <w:r>
              <w:t>Actuarial gains/(losses) arising from changes in financial assumptions</w:t>
            </w:r>
            <w:r w:rsidR="009F6E4A">
              <w:t xml:space="preserve"> </w:t>
            </w:r>
            <w:hyperlink w:anchor="NotecTable71" w:history="1">
              <w:r w:rsidR="009F6E4A" w:rsidRPr="009F6E4A">
                <w:rPr>
                  <w:rStyle w:val="Hyperlink"/>
                </w:rPr>
                <w:t>refer note c</w:t>
              </w:r>
            </w:hyperlink>
          </w:p>
        </w:tc>
        <w:tc>
          <w:tcPr>
            <w:tcW w:w="810" w:type="pct"/>
            <w:vAlign w:val="top"/>
          </w:tcPr>
          <w:p w14:paraId="0AE60B9E" w14:textId="60D02D0C"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3,351</w:t>
            </w:r>
          </w:p>
        </w:tc>
        <w:tc>
          <w:tcPr>
            <w:tcW w:w="805" w:type="pct"/>
            <w:vAlign w:val="top"/>
          </w:tcPr>
          <w:p w14:paraId="365854C9" w14:textId="15537B8F"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42</w:t>
            </w:r>
          </w:p>
        </w:tc>
      </w:tr>
      <w:tr w:rsidR="00132278" w:rsidRPr="00835BFD" w14:paraId="30FCF31E"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676AFBEE" w14:textId="40BFEF9A" w:rsidR="00132278" w:rsidRDefault="00132278" w:rsidP="00B4086B">
            <w:pPr>
              <w:pStyle w:val="TableBodyText"/>
            </w:pPr>
            <w:r>
              <w:t>Actuarial gains/(losses) arising from liability experience</w:t>
            </w:r>
            <w:r w:rsidR="009F6E4A">
              <w:t xml:space="preserve"> </w:t>
            </w:r>
            <w:hyperlink w:anchor="NotecTable71" w:history="1">
              <w:r w:rsidR="009F6E4A" w:rsidRPr="009F6E4A">
                <w:rPr>
                  <w:rStyle w:val="Hyperlink"/>
                </w:rPr>
                <w:t>refer note c</w:t>
              </w:r>
            </w:hyperlink>
          </w:p>
        </w:tc>
        <w:tc>
          <w:tcPr>
            <w:tcW w:w="810" w:type="pct"/>
            <w:tcBorders>
              <w:bottom w:val="single" w:sz="4" w:space="0" w:color="auto"/>
            </w:tcBorders>
            <w:vAlign w:val="top"/>
          </w:tcPr>
          <w:p w14:paraId="0E4FBD0B" w14:textId="77EE9BD4"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224</w:t>
            </w:r>
          </w:p>
        </w:tc>
        <w:tc>
          <w:tcPr>
            <w:tcW w:w="805" w:type="pct"/>
            <w:tcBorders>
              <w:bottom w:val="single" w:sz="4" w:space="0" w:color="auto"/>
            </w:tcBorders>
            <w:vAlign w:val="top"/>
          </w:tcPr>
          <w:p w14:paraId="241411D6" w14:textId="41A4E1B8" w:rsidR="00132278" w:rsidRDefault="00132278" w:rsidP="00B4086B">
            <w:pPr>
              <w:pStyle w:val="TableBodyText"/>
              <w:cnfStyle w:val="000000000000" w:firstRow="0" w:lastRow="0" w:firstColumn="0" w:lastColumn="0" w:oddVBand="0" w:evenVBand="0" w:oddHBand="0" w:evenHBand="0" w:firstRowFirstColumn="0" w:firstRowLastColumn="0" w:lastRowFirstColumn="0" w:lastRowLastColumn="0"/>
            </w:pPr>
            <w:r>
              <w:t>2,047</w:t>
            </w:r>
          </w:p>
        </w:tc>
      </w:tr>
      <w:tr w:rsidR="00132278" w:rsidRPr="008B6A72" w14:paraId="56D78EB7" w14:textId="77777777" w:rsidTr="00B4086B">
        <w:trPr>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73079E76" w14:textId="56059CBB" w:rsidR="00132278" w:rsidRPr="008B6A72" w:rsidRDefault="00132278" w:rsidP="00B4086B">
            <w:pPr>
              <w:pStyle w:val="TableBodyText"/>
              <w:rPr>
                <w:rStyle w:val="Bold"/>
              </w:rPr>
            </w:pPr>
            <w:r>
              <w:rPr>
                <w:rStyle w:val="Bold"/>
              </w:rPr>
              <w:t>Net defined benefit asset at year end</w:t>
            </w:r>
          </w:p>
        </w:tc>
        <w:tc>
          <w:tcPr>
            <w:tcW w:w="810" w:type="pct"/>
            <w:tcBorders>
              <w:top w:val="single" w:sz="4" w:space="0" w:color="auto"/>
              <w:bottom w:val="single" w:sz="4" w:space="0" w:color="auto"/>
            </w:tcBorders>
            <w:vAlign w:val="top"/>
          </w:tcPr>
          <w:p w14:paraId="06570989" w14:textId="5DD365B0" w:rsidR="00132278" w:rsidRPr="008B6A72" w:rsidRDefault="00132278" w:rsidP="00B4086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20,499</w:t>
            </w:r>
          </w:p>
        </w:tc>
        <w:tc>
          <w:tcPr>
            <w:tcW w:w="805" w:type="pct"/>
            <w:tcBorders>
              <w:top w:val="single" w:sz="4" w:space="0" w:color="auto"/>
              <w:bottom w:val="single" w:sz="4" w:space="0" w:color="auto"/>
            </w:tcBorders>
            <w:vAlign w:val="top"/>
          </w:tcPr>
          <w:p w14:paraId="54157933" w14:textId="46347127" w:rsidR="00132278" w:rsidRPr="008B6A72" w:rsidRDefault="00132278" w:rsidP="00B4086B">
            <w:pPr>
              <w:pStyle w:val="TableBodyText"/>
              <w:cnfStyle w:val="000000000000" w:firstRow="0" w:lastRow="0" w:firstColumn="0" w:lastColumn="0" w:oddVBand="0" w:evenVBand="0" w:oddHBand="0" w:evenHBand="0" w:firstRowFirstColumn="0" w:firstRowLastColumn="0" w:lastRowFirstColumn="0" w:lastRowLastColumn="0"/>
              <w:rPr>
                <w:rStyle w:val="Bold"/>
              </w:rPr>
            </w:pPr>
            <w:r>
              <w:rPr>
                <w:rStyle w:val="Bold"/>
              </w:rPr>
              <w:t>11,907</w:t>
            </w:r>
          </w:p>
        </w:tc>
      </w:tr>
    </w:tbl>
    <w:p w14:paraId="6CCE21AE" w14:textId="77777777" w:rsidR="009F6E4A" w:rsidRDefault="009F6E4A" w:rsidP="009F6E4A">
      <w:pPr>
        <w:pStyle w:val="BodyText"/>
      </w:pPr>
      <w:bookmarkStart w:id="1173" w:name="NoteaTable71"/>
      <w:r>
        <w:t xml:space="preserve">(a) </w:t>
      </w:r>
      <w:bookmarkEnd w:id="1173"/>
      <w:r>
        <w:t>Includes no contributions (2019-20: $0.3 million) to accumulation section of the Plan financed from defined benefit assets.</w:t>
      </w:r>
    </w:p>
    <w:p w14:paraId="3AEEF896" w14:textId="77777777" w:rsidR="009F6E4A" w:rsidRDefault="009F6E4A" w:rsidP="009F6E4A">
      <w:pPr>
        <w:pStyle w:val="BodyText"/>
      </w:pPr>
      <w:bookmarkStart w:id="1174" w:name="NotebTable71"/>
      <w:r>
        <w:t xml:space="preserve">(b) </w:t>
      </w:r>
      <w:bookmarkEnd w:id="1174"/>
      <w:r>
        <w:t>Fair value based on level 2 inputs using observable market data (either directly using prices or indirectly derived from prices).</w:t>
      </w:r>
    </w:p>
    <w:p w14:paraId="7CC36D60" w14:textId="66DC242C" w:rsidR="009F6E4A" w:rsidRDefault="009F6E4A" w:rsidP="009F6E4A">
      <w:pPr>
        <w:pStyle w:val="BodyText"/>
      </w:pPr>
      <w:bookmarkStart w:id="1175" w:name="NotecTable71"/>
      <w:r>
        <w:t xml:space="preserve">(c) </w:t>
      </w:r>
      <w:bookmarkEnd w:id="1175"/>
      <w:r>
        <w:t>Net actuarial gain before tax was $10.3 million (2019-20: losses of $1.1 million) and after tax gain of $7.2 million (2019-20: losses of $0.8 million).</w:t>
      </w:r>
    </w:p>
    <w:p w14:paraId="704808BD" w14:textId="3C292A21" w:rsidR="009F6E4A" w:rsidRDefault="009F6E4A" w:rsidP="009F6E4A">
      <w:pPr>
        <w:pStyle w:val="BodyText"/>
      </w:pPr>
      <w:r>
        <w:t>The Corporation has recognised an asset in the Statement of Financial Position in respect of its defined benefit superannuation Plan arrangements at 30 June 2021 (2019-20: asset). If the Plan is in surplus, the Corporation may reduce the required contribution rate, depending on the advice of the Plan's actuary.</w:t>
      </w:r>
    </w:p>
    <w:p w14:paraId="77315B61" w14:textId="3EC821A6" w:rsidR="009F6E4A" w:rsidRDefault="009F6E4A" w:rsidP="009F6E4A">
      <w:pPr>
        <w:pStyle w:val="BodyText"/>
      </w:pPr>
      <w:r>
        <w:t>If a deficit exists in the Plan, the Corporation may be required to increase the contribution rate, depending on the advice of the Plan's actuary consistent with the Plan's deed.</w:t>
      </w:r>
    </w:p>
    <w:p w14:paraId="12420CA2" w14:textId="775F5DE9" w:rsidR="009F6E4A" w:rsidRDefault="009F6E4A" w:rsidP="009F6E4A">
      <w:pPr>
        <w:pStyle w:val="BodyText"/>
      </w:pPr>
      <w:r>
        <w:t>During 2020-21, the contributions rate continued to be zero due to sufficient surplus in the Plan (2019-20: zero).</w:t>
      </w:r>
    </w:p>
    <w:p w14:paraId="20A299A0" w14:textId="5D5E105C" w:rsidR="009F6E4A" w:rsidRPr="009F6E4A" w:rsidRDefault="009F6E4A" w:rsidP="00617766">
      <w:pPr>
        <w:pStyle w:val="BodyText"/>
        <w:keepNext/>
        <w:keepLines/>
        <w:rPr>
          <w:rStyle w:val="Bold"/>
        </w:rPr>
      </w:pPr>
      <w:r w:rsidRPr="009F6E4A">
        <w:rPr>
          <w:rStyle w:val="Bold"/>
        </w:rPr>
        <w:lastRenderedPageBreak/>
        <w:t>Significant actuarial assumptions at the balance sheet date</w:t>
      </w:r>
    </w:p>
    <w:tbl>
      <w:tblPr>
        <w:tblStyle w:val="Style1"/>
        <w:tblW w:w="5000" w:type="pct"/>
        <w:tblLook w:val="04A0" w:firstRow="1" w:lastRow="0" w:firstColumn="1" w:lastColumn="0" w:noHBand="0" w:noVBand="1"/>
      </w:tblPr>
      <w:tblGrid>
        <w:gridCol w:w="6520"/>
        <w:gridCol w:w="1560"/>
        <w:gridCol w:w="1551"/>
      </w:tblGrid>
      <w:tr w:rsidR="009F6E4A" w:rsidRPr="000773F7" w14:paraId="228ECF76"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6B91A419" w14:textId="77777777" w:rsidR="009F6E4A" w:rsidRPr="000773F7" w:rsidRDefault="009F6E4A" w:rsidP="00617766">
            <w:pPr>
              <w:keepNext/>
              <w:keepLines/>
            </w:pPr>
            <w:bookmarkStart w:id="1176" w:name="ColumnTitle_99"/>
            <w:r w:rsidRPr="000773F7">
              <w:t>Item</w:t>
            </w:r>
          </w:p>
        </w:tc>
        <w:tc>
          <w:tcPr>
            <w:tcW w:w="810" w:type="pct"/>
            <w:tcBorders>
              <w:top w:val="single" w:sz="4" w:space="0" w:color="auto"/>
            </w:tcBorders>
            <w:vAlign w:val="bottom"/>
          </w:tcPr>
          <w:p w14:paraId="4D514B57" w14:textId="77777777" w:rsidR="009F6E4A" w:rsidRPr="000773F7" w:rsidRDefault="009F6E4A" w:rsidP="00617766">
            <w:pPr>
              <w:keepNext/>
              <w:keepLines/>
              <w:cnfStyle w:val="100000000000" w:firstRow="1" w:lastRow="0" w:firstColumn="0" w:lastColumn="0" w:oddVBand="0" w:evenVBand="0" w:oddHBand="0" w:evenHBand="0" w:firstRowFirstColumn="0" w:firstRowLastColumn="0" w:lastRowFirstColumn="0" w:lastRowLastColumn="0"/>
            </w:pPr>
            <w:r w:rsidRPr="000773F7">
              <w:t>2021</w:t>
            </w:r>
          </w:p>
          <w:p w14:paraId="42C436FA" w14:textId="77777777" w:rsidR="009F6E4A" w:rsidRPr="000773F7" w:rsidRDefault="009F6E4A" w:rsidP="00617766">
            <w:pPr>
              <w:keepNext/>
              <w:keepLines/>
              <w:cnfStyle w:val="100000000000" w:firstRow="1" w:lastRow="0" w:firstColumn="0" w:lastColumn="0" w:oddVBand="0" w:evenVBand="0" w:oddHBand="0" w:evenHBand="0" w:firstRowFirstColumn="0" w:firstRowLastColumn="0" w:lastRowFirstColumn="0" w:lastRowLastColumn="0"/>
            </w:pPr>
            <w:r w:rsidRPr="000773F7">
              <w:t>($ thousands)</w:t>
            </w:r>
          </w:p>
        </w:tc>
        <w:tc>
          <w:tcPr>
            <w:tcW w:w="805" w:type="pct"/>
            <w:tcBorders>
              <w:top w:val="single" w:sz="4" w:space="0" w:color="auto"/>
            </w:tcBorders>
            <w:vAlign w:val="bottom"/>
          </w:tcPr>
          <w:p w14:paraId="7C7DDDA6" w14:textId="77777777" w:rsidR="009F6E4A" w:rsidRPr="000773F7" w:rsidRDefault="009F6E4A" w:rsidP="00617766">
            <w:pPr>
              <w:keepNext/>
              <w:keepLines/>
              <w:cnfStyle w:val="100000000000" w:firstRow="1" w:lastRow="0" w:firstColumn="0" w:lastColumn="0" w:oddVBand="0" w:evenVBand="0" w:oddHBand="0" w:evenHBand="0" w:firstRowFirstColumn="0" w:firstRowLastColumn="0" w:lastRowFirstColumn="0" w:lastRowLastColumn="0"/>
            </w:pPr>
            <w:r w:rsidRPr="000773F7">
              <w:t>2020</w:t>
            </w:r>
          </w:p>
          <w:p w14:paraId="03AD186D" w14:textId="77777777" w:rsidR="009F6E4A" w:rsidRPr="000773F7" w:rsidRDefault="009F6E4A" w:rsidP="00617766">
            <w:pPr>
              <w:keepNext/>
              <w:keepLines/>
              <w:cnfStyle w:val="100000000000" w:firstRow="1" w:lastRow="0" w:firstColumn="0" w:lastColumn="0" w:oddVBand="0" w:evenVBand="0" w:oddHBand="0" w:evenHBand="0" w:firstRowFirstColumn="0" w:firstRowLastColumn="0" w:lastRowFirstColumn="0" w:lastRowLastColumn="0"/>
            </w:pPr>
            <w:r w:rsidRPr="000773F7">
              <w:t>($ thousands)</w:t>
            </w:r>
          </w:p>
        </w:tc>
      </w:tr>
      <w:bookmarkEnd w:id="1176"/>
      <w:tr w:rsidR="009F6E4A" w:rsidRPr="00835BFD" w14:paraId="33101B0F"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BB9AEBE" w14:textId="41A43824" w:rsidR="009F6E4A" w:rsidRPr="00A30536" w:rsidRDefault="009F6E4A" w:rsidP="00617766">
            <w:pPr>
              <w:pStyle w:val="TableBodyText"/>
              <w:keepNext/>
              <w:keepLines/>
              <w:rPr>
                <w:rStyle w:val="Bold"/>
              </w:rPr>
            </w:pPr>
            <w:r w:rsidRPr="00A30536">
              <w:rPr>
                <w:rStyle w:val="Bold"/>
              </w:rPr>
              <w:t>Assumptions to determine defined benefit cost</w:t>
            </w:r>
          </w:p>
        </w:tc>
        <w:tc>
          <w:tcPr>
            <w:tcW w:w="810" w:type="pct"/>
            <w:vAlign w:val="top"/>
          </w:tcPr>
          <w:p w14:paraId="7D7196CC" w14:textId="216225C9" w:rsidR="009F6E4A" w:rsidRPr="00835BFD"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09B2FFE8" w14:textId="3291A6FE" w:rsidR="009F6E4A" w:rsidRPr="00835BFD"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9F6E4A" w:rsidRPr="00835BFD" w14:paraId="4F01928E"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BEAD5A2" w14:textId="1E57B3F9" w:rsidR="009F6E4A" w:rsidRDefault="009F6E4A" w:rsidP="00617766">
            <w:pPr>
              <w:pStyle w:val="TableBodyText"/>
              <w:keepNext/>
              <w:keepLines/>
            </w:pPr>
            <w:r>
              <w:t>Discount rate</w:t>
            </w:r>
            <w:r w:rsidR="00A30536">
              <w:t xml:space="preserve"> </w:t>
            </w:r>
            <w:hyperlink w:anchor="NoteaTable71Significantactuarial" w:history="1">
              <w:r w:rsidR="00A30536" w:rsidRPr="00A30536">
                <w:rPr>
                  <w:rStyle w:val="Hyperlink"/>
                </w:rPr>
                <w:t>refer note a</w:t>
              </w:r>
            </w:hyperlink>
          </w:p>
        </w:tc>
        <w:tc>
          <w:tcPr>
            <w:tcW w:w="810" w:type="pct"/>
            <w:vAlign w:val="top"/>
          </w:tcPr>
          <w:p w14:paraId="4B1270C2" w14:textId="63024B38"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0.80%</w:t>
            </w:r>
          </w:p>
        </w:tc>
        <w:tc>
          <w:tcPr>
            <w:tcW w:w="805" w:type="pct"/>
            <w:vAlign w:val="top"/>
          </w:tcPr>
          <w:p w14:paraId="1D7C9234" w14:textId="354F7A2E"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1.20%</w:t>
            </w:r>
          </w:p>
        </w:tc>
      </w:tr>
      <w:tr w:rsidR="009F6E4A" w:rsidRPr="00835BFD" w14:paraId="4EA4DF9F"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A603E3C" w14:textId="5277B03E" w:rsidR="009F6E4A" w:rsidRDefault="009F6E4A" w:rsidP="00617766">
            <w:pPr>
              <w:pStyle w:val="TableBodyText"/>
              <w:keepNext/>
              <w:keepLines/>
            </w:pPr>
            <w:r>
              <w:t>Expected salary increase rate</w:t>
            </w:r>
          </w:p>
        </w:tc>
        <w:tc>
          <w:tcPr>
            <w:tcW w:w="810" w:type="pct"/>
            <w:vAlign w:val="top"/>
          </w:tcPr>
          <w:p w14:paraId="294045CF" w14:textId="10E086D2"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2.00%</w:t>
            </w:r>
          </w:p>
        </w:tc>
        <w:tc>
          <w:tcPr>
            <w:tcW w:w="805" w:type="pct"/>
            <w:vAlign w:val="top"/>
          </w:tcPr>
          <w:p w14:paraId="21C2F104" w14:textId="01E06598"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2.60%</w:t>
            </w:r>
          </w:p>
        </w:tc>
      </w:tr>
      <w:tr w:rsidR="009F6E4A" w:rsidRPr="00835BFD" w14:paraId="2518EC0C"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623C74E" w14:textId="4497ACC7" w:rsidR="009F6E4A" w:rsidRDefault="009F6E4A" w:rsidP="00617766">
            <w:pPr>
              <w:pStyle w:val="TableBodyText"/>
              <w:keepNext/>
              <w:keepLines/>
            </w:pPr>
            <w:r>
              <w:t>Expected pension increase rate</w:t>
            </w:r>
          </w:p>
        </w:tc>
        <w:tc>
          <w:tcPr>
            <w:tcW w:w="810" w:type="pct"/>
            <w:vAlign w:val="top"/>
          </w:tcPr>
          <w:p w14:paraId="45A1CE6E" w14:textId="6299E700"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2.00%</w:t>
            </w:r>
          </w:p>
        </w:tc>
        <w:tc>
          <w:tcPr>
            <w:tcW w:w="805" w:type="pct"/>
            <w:vAlign w:val="top"/>
          </w:tcPr>
          <w:p w14:paraId="6B793CA8" w14:textId="32049E64"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2.50%</w:t>
            </w:r>
          </w:p>
        </w:tc>
      </w:tr>
      <w:tr w:rsidR="009F6E4A" w:rsidRPr="00835BFD" w14:paraId="50372BF1"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8245B4E" w14:textId="7604A2D3" w:rsidR="009F6E4A" w:rsidRPr="00A30536" w:rsidRDefault="009F6E4A" w:rsidP="00617766">
            <w:pPr>
              <w:pStyle w:val="TableBodyText"/>
              <w:keepNext/>
              <w:keepLines/>
              <w:rPr>
                <w:rStyle w:val="Bold"/>
              </w:rPr>
            </w:pPr>
            <w:r w:rsidRPr="00A30536">
              <w:rPr>
                <w:rStyle w:val="Bold"/>
              </w:rPr>
              <w:t>Assumptions to determine defined benefit obligation</w:t>
            </w:r>
          </w:p>
        </w:tc>
        <w:tc>
          <w:tcPr>
            <w:tcW w:w="810" w:type="pct"/>
            <w:vAlign w:val="top"/>
          </w:tcPr>
          <w:p w14:paraId="35CF9C19" w14:textId="6856A88F"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78A43FF9" w14:textId="15ADFE37"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N/A</w:t>
            </w:r>
          </w:p>
        </w:tc>
      </w:tr>
      <w:tr w:rsidR="009F6E4A" w:rsidRPr="00835BFD" w14:paraId="4A1D9368"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6F9D9962" w14:textId="3322B923" w:rsidR="009F6E4A" w:rsidRDefault="009F6E4A" w:rsidP="00617766">
            <w:pPr>
              <w:pStyle w:val="TableBodyText"/>
              <w:keepNext/>
              <w:keepLines/>
            </w:pPr>
            <w:r>
              <w:t>Discount rate</w:t>
            </w:r>
          </w:p>
        </w:tc>
        <w:tc>
          <w:tcPr>
            <w:tcW w:w="810" w:type="pct"/>
            <w:vAlign w:val="top"/>
          </w:tcPr>
          <w:p w14:paraId="0C1246D5" w14:textId="09292064"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1.40%</w:t>
            </w:r>
          </w:p>
        </w:tc>
        <w:tc>
          <w:tcPr>
            <w:tcW w:w="805" w:type="pct"/>
            <w:vAlign w:val="top"/>
          </w:tcPr>
          <w:p w14:paraId="3434012B" w14:textId="3BA0A889" w:rsidR="009F6E4A" w:rsidRDefault="009F6E4A"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0.80%</w:t>
            </w:r>
          </w:p>
        </w:tc>
      </w:tr>
      <w:tr w:rsidR="00A30536" w:rsidRPr="00835BFD" w14:paraId="1489E01F"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5A758C0" w14:textId="25A026CF" w:rsidR="00A30536" w:rsidRDefault="00A30536" w:rsidP="00617766">
            <w:pPr>
              <w:pStyle w:val="TableBodyText"/>
              <w:keepNext/>
              <w:keepLines/>
            </w:pPr>
            <w:r>
              <w:t xml:space="preserve">Expected salary increase rate </w:t>
            </w:r>
            <w:hyperlink w:anchor="NotebTable71Significantactuarial" w:history="1">
              <w:r w:rsidRPr="00A30536">
                <w:rPr>
                  <w:rStyle w:val="Hyperlink"/>
                </w:rPr>
                <w:t>refer note b</w:t>
              </w:r>
            </w:hyperlink>
          </w:p>
        </w:tc>
        <w:tc>
          <w:tcPr>
            <w:tcW w:w="810" w:type="pct"/>
            <w:vAlign w:val="top"/>
          </w:tcPr>
          <w:p w14:paraId="700499E9" w14:textId="52547190" w:rsidR="00A30536" w:rsidRDefault="00A30536"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2.00%</w:t>
            </w:r>
          </w:p>
        </w:tc>
        <w:tc>
          <w:tcPr>
            <w:tcW w:w="805" w:type="pct"/>
            <w:vAlign w:val="top"/>
          </w:tcPr>
          <w:p w14:paraId="7B916984" w14:textId="0D17F07D" w:rsidR="00A30536" w:rsidRDefault="00A30536" w:rsidP="00617766">
            <w:pPr>
              <w:pStyle w:val="TableBodyText"/>
              <w:keepNext/>
              <w:keepLines/>
              <w:cnfStyle w:val="000000000000" w:firstRow="0" w:lastRow="0" w:firstColumn="0" w:lastColumn="0" w:oddVBand="0" w:evenVBand="0" w:oddHBand="0" w:evenHBand="0" w:firstRowFirstColumn="0" w:firstRowLastColumn="0" w:lastRowFirstColumn="0" w:lastRowLastColumn="0"/>
            </w:pPr>
            <w:r>
              <w:t>2.00%</w:t>
            </w:r>
          </w:p>
        </w:tc>
      </w:tr>
      <w:tr w:rsidR="00A30536" w:rsidRPr="00835BFD" w14:paraId="6F7D7ECE"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6A16075" w14:textId="21264EDD" w:rsidR="00A30536" w:rsidRDefault="00A30536" w:rsidP="000773F7">
            <w:pPr>
              <w:pStyle w:val="TableBodyText"/>
            </w:pPr>
            <w:r>
              <w:t>Expected pension increase rate</w:t>
            </w:r>
          </w:p>
        </w:tc>
        <w:tc>
          <w:tcPr>
            <w:tcW w:w="810" w:type="pct"/>
            <w:vAlign w:val="top"/>
          </w:tcPr>
          <w:p w14:paraId="27FE57B3" w14:textId="476E476B" w:rsidR="00A30536" w:rsidRDefault="00A30536" w:rsidP="000773F7">
            <w:pPr>
              <w:pStyle w:val="TableBodyText"/>
              <w:cnfStyle w:val="000000000000" w:firstRow="0" w:lastRow="0" w:firstColumn="0" w:lastColumn="0" w:oddVBand="0" w:evenVBand="0" w:oddHBand="0" w:evenHBand="0" w:firstRowFirstColumn="0" w:firstRowLastColumn="0" w:lastRowFirstColumn="0" w:lastRowLastColumn="0"/>
            </w:pPr>
            <w:r>
              <w:t>2.00%</w:t>
            </w:r>
          </w:p>
        </w:tc>
        <w:tc>
          <w:tcPr>
            <w:tcW w:w="805" w:type="pct"/>
            <w:vAlign w:val="top"/>
          </w:tcPr>
          <w:p w14:paraId="637736C8" w14:textId="5AB2984B" w:rsidR="00A30536" w:rsidRDefault="00A30536" w:rsidP="000773F7">
            <w:pPr>
              <w:pStyle w:val="TableBodyText"/>
              <w:cnfStyle w:val="000000000000" w:firstRow="0" w:lastRow="0" w:firstColumn="0" w:lastColumn="0" w:oddVBand="0" w:evenVBand="0" w:oddHBand="0" w:evenHBand="0" w:firstRowFirstColumn="0" w:firstRowLastColumn="0" w:lastRowFirstColumn="0" w:lastRowLastColumn="0"/>
            </w:pPr>
            <w:r>
              <w:t>2.00%</w:t>
            </w:r>
          </w:p>
        </w:tc>
      </w:tr>
      <w:tr w:rsidR="00A30536" w:rsidRPr="00835BFD" w14:paraId="14A4B2C8" w14:textId="77777777" w:rsidTr="000773F7">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61162F8F" w14:textId="6AC60DDF" w:rsidR="00A30536" w:rsidRDefault="00A30536" w:rsidP="000773F7">
            <w:pPr>
              <w:pStyle w:val="TableBodyText"/>
            </w:pPr>
            <w:r>
              <w:t>Pension take up rate</w:t>
            </w:r>
          </w:p>
        </w:tc>
        <w:tc>
          <w:tcPr>
            <w:tcW w:w="810" w:type="pct"/>
            <w:tcBorders>
              <w:bottom w:val="single" w:sz="4" w:space="0" w:color="auto"/>
            </w:tcBorders>
            <w:vAlign w:val="top"/>
          </w:tcPr>
          <w:p w14:paraId="2B2B679A" w14:textId="0EC6EF18" w:rsidR="00A30536" w:rsidRDefault="00A30536" w:rsidP="000773F7">
            <w:pPr>
              <w:pStyle w:val="TableBodyText"/>
              <w:cnfStyle w:val="000000000000" w:firstRow="0" w:lastRow="0" w:firstColumn="0" w:lastColumn="0" w:oddVBand="0" w:evenVBand="0" w:oddHBand="0" w:evenHBand="0" w:firstRowFirstColumn="0" w:firstRowLastColumn="0" w:lastRowFirstColumn="0" w:lastRowLastColumn="0"/>
            </w:pPr>
            <w:r>
              <w:t>25.0%</w:t>
            </w:r>
          </w:p>
        </w:tc>
        <w:tc>
          <w:tcPr>
            <w:tcW w:w="805" w:type="pct"/>
            <w:tcBorders>
              <w:bottom w:val="single" w:sz="4" w:space="0" w:color="auto"/>
            </w:tcBorders>
            <w:vAlign w:val="top"/>
          </w:tcPr>
          <w:p w14:paraId="3B3252F1" w14:textId="298076A9" w:rsidR="00A30536" w:rsidRDefault="00A30536" w:rsidP="000773F7">
            <w:pPr>
              <w:pStyle w:val="TableBodyText"/>
              <w:cnfStyle w:val="000000000000" w:firstRow="0" w:lastRow="0" w:firstColumn="0" w:lastColumn="0" w:oddVBand="0" w:evenVBand="0" w:oddHBand="0" w:evenHBand="0" w:firstRowFirstColumn="0" w:firstRowLastColumn="0" w:lastRowFirstColumn="0" w:lastRowLastColumn="0"/>
            </w:pPr>
            <w:r>
              <w:t>25.0%</w:t>
            </w:r>
          </w:p>
        </w:tc>
      </w:tr>
    </w:tbl>
    <w:p w14:paraId="2E2ECF12" w14:textId="3A027E19" w:rsidR="00A30536" w:rsidRDefault="00A30536" w:rsidP="00A30536">
      <w:pPr>
        <w:pStyle w:val="BodyText"/>
      </w:pPr>
      <w:bookmarkStart w:id="1177" w:name="NoteaTable71Significantactuarial"/>
      <w:r>
        <w:t xml:space="preserve">(a) </w:t>
      </w:r>
      <w:bookmarkEnd w:id="1177"/>
      <w:r>
        <w:t xml:space="preserve">In 2021, the discount rate has reduced significantly in comparison to prior year as a result of a number of market variables that have been impacted by </w:t>
      </w:r>
      <w:r w:rsidR="0030196D">
        <w:t>COVID</w:t>
      </w:r>
      <w:r w:rsidR="0030196D">
        <w:noBreakHyphen/>
        <w:t>19</w:t>
      </w:r>
      <w:r>
        <w:t>. Market variables include changes to government policies, higher unemployment, low inflation, changes in business productivity and drops in business and consumer confidence.</w:t>
      </w:r>
    </w:p>
    <w:p w14:paraId="3C001164" w14:textId="54CA9EC9" w:rsidR="009F6E4A" w:rsidRDefault="00A30536" w:rsidP="00A30536">
      <w:pPr>
        <w:pStyle w:val="BodyText"/>
      </w:pPr>
      <w:bookmarkStart w:id="1178" w:name="NotebTable71Significantactuarial"/>
      <w:r>
        <w:t xml:space="preserve">(b) </w:t>
      </w:r>
      <w:bookmarkEnd w:id="1178"/>
      <w:r>
        <w:t>2% per annum for the next five years and 2.5% per annum thereafter.</w:t>
      </w:r>
    </w:p>
    <w:p w14:paraId="2FBD3B86" w14:textId="77777777" w:rsidR="00A30536" w:rsidRDefault="00A30536" w:rsidP="00A30536">
      <w:pPr>
        <w:pStyle w:val="Heading3"/>
      </w:pPr>
      <w:bookmarkStart w:id="1179" w:name="Note72"/>
      <w:bookmarkStart w:id="1180" w:name="_Toc89723151"/>
      <w:bookmarkStart w:id="1181" w:name="_Ref89806199"/>
      <w:bookmarkStart w:id="1182" w:name="_Ref89806510"/>
      <w:bookmarkStart w:id="1183" w:name="_Ref89844257"/>
      <w:bookmarkStart w:id="1184" w:name="_Ref89845808"/>
      <w:bookmarkStart w:id="1185" w:name="_Toc90326095"/>
      <w:bookmarkStart w:id="1186" w:name="_Toc93659501"/>
      <w:r>
        <w:t xml:space="preserve">7.2 </w:t>
      </w:r>
      <w:bookmarkEnd w:id="1179"/>
      <w:r>
        <w:t>Responsible persons</w:t>
      </w:r>
      <w:bookmarkEnd w:id="1180"/>
      <w:bookmarkEnd w:id="1181"/>
      <w:bookmarkEnd w:id="1182"/>
      <w:bookmarkEnd w:id="1183"/>
      <w:bookmarkEnd w:id="1184"/>
      <w:bookmarkEnd w:id="1185"/>
      <w:bookmarkEnd w:id="1186"/>
    </w:p>
    <w:p w14:paraId="56FA7941" w14:textId="7F12ED33" w:rsidR="00A30536" w:rsidRDefault="00A30536" w:rsidP="00A30536">
      <w:pPr>
        <w:pStyle w:val="BodyText"/>
      </w:pPr>
      <w:r>
        <w:t>The relevant Portfolio Minister and directors of the Corporation are deemed to be the responsible persons by Ministerial Direction pursuant to the provisions of the Financial Management Act 1994. In accordance with those Directions, the following disclosures are made regarding responsible persons for the reporting period.</w:t>
      </w:r>
    </w:p>
    <w:p w14:paraId="6B9B755B" w14:textId="620A8EB3" w:rsidR="009F6E4A" w:rsidRDefault="00A30536" w:rsidP="00A30536">
      <w:pPr>
        <w:pStyle w:val="BodyText"/>
      </w:pPr>
      <w:r>
        <w:t>The names of persons who were responsible persons at any time during the financial year were:</w:t>
      </w:r>
    </w:p>
    <w:tbl>
      <w:tblPr>
        <w:tblStyle w:val="Style1"/>
        <w:tblW w:w="5000" w:type="pct"/>
        <w:tblLook w:val="04A0" w:firstRow="1" w:lastRow="0" w:firstColumn="1" w:lastColumn="0" w:noHBand="0" w:noVBand="1"/>
      </w:tblPr>
      <w:tblGrid>
        <w:gridCol w:w="3210"/>
        <w:gridCol w:w="3210"/>
        <w:gridCol w:w="3211"/>
      </w:tblGrid>
      <w:tr w:rsidR="00A30536" w:rsidRPr="000773F7" w14:paraId="0B308255" w14:textId="77777777" w:rsidTr="00617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tcBorders>
            <w:vAlign w:val="bottom"/>
          </w:tcPr>
          <w:p w14:paraId="2B936256" w14:textId="430D205D" w:rsidR="00A30536" w:rsidRPr="000773F7" w:rsidRDefault="00A30536" w:rsidP="000773F7">
            <w:bookmarkStart w:id="1187" w:name="ColumnTitle_100"/>
            <w:r w:rsidRPr="000773F7">
              <w:t>Position</w:t>
            </w:r>
          </w:p>
        </w:tc>
        <w:tc>
          <w:tcPr>
            <w:tcW w:w="1666" w:type="pct"/>
            <w:tcBorders>
              <w:top w:val="single" w:sz="4" w:space="0" w:color="auto"/>
            </w:tcBorders>
            <w:vAlign w:val="bottom"/>
          </w:tcPr>
          <w:p w14:paraId="503050F0" w14:textId="54CF3917" w:rsidR="00A30536" w:rsidRPr="000773F7" w:rsidRDefault="00A30536" w:rsidP="000773F7">
            <w:pPr>
              <w:cnfStyle w:val="100000000000" w:firstRow="1" w:lastRow="0" w:firstColumn="0" w:lastColumn="0" w:oddVBand="0" w:evenVBand="0" w:oddHBand="0" w:evenHBand="0" w:firstRowFirstColumn="0" w:firstRowLastColumn="0" w:lastRowFirstColumn="0" w:lastRowLastColumn="0"/>
            </w:pPr>
            <w:r w:rsidRPr="000773F7">
              <w:t>Name</w:t>
            </w:r>
          </w:p>
        </w:tc>
        <w:tc>
          <w:tcPr>
            <w:tcW w:w="1667" w:type="pct"/>
            <w:tcBorders>
              <w:top w:val="single" w:sz="4" w:space="0" w:color="auto"/>
            </w:tcBorders>
            <w:vAlign w:val="bottom"/>
          </w:tcPr>
          <w:p w14:paraId="689DDCE7" w14:textId="1BC1965B" w:rsidR="00A30536" w:rsidRPr="000773F7" w:rsidRDefault="00A30536" w:rsidP="000773F7">
            <w:pPr>
              <w:cnfStyle w:val="100000000000" w:firstRow="1" w:lastRow="0" w:firstColumn="0" w:lastColumn="0" w:oddVBand="0" w:evenVBand="0" w:oddHBand="0" w:evenHBand="0" w:firstRowFirstColumn="0" w:firstRowLastColumn="0" w:lastRowFirstColumn="0" w:lastRowLastColumn="0"/>
            </w:pPr>
            <w:r w:rsidRPr="000773F7">
              <w:t>Duration</w:t>
            </w:r>
          </w:p>
        </w:tc>
      </w:tr>
      <w:bookmarkEnd w:id="1187"/>
      <w:tr w:rsidR="00A30536" w:rsidRPr="00A30536" w14:paraId="54900CA1"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5F04A662" w14:textId="669BA1D7" w:rsidR="00A30536" w:rsidRPr="00A30536" w:rsidRDefault="00A30536" w:rsidP="000773F7">
            <w:pPr>
              <w:pStyle w:val="TableBodyText"/>
            </w:pPr>
            <w:r>
              <w:t>Minister for Water</w:t>
            </w:r>
          </w:p>
        </w:tc>
        <w:tc>
          <w:tcPr>
            <w:tcW w:w="1666" w:type="pct"/>
            <w:vAlign w:val="top"/>
          </w:tcPr>
          <w:p w14:paraId="506FDD96" w14:textId="02EB9F1C"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Hon Lisa Neville, MP</w:t>
            </w:r>
          </w:p>
        </w:tc>
        <w:tc>
          <w:tcPr>
            <w:tcW w:w="1667" w:type="pct"/>
            <w:vAlign w:val="top"/>
          </w:tcPr>
          <w:p w14:paraId="6E94911E" w14:textId="32521DC4"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4F71BF26"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35416983" w14:textId="0F707D9D" w:rsidR="00A30536" w:rsidRPr="00A30536" w:rsidRDefault="00A30536" w:rsidP="000773F7">
            <w:pPr>
              <w:pStyle w:val="TableBodyText"/>
            </w:pPr>
            <w:r>
              <w:t>Acting Minister for Water</w:t>
            </w:r>
          </w:p>
        </w:tc>
        <w:tc>
          <w:tcPr>
            <w:tcW w:w="1666" w:type="pct"/>
            <w:vAlign w:val="top"/>
          </w:tcPr>
          <w:p w14:paraId="29798515" w14:textId="6B321E5D"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Hon Richard Wynne, MP</w:t>
            </w:r>
          </w:p>
        </w:tc>
        <w:tc>
          <w:tcPr>
            <w:tcW w:w="1667" w:type="pct"/>
            <w:vAlign w:val="top"/>
          </w:tcPr>
          <w:p w14:paraId="35F33CD6" w14:textId="02DDBDD9"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15 February 2021 to 30 June 2021</w:t>
            </w:r>
          </w:p>
        </w:tc>
      </w:tr>
      <w:tr w:rsidR="00A30536" w:rsidRPr="00A30536" w14:paraId="46635841"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76695101" w14:textId="63AE30E0" w:rsidR="00A30536" w:rsidRPr="00A30536" w:rsidRDefault="00A30536" w:rsidP="000773F7">
            <w:pPr>
              <w:pStyle w:val="TableBodyText"/>
            </w:pPr>
            <w:r>
              <w:t>Chair</w:t>
            </w:r>
          </w:p>
        </w:tc>
        <w:tc>
          <w:tcPr>
            <w:tcW w:w="1666" w:type="pct"/>
            <w:vAlign w:val="top"/>
          </w:tcPr>
          <w:p w14:paraId="41558601" w14:textId="431D69CD"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John Thwaites</w:t>
            </w:r>
          </w:p>
        </w:tc>
        <w:tc>
          <w:tcPr>
            <w:tcW w:w="1667" w:type="pct"/>
            <w:vAlign w:val="top"/>
          </w:tcPr>
          <w:p w14:paraId="0902AAE9" w14:textId="4F72655C"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07D2B407"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5689EB43" w14:textId="6DEB2D2D" w:rsidR="00A30536" w:rsidRPr="00A30536" w:rsidRDefault="00A30536" w:rsidP="000773F7">
            <w:pPr>
              <w:pStyle w:val="TableBodyText"/>
            </w:pPr>
            <w:r>
              <w:t>Managing Director</w:t>
            </w:r>
          </w:p>
        </w:tc>
        <w:tc>
          <w:tcPr>
            <w:tcW w:w="1666" w:type="pct"/>
            <w:vAlign w:val="top"/>
          </w:tcPr>
          <w:p w14:paraId="04134488" w14:textId="7639B6D5"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Michael Wandmaker</w:t>
            </w:r>
          </w:p>
        </w:tc>
        <w:tc>
          <w:tcPr>
            <w:tcW w:w="1667" w:type="pct"/>
            <w:vAlign w:val="top"/>
          </w:tcPr>
          <w:p w14:paraId="7238CB0D" w14:textId="3C1B8D46"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22B8E30E"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71F1CACB" w14:textId="478DA1D2" w:rsidR="00A30536" w:rsidRPr="00A30536" w:rsidRDefault="00A30536" w:rsidP="000773F7">
            <w:pPr>
              <w:pStyle w:val="TableBodyText"/>
            </w:pPr>
            <w:r>
              <w:t>Deputy Chair</w:t>
            </w:r>
          </w:p>
        </w:tc>
        <w:tc>
          <w:tcPr>
            <w:tcW w:w="1666" w:type="pct"/>
            <w:vAlign w:val="top"/>
          </w:tcPr>
          <w:p w14:paraId="63FDC208" w14:textId="34193DC1"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Merran Kelsall</w:t>
            </w:r>
          </w:p>
        </w:tc>
        <w:tc>
          <w:tcPr>
            <w:tcW w:w="1667" w:type="pct"/>
            <w:vAlign w:val="top"/>
          </w:tcPr>
          <w:p w14:paraId="1909A984" w14:textId="27D8F281"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58812CBD"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584D3C6B" w14:textId="41E09D2A" w:rsidR="00A30536" w:rsidRPr="00A30536" w:rsidRDefault="00A30536" w:rsidP="000773F7">
            <w:pPr>
              <w:pStyle w:val="TableBodyText"/>
            </w:pPr>
            <w:r>
              <w:t>Director</w:t>
            </w:r>
          </w:p>
        </w:tc>
        <w:tc>
          <w:tcPr>
            <w:tcW w:w="1666" w:type="pct"/>
            <w:vAlign w:val="top"/>
          </w:tcPr>
          <w:p w14:paraId="2613A891" w14:textId="1CE26DD6"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Kathleen Bailey-Lord</w:t>
            </w:r>
          </w:p>
        </w:tc>
        <w:tc>
          <w:tcPr>
            <w:tcW w:w="1667" w:type="pct"/>
            <w:vAlign w:val="top"/>
          </w:tcPr>
          <w:p w14:paraId="5B369864" w14:textId="09CA9AD7"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10020C15"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419E4B39" w14:textId="7AD6E961" w:rsidR="00A30536" w:rsidRPr="00A30536" w:rsidRDefault="00A30536" w:rsidP="000773F7">
            <w:pPr>
              <w:pStyle w:val="TableBodyText"/>
            </w:pPr>
            <w:r>
              <w:t>Director</w:t>
            </w:r>
          </w:p>
        </w:tc>
        <w:tc>
          <w:tcPr>
            <w:tcW w:w="1666" w:type="pct"/>
            <w:vAlign w:val="top"/>
          </w:tcPr>
          <w:p w14:paraId="70B8B287" w14:textId="1E7C70A9"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Hugh Gleeson</w:t>
            </w:r>
          </w:p>
        </w:tc>
        <w:tc>
          <w:tcPr>
            <w:tcW w:w="1667" w:type="pct"/>
            <w:vAlign w:val="top"/>
          </w:tcPr>
          <w:p w14:paraId="78A5E9AA" w14:textId="6C8D5706"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4A5408FD"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733CDEBF" w14:textId="0F2B3A4E" w:rsidR="00A30536" w:rsidRPr="00A30536" w:rsidRDefault="00A30536" w:rsidP="000773F7">
            <w:pPr>
              <w:pStyle w:val="TableBodyText"/>
            </w:pPr>
            <w:r>
              <w:t>Director</w:t>
            </w:r>
          </w:p>
        </w:tc>
        <w:tc>
          <w:tcPr>
            <w:tcW w:w="1666" w:type="pct"/>
            <w:vAlign w:val="top"/>
          </w:tcPr>
          <w:p w14:paraId="013A41B2" w14:textId="509B53C0"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Robyn McLeod</w:t>
            </w:r>
          </w:p>
        </w:tc>
        <w:tc>
          <w:tcPr>
            <w:tcW w:w="1667" w:type="pct"/>
            <w:vAlign w:val="top"/>
          </w:tcPr>
          <w:p w14:paraId="32F70A54" w14:textId="2D7C72F4"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6F7CADA4"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58160AEF" w14:textId="42C8428C" w:rsidR="00A30536" w:rsidRPr="00A30536" w:rsidRDefault="00A30536" w:rsidP="000773F7">
            <w:pPr>
              <w:pStyle w:val="TableBodyText"/>
            </w:pPr>
            <w:r>
              <w:t>Director</w:t>
            </w:r>
          </w:p>
        </w:tc>
        <w:tc>
          <w:tcPr>
            <w:tcW w:w="1666" w:type="pct"/>
            <w:vAlign w:val="top"/>
          </w:tcPr>
          <w:p w14:paraId="60AE6730" w14:textId="44EA3FE1"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Garry Smith</w:t>
            </w:r>
          </w:p>
        </w:tc>
        <w:tc>
          <w:tcPr>
            <w:tcW w:w="1667" w:type="pct"/>
            <w:vAlign w:val="top"/>
          </w:tcPr>
          <w:p w14:paraId="1DB979A7" w14:textId="1B8D3506"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2C49F9DE"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16B32F4F" w14:textId="1C09C882" w:rsidR="00A30536" w:rsidRPr="00A30536" w:rsidRDefault="00A30536" w:rsidP="000773F7">
            <w:pPr>
              <w:pStyle w:val="TableBodyText"/>
            </w:pPr>
            <w:r>
              <w:t>Director</w:t>
            </w:r>
          </w:p>
        </w:tc>
        <w:tc>
          <w:tcPr>
            <w:tcW w:w="1666" w:type="pct"/>
            <w:vAlign w:val="top"/>
          </w:tcPr>
          <w:p w14:paraId="732AAC88" w14:textId="31E8B812"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Russell Anderson</w:t>
            </w:r>
          </w:p>
        </w:tc>
        <w:tc>
          <w:tcPr>
            <w:tcW w:w="1667" w:type="pct"/>
            <w:vAlign w:val="top"/>
          </w:tcPr>
          <w:p w14:paraId="4729DE82" w14:textId="18B3DA45"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r w:rsidR="00A30536" w:rsidRPr="00A30536" w14:paraId="61013607" w14:textId="77777777" w:rsidTr="000773F7">
        <w:tc>
          <w:tcPr>
            <w:cnfStyle w:val="001000000000" w:firstRow="0" w:lastRow="0" w:firstColumn="1" w:lastColumn="0" w:oddVBand="0" w:evenVBand="0" w:oddHBand="0" w:evenHBand="0" w:firstRowFirstColumn="0" w:firstRowLastColumn="0" w:lastRowFirstColumn="0" w:lastRowLastColumn="0"/>
            <w:tcW w:w="1666" w:type="pct"/>
            <w:vAlign w:val="top"/>
          </w:tcPr>
          <w:p w14:paraId="2550A8AD" w14:textId="418BC590" w:rsidR="00A30536" w:rsidRPr="00A30536" w:rsidRDefault="00A30536" w:rsidP="000773F7">
            <w:pPr>
              <w:pStyle w:val="TableBodyText"/>
            </w:pPr>
            <w:r>
              <w:t>Director</w:t>
            </w:r>
          </w:p>
        </w:tc>
        <w:tc>
          <w:tcPr>
            <w:tcW w:w="1666" w:type="pct"/>
            <w:vAlign w:val="top"/>
          </w:tcPr>
          <w:p w14:paraId="2263B13E" w14:textId="244398B1"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Fiona Rowland</w:t>
            </w:r>
          </w:p>
        </w:tc>
        <w:tc>
          <w:tcPr>
            <w:tcW w:w="1667" w:type="pct"/>
            <w:vAlign w:val="top"/>
          </w:tcPr>
          <w:p w14:paraId="65935A6F" w14:textId="134CA87F" w:rsidR="00A30536" w:rsidRPr="00A30536" w:rsidRDefault="00C55A6B" w:rsidP="000773F7">
            <w:pPr>
              <w:pStyle w:val="TableBodyText"/>
              <w:cnfStyle w:val="000000000000" w:firstRow="0" w:lastRow="0" w:firstColumn="0" w:lastColumn="0" w:oddVBand="0" w:evenVBand="0" w:oddHBand="0" w:evenHBand="0" w:firstRowFirstColumn="0" w:firstRowLastColumn="0" w:lastRowFirstColumn="0" w:lastRowLastColumn="0"/>
            </w:pPr>
            <w:r>
              <w:t>1 July 2020 to 30 June 2021</w:t>
            </w:r>
          </w:p>
        </w:tc>
      </w:tr>
    </w:tbl>
    <w:p w14:paraId="68DD201F" w14:textId="77777777" w:rsidR="00C55A6B" w:rsidRPr="00C55A6B" w:rsidRDefault="00C55A6B" w:rsidP="00C55A6B">
      <w:pPr>
        <w:pStyle w:val="BodyText"/>
        <w:rPr>
          <w:rStyle w:val="Bold"/>
        </w:rPr>
      </w:pPr>
      <w:r w:rsidRPr="00C55A6B">
        <w:rPr>
          <w:rStyle w:val="Bold"/>
        </w:rPr>
        <w:lastRenderedPageBreak/>
        <w:t>Remuneration</w:t>
      </w:r>
    </w:p>
    <w:p w14:paraId="5B3CA33C" w14:textId="0A51C109" w:rsidR="00C55A6B" w:rsidRDefault="00C55A6B" w:rsidP="00C55A6B">
      <w:pPr>
        <w:pStyle w:val="BodyText"/>
      </w:pPr>
      <w:r>
        <w:t xml:space="preserve">The Minister’s remuneration and allowances is set by the </w:t>
      </w:r>
      <w:r w:rsidRPr="00C55A6B">
        <w:rPr>
          <w:rStyle w:val="ItalicText"/>
        </w:rPr>
        <w:t>Parliamentary Salaries and Superannuation Act 1968</w:t>
      </w:r>
      <w:r>
        <w:t xml:space="preserve"> and is reported within the Department of Parliamentary Services Financial Report. Other relevant interests are declared in the Register of Members' Interests which each Member of Parliament completes.</w:t>
      </w:r>
    </w:p>
    <w:p w14:paraId="720E58CC" w14:textId="0C5633FF" w:rsidR="00F118C3" w:rsidRDefault="00C55A6B" w:rsidP="00C55A6B">
      <w:pPr>
        <w:pStyle w:val="BodyText"/>
      </w:pPr>
      <w:r>
        <w:t>The number of responsible persons whose remuneration from the Corporation was within the specified bands were as follows:</w:t>
      </w:r>
    </w:p>
    <w:tbl>
      <w:tblPr>
        <w:tblStyle w:val="TableGrid"/>
        <w:tblW w:w="5000" w:type="pct"/>
        <w:tblLook w:val="04A0" w:firstRow="1" w:lastRow="0" w:firstColumn="1" w:lastColumn="0" w:noHBand="0" w:noVBand="1"/>
      </w:tblPr>
      <w:tblGrid>
        <w:gridCol w:w="3210"/>
        <w:gridCol w:w="3210"/>
        <w:gridCol w:w="3211"/>
      </w:tblGrid>
      <w:tr w:rsidR="00C55A6B" w:rsidRPr="000773F7" w14:paraId="749474B1"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1666" w:type="pct"/>
            <w:vAlign w:val="bottom"/>
          </w:tcPr>
          <w:p w14:paraId="2B8775C3" w14:textId="7E9F145F" w:rsidR="00C55A6B" w:rsidRPr="000773F7" w:rsidRDefault="00C55A6B" w:rsidP="000773F7">
            <w:pPr>
              <w:pStyle w:val="TableBodyText"/>
              <w:rPr>
                <w:szCs w:val="20"/>
              </w:rPr>
            </w:pPr>
            <w:bookmarkStart w:id="1188" w:name="ColumnTitle_101"/>
            <w:r w:rsidRPr="000773F7">
              <w:rPr>
                <w:szCs w:val="20"/>
              </w:rPr>
              <w:t>Income Band ($)</w:t>
            </w:r>
          </w:p>
        </w:tc>
        <w:tc>
          <w:tcPr>
            <w:tcW w:w="1666" w:type="pct"/>
            <w:vAlign w:val="bottom"/>
          </w:tcPr>
          <w:p w14:paraId="5F401EF4" w14:textId="77777777" w:rsidR="00C55A6B" w:rsidRPr="000773F7" w:rsidRDefault="00C55A6B" w:rsidP="000773F7">
            <w:pPr>
              <w:pStyle w:val="TableBodyText"/>
              <w:jc w:val="right"/>
              <w:rPr>
                <w:szCs w:val="20"/>
              </w:rPr>
            </w:pPr>
            <w:r w:rsidRPr="000773F7">
              <w:rPr>
                <w:szCs w:val="20"/>
              </w:rPr>
              <w:t>Total Remuneration</w:t>
            </w:r>
          </w:p>
          <w:p w14:paraId="3C51D02F" w14:textId="77777777" w:rsidR="00C55A6B" w:rsidRPr="000773F7" w:rsidRDefault="00C55A6B" w:rsidP="000773F7">
            <w:pPr>
              <w:pStyle w:val="TableBodyText"/>
              <w:jc w:val="right"/>
              <w:rPr>
                <w:szCs w:val="20"/>
              </w:rPr>
            </w:pPr>
            <w:r w:rsidRPr="000773F7">
              <w:rPr>
                <w:szCs w:val="20"/>
              </w:rPr>
              <w:t>2021</w:t>
            </w:r>
          </w:p>
          <w:p w14:paraId="06BD7856" w14:textId="28A9D30F" w:rsidR="00C55A6B" w:rsidRPr="000773F7" w:rsidRDefault="00C55A6B" w:rsidP="000773F7">
            <w:pPr>
              <w:pStyle w:val="TableBodyText"/>
              <w:jc w:val="right"/>
              <w:rPr>
                <w:szCs w:val="20"/>
              </w:rPr>
            </w:pPr>
            <w:r w:rsidRPr="000773F7">
              <w:rPr>
                <w:szCs w:val="20"/>
              </w:rPr>
              <w:t>Number</w:t>
            </w:r>
          </w:p>
        </w:tc>
        <w:tc>
          <w:tcPr>
            <w:tcW w:w="1667" w:type="pct"/>
            <w:vAlign w:val="bottom"/>
          </w:tcPr>
          <w:p w14:paraId="61C6F2C5" w14:textId="77777777" w:rsidR="00C55A6B" w:rsidRPr="000773F7" w:rsidRDefault="00C55A6B" w:rsidP="000773F7">
            <w:pPr>
              <w:pStyle w:val="TableBodyText"/>
              <w:jc w:val="right"/>
              <w:rPr>
                <w:szCs w:val="20"/>
              </w:rPr>
            </w:pPr>
            <w:r w:rsidRPr="000773F7">
              <w:rPr>
                <w:szCs w:val="20"/>
              </w:rPr>
              <w:t>Total Remuneration</w:t>
            </w:r>
          </w:p>
          <w:p w14:paraId="652EADAB" w14:textId="77777777" w:rsidR="00C55A6B" w:rsidRPr="000773F7" w:rsidRDefault="00C55A6B" w:rsidP="000773F7">
            <w:pPr>
              <w:pStyle w:val="TableBodyText"/>
              <w:jc w:val="right"/>
              <w:rPr>
                <w:szCs w:val="20"/>
              </w:rPr>
            </w:pPr>
            <w:r w:rsidRPr="000773F7">
              <w:rPr>
                <w:szCs w:val="20"/>
              </w:rPr>
              <w:t>2020</w:t>
            </w:r>
          </w:p>
          <w:p w14:paraId="2DBE3217" w14:textId="4B3DEC8C" w:rsidR="00C55A6B" w:rsidRPr="000773F7" w:rsidRDefault="00C55A6B" w:rsidP="000773F7">
            <w:pPr>
              <w:pStyle w:val="TableBodyText"/>
              <w:jc w:val="right"/>
              <w:rPr>
                <w:szCs w:val="20"/>
              </w:rPr>
            </w:pPr>
            <w:r w:rsidRPr="000773F7">
              <w:rPr>
                <w:szCs w:val="20"/>
              </w:rPr>
              <w:t>Number</w:t>
            </w:r>
          </w:p>
        </w:tc>
      </w:tr>
      <w:bookmarkEnd w:id="1188"/>
      <w:tr w:rsidR="00C55A6B" w:rsidRPr="000773F7" w14:paraId="7055CBCA" w14:textId="77777777" w:rsidTr="000773F7">
        <w:tc>
          <w:tcPr>
            <w:tcW w:w="1666" w:type="pct"/>
          </w:tcPr>
          <w:p w14:paraId="7E4DB06B" w14:textId="3E285320" w:rsidR="00C55A6B" w:rsidRPr="000773F7" w:rsidRDefault="00C55A6B" w:rsidP="000773F7">
            <w:pPr>
              <w:pStyle w:val="TableBodyText"/>
              <w:rPr>
                <w:szCs w:val="20"/>
              </w:rPr>
            </w:pPr>
            <w:r w:rsidRPr="000773F7">
              <w:rPr>
                <w:szCs w:val="20"/>
              </w:rPr>
              <w:t>40,000 – 49,999</w:t>
            </w:r>
          </w:p>
        </w:tc>
        <w:tc>
          <w:tcPr>
            <w:tcW w:w="1666" w:type="pct"/>
          </w:tcPr>
          <w:p w14:paraId="0575FE79" w14:textId="0B9769B4" w:rsidR="00C55A6B" w:rsidRPr="000773F7" w:rsidRDefault="00C55A6B" w:rsidP="000773F7">
            <w:pPr>
              <w:pStyle w:val="TableBodyText"/>
              <w:jc w:val="right"/>
              <w:rPr>
                <w:szCs w:val="20"/>
              </w:rPr>
            </w:pPr>
            <w:r w:rsidRPr="000773F7">
              <w:rPr>
                <w:szCs w:val="20"/>
              </w:rPr>
              <w:t>2</w:t>
            </w:r>
          </w:p>
        </w:tc>
        <w:tc>
          <w:tcPr>
            <w:tcW w:w="1667" w:type="pct"/>
          </w:tcPr>
          <w:p w14:paraId="1AB01657" w14:textId="16C23519" w:rsidR="00C55A6B" w:rsidRPr="000773F7" w:rsidRDefault="00C55A6B" w:rsidP="000773F7">
            <w:pPr>
              <w:pStyle w:val="TableBodyText"/>
              <w:jc w:val="right"/>
              <w:rPr>
                <w:szCs w:val="20"/>
              </w:rPr>
            </w:pPr>
            <w:r w:rsidRPr="000773F7">
              <w:rPr>
                <w:szCs w:val="20"/>
              </w:rPr>
              <w:t>2</w:t>
            </w:r>
          </w:p>
        </w:tc>
      </w:tr>
      <w:tr w:rsidR="00C55A6B" w:rsidRPr="000773F7" w14:paraId="6E198304" w14:textId="77777777" w:rsidTr="000773F7">
        <w:tc>
          <w:tcPr>
            <w:tcW w:w="1666" w:type="pct"/>
          </w:tcPr>
          <w:p w14:paraId="2677E977" w14:textId="2E736E89" w:rsidR="00C55A6B" w:rsidRPr="000773F7" w:rsidRDefault="00C55A6B" w:rsidP="000773F7">
            <w:pPr>
              <w:pStyle w:val="TableBodyText"/>
              <w:rPr>
                <w:szCs w:val="20"/>
              </w:rPr>
            </w:pPr>
            <w:r w:rsidRPr="000773F7">
              <w:rPr>
                <w:szCs w:val="20"/>
              </w:rPr>
              <w:t>50,000 – 59,999</w:t>
            </w:r>
          </w:p>
        </w:tc>
        <w:tc>
          <w:tcPr>
            <w:tcW w:w="1666" w:type="pct"/>
          </w:tcPr>
          <w:p w14:paraId="61442F0E" w14:textId="2CD5551B" w:rsidR="00C55A6B" w:rsidRPr="000773F7" w:rsidRDefault="00C55A6B" w:rsidP="000773F7">
            <w:pPr>
              <w:pStyle w:val="TableBodyText"/>
              <w:jc w:val="right"/>
              <w:rPr>
                <w:szCs w:val="20"/>
              </w:rPr>
            </w:pPr>
            <w:r w:rsidRPr="000773F7">
              <w:rPr>
                <w:szCs w:val="20"/>
              </w:rPr>
              <w:t>5</w:t>
            </w:r>
          </w:p>
        </w:tc>
        <w:tc>
          <w:tcPr>
            <w:tcW w:w="1667" w:type="pct"/>
          </w:tcPr>
          <w:p w14:paraId="0FCE081A" w14:textId="0D46057C" w:rsidR="00C55A6B" w:rsidRPr="000773F7" w:rsidRDefault="00C55A6B" w:rsidP="000773F7">
            <w:pPr>
              <w:pStyle w:val="TableBodyText"/>
              <w:jc w:val="right"/>
              <w:rPr>
                <w:szCs w:val="20"/>
              </w:rPr>
            </w:pPr>
            <w:r w:rsidRPr="000773F7">
              <w:rPr>
                <w:szCs w:val="20"/>
              </w:rPr>
              <w:t>5</w:t>
            </w:r>
          </w:p>
        </w:tc>
      </w:tr>
      <w:tr w:rsidR="00C55A6B" w:rsidRPr="000773F7" w14:paraId="0FA9E5A3" w14:textId="77777777" w:rsidTr="000773F7">
        <w:tc>
          <w:tcPr>
            <w:tcW w:w="1666" w:type="pct"/>
          </w:tcPr>
          <w:p w14:paraId="63C42BC9" w14:textId="26A9E200" w:rsidR="00C55A6B" w:rsidRPr="000773F7" w:rsidRDefault="00C55A6B" w:rsidP="000773F7">
            <w:pPr>
              <w:pStyle w:val="TableBodyText"/>
              <w:rPr>
                <w:szCs w:val="20"/>
              </w:rPr>
            </w:pPr>
            <w:r w:rsidRPr="000773F7">
              <w:rPr>
                <w:szCs w:val="20"/>
              </w:rPr>
              <w:t>90,000 – 99,999</w:t>
            </w:r>
          </w:p>
        </w:tc>
        <w:tc>
          <w:tcPr>
            <w:tcW w:w="1666" w:type="pct"/>
          </w:tcPr>
          <w:p w14:paraId="77D09742" w14:textId="381A2104" w:rsidR="00C55A6B" w:rsidRPr="000773F7" w:rsidRDefault="00C55A6B" w:rsidP="000773F7">
            <w:pPr>
              <w:pStyle w:val="TableBodyText"/>
              <w:jc w:val="right"/>
              <w:rPr>
                <w:szCs w:val="20"/>
              </w:rPr>
            </w:pPr>
            <w:r w:rsidRPr="000773F7">
              <w:rPr>
                <w:szCs w:val="20"/>
              </w:rPr>
              <w:t>1</w:t>
            </w:r>
          </w:p>
        </w:tc>
        <w:tc>
          <w:tcPr>
            <w:tcW w:w="1667" w:type="pct"/>
          </w:tcPr>
          <w:p w14:paraId="1847A5A2" w14:textId="64411B2A" w:rsidR="00C55A6B" w:rsidRPr="000773F7" w:rsidRDefault="00C55A6B" w:rsidP="000773F7">
            <w:pPr>
              <w:pStyle w:val="TableBodyText"/>
              <w:jc w:val="right"/>
              <w:rPr>
                <w:szCs w:val="20"/>
              </w:rPr>
            </w:pPr>
            <w:r w:rsidRPr="000773F7">
              <w:rPr>
                <w:szCs w:val="20"/>
              </w:rPr>
              <w:t>1</w:t>
            </w:r>
          </w:p>
        </w:tc>
      </w:tr>
      <w:tr w:rsidR="00C55A6B" w:rsidRPr="000773F7" w14:paraId="447C4A3B" w14:textId="77777777" w:rsidTr="000773F7">
        <w:tc>
          <w:tcPr>
            <w:tcW w:w="1666" w:type="pct"/>
          </w:tcPr>
          <w:p w14:paraId="03DB5105" w14:textId="59B8D4B8" w:rsidR="00C55A6B" w:rsidRPr="000773F7" w:rsidRDefault="00C55A6B" w:rsidP="000773F7">
            <w:pPr>
              <w:pStyle w:val="TableBodyText"/>
              <w:rPr>
                <w:szCs w:val="20"/>
              </w:rPr>
            </w:pPr>
            <w:r w:rsidRPr="000773F7">
              <w:rPr>
                <w:szCs w:val="20"/>
              </w:rPr>
              <w:t>530,000 – 539,000</w:t>
            </w:r>
          </w:p>
        </w:tc>
        <w:tc>
          <w:tcPr>
            <w:tcW w:w="1666" w:type="pct"/>
          </w:tcPr>
          <w:p w14:paraId="0FBFE624" w14:textId="0AE8621B" w:rsidR="00C55A6B" w:rsidRPr="000773F7" w:rsidRDefault="00C55A6B" w:rsidP="000773F7">
            <w:pPr>
              <w:pStyle w:val="TableBodyText"/>
              <w:jc w:val="right"/>
              <w:rPr>
                <w:szCs w:val="20"/>
              </w:rPr>
            </w:pPr>
            <w:r w:rsidRPr="000773F7">
              <w:rPr>
                <w:szCs w:val="20"/>
              </w:rPr>
              <w:t>1</w:t>
            </w:r>
          </w:p>
        </w:tc>
        <w:tc>
          <w:tcPr>
            <w:tcW w:w="1667" w:type="pct"/>
          </w:tcPr>
          <w:p w14:paraId="4FECA4D4" w14:textId="29818C46" w:rsidR="00C55A6B" w:rsidRPr="000773F7" w:rsidRDefault="00C55A6B" w:rsidP="000773F7">
            <w:pPr>
              <w:pStyle w:val="TableBodyText"/>
              <w:jc w:val="right"/>
              <w:rPr>
                <w:szCs w:val="20"/>
              </w:rPr>
            </w:pPr>
            <w:r w:rsidRPr="000773F7">
              <w:rPr>
                <w:szCs w:val="20"/>
              </w:rPr>
              <w:t>1</w:t>
            </w:r>
          </w:p>
        </w:tc>
      </w:tr>
      <w:tr w:rsidR="00C55A6B" w:rsidRPr="000773F7" w14:paraId="67194B90" w14:textId="77777777" w:rsidTr="000773F7">
        <w:tc>
          <w:tcPr>
            <w:tcW w:w="1666" w:type="pct"/>
          </w:tcPr>
          <w:p w14:paraId="6F38A4E1" w14:textId="142A0317" w:rsidR="00C55A6B" w:rsidRPr="000773F7" w:rsidRDefault="00C55A6B" w:rsidP="000773F7">
            <w:pPr>
              <w:pStyle w:val="TableBodyText"/>
              <w:rPr>
                <w:rStyle w:val="Bold"/>
                <w:szCs w:val="20"/>
              </w:rPr>
            </w:pPr>
            <w:r w:rsidRPr="000773F7">
              <w:rPr>
                <w:rStyle w:val="Bold"/>
                <w:szCs w:val="20"/>
              </w:rPr>
              <w:t>Total numbers</w:t>
            </w:r>
          </w:p>
        </w:tc>
        <w:tc>
          <w:tcPr>
            <w:tcW w:w="1666" w:type="pct"/>
          </w:tcPr>
          <w:p w14:paraId="6B1A37B5" w14:textId="6A7F5746" w:rsidR="00C55A6B" w:rsidRPr="000773F7" w:rsidRDefault="00C55A6B" w:rsidP="000773F7">
            <w:pPr>
              <w:pStyle w:val="TableBodyText"/>
              <w:jc w:val="right"/>
              <w:rPr>
                <w:rStyle w:val="Bold"/>
                <w:szCs w:val="20"/>
              </w:rPr>
            </w:pPr>
            <w:r w:rsidRPr="000773F7">
              <w:rPr>
                <w:rStyle w:val="Bold"/>
                <w:szCs w:val="20"/>
              </w:rPr>
              <w:t>9</w:t>
            </w:r>
          </w:p>
        </w:tc>
        <w:tc>
          <w:tcPr>
            <w:tcW w:w="1667" w:type="pct"/>
          </w:tcPr>
          <w:p w14:paraId="67D81137" w14:textId="78525D74" w:rsidR="00C55A6B" w:rsidRPr="000773F7" w:rsidRDefault="00C55A6B" w:rsidP="000773F7">
            <w:pPr>
              <w:pStyle w:val="TableBodyText"/>
              <w:jc w:val="right"/>
              <w:rPr>
                <w:rStyle w:val="Bold"/>
                <w:szCs w:val="20"/>
              </w:rPr>
            </w:pPr>
            <w:r w:rsidRPr="000773F7">
              <w:rPr>
                <w:rStyle w:val="Bold"/>
                <w:szCs w:val="20"/>
              </w:rPr>
              <w:t>9</w:t>
            </w:r>
          </w:p>
        </w:tc>
      </w:tr>
      <w:tr w:rsidR="00C55A6B" w:rsidRPr="000773F7" w14:paraId="7E71B359" w14:textId="77777777" w:rsidTr="000773F7">
        <w:tc>
          <w:tcPr>
            <w:tcW w:w="1666" w:type="pct"/>
          </w:tcPr>
          <w:p w14:paraId="5074B252" w14:textId="5B556A43" w:rsidR="00C55A6B" w:rsidRPr="000773F7" w:rsidRDefault="00C55A6B" w:rsidP="000773F7">
            <w:pPr>
              <w:pStyle w:val="TableBodyText"/>
              <w:rPr>
                <w:rStyle w:val="Bold"/>
                <w:szCs w:val="20"/>
              </w:rPr>
            </w:pPr>
            <w:r w:rsidRPr="000773F7">
              <w:rPr>
                <w:rStyle w:val="Bold"/>
                <w:szCs w:val="20"/>
              </w:rPr>
              <w:t>Total remuneration ($000)</w:t>
            </w:r>
          </w:p>
        </w:tc>
        <w:tc>
          <w:tcPr>
            <w:tcW w:w="1666" w:type="pct"/>
          </w:tcPr>
          <w:p w14:paraId="27E9D9EB" w14:textId="33C495CA" w:rsidR="00C55A6B" w:rsidRPr="000773F7" w:rsidRDefault="00BA0FEF" w:rsidP="000773F7">
            <w:pPr>
              <w:pStyle w:val="TableBodyText"/>
              <w:jc w:val="right"/>
              <w:rPr>
                <w:rStyle w:val="Bold"/>
                <w:szCs w:val="20"/>
              </w:rPr>
            </w:pPr>
            <w:r w:rsidRPr="000773F7">
              <w:rPr>
                <w:rStyle w:val="Bold"/>
                <w:szCs w:val="20"/>
              </w:rPr>
              <w:t>996</w:t>
            </w:r>
          </w:p>
        </w:tc>
        <w:tc>
          <w:tcPr>
            <w:tcW w:w="1667" w:type="pct"/>
          </w:tcPr>
          <w:p w14:paraId="5159D5F3" w14:textId="680E180E" w:rsidR="00C55A6B" w:rsidRPr="000773F7" w:rsidRDefault="00BA0FEF" w:rsidP="000773F7">
            <w:pPr>
              <w:pStyle w:val="TableBodyText"/>
              <w:jc w:val="right"/>
              <w:rPr>
                <w:rStyle w:val="Bold"/>
                <w:szCs w:val="20"/>
              </w:rPr>
            </w:pPr>
            <w:r w:rsidRPr="000773F7">
              <w:rPr>
                <w:rStyle w:val="Bold"/>
                <w:szCs w:val="20"/>
              </w:rPr>
              <w:t>993</w:t>
            </w:r>
          </w:p>
        </w:tc>
      </w:tr>
    </w:tbl>
    <w:p w14:paraId="06C807E4" w14:textId="77777777" w:rsidR="00ED7D4B" w:rsidRDefault="00ED7D4B" w:rsidP="00ED7D4B">
      <w:pPr>
        <w:pStyle w:val="Heading3"/>
      </w:pPr>
      <w:bookmarkStart w:id="1189" w:name="_Toc89723152"/>
      <w:bookmarkStart w:id="1190" w:name="_Ref89844263"/>
      <w:bookmarkStart w:id="1191" w:name="_Ref89845811"/>
      <w:bookmarkStart w:id="1192" w:name="_Toc90326096"/>
      <w:bookmarkStart w:id="1193" w:name="_Toc93659502"/>
      <w:r>
        <w:t>7.3 Remuneration of executives</w:t>
      </w:r>
      <w:bookmarkEnd w:id="1189"/>
      <w:bookmarkEnd w:id="1190"/>
      <w:bookmarkEnd w:id="1191"/>
      <w:bookmarkEnd w:id="1192"/>
      <w:bookmarkEnd w:id="1193"/>
    </w:p>
    <w:p w14:paraId="4406EA2F" w14:textId="5B52B4CB" w:rsidR="00ED7D4B" w:rsidRDefault="00ED7D4B" w:rsidP="00ED7D4B">
      <w:pPr>
        <w:pStyle w:val="BodyText"/>
      </w:pPr>
      <w:r>
        <w:t>The number of executives, other than ministers, and their total remuneration during the reporting period are shown in the table below. Total annualised employee equivalents provides a measure of full time equivalent executive officers over the reporting period. Remuneration comprises employee benefits in all forms of consideration paid, payable or provided by the entity, or on behalf of the entity, in exchange for services rendered, and is disclosed in the following categories.</w:t>
      </w:r>
    </w:p>
    <w:p w14:paraId="4288AAE7" w14:textId="7A4E60C7" w:rsidR="00F118C3" w:rsidRDefault="00ED7D4B" w:rsidP="00ED7D4B">
      <w:pPr>
        <w:pStyle w:val="BodyText"/>
      </w:pPr>
      <w:r w:rsidRPr="00ED7D4B">
        <w:rPr>
          <w:rStyle w:val="Bold"/>
        </w:rPr>
        <w:t>Short-term employee benefits</w:t>
      </w:r>
      <w:r>
        <w:t xml:space="preserve"> include amounts such as wages, salaries, annual leave or sick leave that are usually paid or payable on a regular basis, as well as non-monetary benefits such as allowances and free or subsidised goods or services and previously accrued long service leave taken during the period.</w:t>
      </w:r>
    </w:p>
    <w:p w14:paraId="6EDEC228" w14:textId="58DF1BE1" w:rsidR="00ED7D4B" w:rsidRDefault="00ED7D4B" w:rsidP="00ED7D4B">
      <w:pPr>
        <w:pStyle w:val="BodyText"/>
      </w:pPr>
      <w:r w:rsidRPr="00ED7D4B">
        <w:rPr>
          <w:rStyle w:val="Bold"/>
        </w:rPr>
        <w:t>Post-employment benefits</w:t>
      </w:r>
      <w:r>
        <w:t xml:space="preserve"> include pensions and other retirement benefits paid or payable when employment has ceased.</w:t>
      </w:r>
    </w:p>
    <w:p w14:paraId="7ED024E9" w14:textId="2F0CF428" w:rsidR="00ED7D4B" w:rsidRDefault="00ED7D4B" w:rsidP="00ED7D4B">
      <w:pPr>
        <w:pStyle w:val="BodyText"/>
      </w:pPr>
      <w:r w:rsidRPr="00ED7D4B">
        <w:rPr>
          <w:rStyle w:val="Bold"/>
        </w:rPr>
        <w:t>Other long-term benefits</w:t>
      </w:r>
      <w:r>
        <w:t xml:space="preserve"> include long service leave, other long-service benefit or deferred compensation.</w:t>
      </w:r>
    </w:p>
    <w:p w14:paraId="035D6A07" w14:textId="7479690C" w:rsidR="00ED7D4B" w:rsidRDefault="00ED7D4B" w:rsidP="00ED7D4B">
      <w:pPr>
        <w:pStyle w:val="BodyText"/>
      </w:pPr>
      <w:r w:rsidRPr="00ED7D4B">
        <w:rPr>
          <w:rStyle w:val="Bold"/>
        </w:rPr>
        <w:t>Termination benefits</w:t>
      </w:r>
      <w:r>
        <w:t xml:space="preserve"> include termination of employment payments, such as severance packages.</w:t>
      </w:r>
    </w:p>
    <w:tbl>
      <w:tblPr>
        <w:tblStyle w:val="TableGrid"/>
        <w:tblW w:w="5000" w:type="pct"/>
        <w:tblLook w:val="04A0" w:firstRow="1" w:lastRow="0" w:firstColumn="1" w:lastColumn="0" w:noHBand="0" w:noVBand="1"/>
      </w:tblPr>
      <w:tblGrid>
        <w:gridCol w:w="6237"/>
        <w:gridCol w:w="1701"/>
        <w:gridCol w:w="1693"/>
      </w:tblGrid>
      <w:tr w:rsidR="00ED7D4B" w:rsidRPr="00BA37D9" w14:paraId="5DE0E58B"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3238" w:type="pct"/>
            <w:vAlign w:val="bottom"/>
          </w:tcPr>
          <w:p w14:paraId="75AE0B8B" w14:textId="0E1EE0DD" w:rsidR="00ED7D4B" w:rsidRPr="00BA37D9" w:rsidRDefault="00ED7D4B" w:rsidP="00617766">
            <w:pPr>
              <w:keepNext/>
              <w:keepLines/>
            </w:pPr>
            <w:bookmarkStart w:id="1194" w:name="ColumnTitle_102"/>
            <w:r w:rsidRPr="00BA37D9">
              <w:t xml:space="preserve">Remuneration of executive officers (including executives defined as Key Management Personnel in note </w:t>
            </w:r>
            <w:r w:rsidR="00450381">
              <w:fldChar w:fldCharType="begin"/>
            </w:r>
            <w:r w:rsidR="00450381">
              <w:instrText xml:space="preserve"> REF Note74 \h </w:instrText>
            </w:r>
            <w:r w:rsidR="00450381">
              <w:fldChar w:fldCharType="separate"/>
            </w:r>
            <w:r w:rsidR="00472151">
              <w:t xml:space="preserve">7.4 </w:t>
            </w:r>
            <w:r w:rsidR="00450381">
              <w:fldChar w:fldCharType="end"/>
            </w:r>
            <w:r w:rsidRPr="00BA37D9">
              <w:t>)</w:t>
            </w:r>
          </w:p>
        </w:tc>
        <w:tc>
          <w:tcPr>
            <w:tcW w:w="883" w:type="pct"/>
            <w:vAlign w:val="bottom"/>
          </w:tcPr>
          <w:p w14:paraId="14870D96" w14:textId="77777777" w:rsidR="00ED7D4B" w:rsidRPr="00BA37D9" w:rsidRDefault="00ED7D4B" w:rsidP="00617766">
            <w:pPr>
              <w:keepNext/>
              <w:keepLines/>
              <w:jc w:val="right"/>
            </w:pPr>
            <w:r w:rsidRPr="00BA37D9">
              <w:t>2021</w:t>
            </w:r>
          </w:p>
          <w:p w14:paraId="1C2100D2" w14:textId="3BD20974" w:rsidR="00ED7D4B" w:rsidRPr="00BA37D9" w:rsidRDefault="00ED7D4B" w:rsidP="00617766">
            <w:pPr>
              <w:keepNext/>
              <w:keepLines/>
              <w:jc w:val="right"/>
            </w:pPr>
            <w:r w:rsidRPr="00BA37D9">
              <w:t>($ thousands)</w:t>
            </w:r>
          </w:p>
        </w:tc>
        <w:tc>
          <w:tcPr>
            <w:tcW w:w="879" w:type="pct"/>
            <w:vAlign w:val="bottom"/>
          </w:tcPr>
          <w:p w14:paraId="2EEC7A4F" w14:textId="77777777" w:rsidR="00ED7D4B" w:rsidRPr="00BA37D9" w:rsidRDefault="00ED7D4B" w:rsidP="00617766">
            <w:pPr>
              <w:keepNext/>
              <w:keepLines/>
              <w:jc w:val="right"/>
            </w:pPr>
            <w:r w:rsidRPr="00BA37D9">
              <w:t>2020</w:t>
            </w:r>
          </w:p>
          <w:p w14:paraId="07839467" w14:textId="18B5D820" w:rsidR="00ED7D4B" w:rsidRPr="00BA37D9" w:rsidRDefault="00ED7D4B" w:rsidP="00617766">
            <w:pPr>
              <w:keepNext/>
              <w:keepLines/>
              <w:jc w:val="right"/>
            </w:pPr>
            <w:r w:rsidRPr="00BA37D9">
              <w:t>($ thousands)</w:t>
            </w:r>
          </w:p>
        </w:tc>
      </w:tr>
      <w:bookmarkEnd w:id="1194"/>
      <w:tr w:rsidR="00ED7D4B" w:rsidRPr="00BA37D9" w14:paraId="11A7CE04" w14:textId="77777777" w:rsidTr="00BA37D9">
        <w:tc>
          <w:tcPr>
            <w:tcW w:w="3238" w:type="pct"/>
          </w:tcPr>
          <w:p w14:paraId="17D2F332" w14:textId="0C98D177" w:rsidR="00ED7D4B" w:rsidRPr="00BA37D9" w:rsidRDefault="00ED7D4B" w:rsidP="00617766">
            <w:pPr>
              <w:pStyle w:val="TableBodyText"/>
              <w:keepNext/>
              <w:keepLines/>
              <w:rPr>
                <w:szCs w:val="20"/>
              </w:rPr>
            </w:pPr>
            <w:r w:rsidRPr="00BA37D9">
              <w:rPr>
                <w:szCs w:val="20"/>
              </w:rPr>
              <w:t xml:space="preserve">Short-term employment benefits </w:t>
            </w:r>
            <w:hyperlink w:anchor="NoteaTable73" w:history="1">
              <w:r w:rsidRPr="00BA37D9">
                <w:rPr>
                  <w:rStyle w:val="Hyperlink"/>
                  <w:szCs w:val="20"/>
                </w:rPr>
                <w:t>refer note a</w:t>
              </w:r>
            </w:hyperlink>
          </w:p>
        </w:tc>
        <w:tc>
          <w:tcPr>
            <w:tcW w:w="883" w:type="pct"/>
          </w:tcPr>
          <w:p w14:paraId="12C875A5" w14:textId="4C283FCF" w:rsidR="00ED7D4B" w:rsidRPr="00BA37D9" w:rsidRDefault="00ED7D4B" w:rsidP="00617766">
            <w:pPr>
              <w:pStyle w:val="TableBodyText"/>
              <w:keepNext/>
              <w:keepLines/>
              <w:jc w:val="right"/>
              <w:rPr>
                <w:szCs w:val="20"/>
              </w:rPr>
            </w:pPr>
            <w:r w:rsidRPr="00BA37D9">
              <w:rPr>
                <w:szCs w:val="20"/>
              </w:rPr>
              <w:t>3,833</w:t>
            </w:r>
          </w:p>
        </w:tc>
        <w:tc>
          <w:tcPr>
            <w:tcW w:w="879" w:type="pct"/>
          </w:tcPr>
          <w:p w14:paraId="2F56026D" w14:textId="2B8609D0" w:rsidR="00ED7D4B" w:rsidRPr="00BA37D9" w:rsidRDefault="00ED7D4B" w:rsidP="00617766">
            <w:pPr>
              <w:pStyle w:val="TableBodyText"/>
              <w:keepNext/>
              <w:keepLines/>
              <w:jc w:val="right"/>
              <w:rPr>
                <w:szCs w:val="20"/>
              </w:rPr>
            </w:pPr>
            <w:r w:rsidRPr="00BA37D9">
              <w:rPr>
                <w:szCs w:val="20"/>
              </w:rPr>
              <w:t>3,805</w:t>
            </w:r>
          </w:p>
        </w:tc>
      </w:tr>
      <w:tr w:rsidR="00ED7D4B" w:rsidRPr="00BA37D9" w14:paraId="0564E9F5" w14:textId="77777777" w:rsidTr="00BA37D9">
        <w:tc>
          <w:tcPr>
            <w:tcW w:w="3238" w:type="pct"/>
          </w:tcPr>
          <w:p w14:paraId="6D972EB1" w14:textId="5DA8830B" w:rsidR="00ED7D4B" w:rsidRPr="00BA37D9" w:rsidRDefault="00ED7D4B" w:rsidP="00617766">
            <w:pPr>
              <w:pStyle w:val="TableBodyText"/>
              <w:keepNext/>
              <w:keepLines/>
              <w:rPr>
                <w:szCs w:val="20"/>
              </w:rPr>
            </w:pPr>
            <w:r w:rsidRPr="00BA37D9">
              <w:rPr>
                <w:szCs w:val="20"/>
              </w:rPr>
              <w:t>Post-employment benefits</w:t>
            </w:r>
            <w:r w:rsidR="002A7587" w:rsidRPr="00BA37D9">
              <w:rPr>
                <w:szCs w:val="20"/>
              </w:rPr>
              <w:t xml:space="preserve"> </w:t>
            </w:r>
            <w:hyperlink w:anchor="NotebTable73" w:history="1">
              <w:r w:rsidR="002A7587" w:rsidRPr="00BA37D9">
                <w:rPr>
                  <w:rStyle w:val="Hyperlink"/>
                  <w:szCs w:val="20"/>
                </w:rPr>
                <w:t>refer note b</w:t>
              </w:r>
            </w:hyperlink>
          </w:p>
        </w:tc>
        <w:tc>
          <w:tcPr>
            <w:tcW w:w="883" w:type="pct"/>
          </w:tcPr>
          <w:p w14:paraId="5BE721D4" w14:textId="3E4EB42F" w:rsidR="00ED7D4B" w:rsidRPr="00BA37D9" w:rsidRDefault="00ED7D4B" w:rsidP="00617766">
            <w:pPr>
              <w:pStyle w:val="TableBodyText"/>
              <w:keepNext/>
              <w:keepLines/>
              <w:jc w:val="right"/>
              <w:rPr>
                <w:szCs w:val="20"/>
              </w:rPr>
            </w:pPr>
            <w:r w:rsidRPr="00BA37D9">
              <w:rPr>
                <w:szCs w:val="20"/>
              </w:rPr>
              <w:t>272</w:t>
            </w:r>
          </w:p>
        </w:tc>
        <w:tc>
          <w:tcPr>
            <w:tcW w:w="879" w:type="pct"/>
          </w:tcPr>
          <w:p w14:paraId="4D09A0A6" w14:textId="23C6D0C3" w:rsidR="00ED7D4B" w:rsidRPr="00BA37D9" w:rsidRDefault="00ED7D4B" w:rsidP="00617766">
            <w:pPr>
              <w:pStyle w:val="TableBodyText"/>
              <w:keepNext/>
              <w:keepLines/>
              <w:jc w:val="right"/>
              <w:rPr>
                <w:szCs w:val="20"/>
              </w:rPr>
            </w:pPr>
            <w:r w:rsidRPr="00BA37D9">
              <w:rPr>
                <w:szCs w:val="20"/>
              </w:rPr>
              <w:t>248</w:t>
            </w:r>
          </w:p>
        </w:tc>
      </w:tr>
      <w:tr w:rsidR="00ED7D4B" w:rsidRPr="00BA37D9" w14:paraId="6120CCC3" w14:textId="77777777" w:rsidTr="00BA37D9">
        <w:tc>
          <w:tcPr>
            <w:tcW w:w="3238" w:type="pct"/>
          </w:tcPr>
          <w:p w14:paraId="0B7013D4" w14:textId="07D81831" w:rsidR="00ED7D4B" w:rsidRPr="00BA37D9" w:rsidRDefault="00ED7D4B" w:rsidP="00617766">
            <w:pPr>
              <w:pStyle w:val="TableBodyText"/>
              <w:keepNext/>
              <w:keepLines/>
              <w:rPr>
                <w:szCs w:val="20"/>
              </w:rPr>
            </w:pPr>
            <w:r w:rsidRPr="00BA37D9">
              <w:rPr>
                <w:szCs w:val="20"/>
              </w:rPr>
              <w:t>Other long-term benefits</w:t>
            </w:r>
          </w:p>
        </w:tc>
        <w:tc>
          <w:tcPr>
            <w:tcW w:w="883" w:type="pct"/>
          </w:tcPr>
          <w:p w14:paraId="65B56BDA" w14:textId="19305AE8" w:rsidR="00ED7D4B" w:rsidRPr="00BA37D9" w:rsidRDefault="00ED7D4B" w:rsidP="00617766">
            <w:pPr>
              <w:pStyle w:val="TableBodyText"/>
              <w:keepNext/>
              <w:keepLines/>
              <w:jc w:val="right"/>
              <w:rPr>
                <w:szCs w:val="20"/>
              </w:rPr>
            </w:pPr>
            <w:r w:rsidRPr="00BA37D9">
              <w:rPr>
                <w:szCs w:val="20"/>
              </w:rPr>
              <w:t>96</w:t>
            </w:r>
          </w:p>
        </w:tc>
        <w:tc>
          <w:tcPr>
            <w:tcW w:w="879" w:type="pct"/>
          </w:tcPr>
          <w:p w14:paraId="7BF7811A" w14:textId="45A3C4A1" w:rsidR="00ED7D4B" w:rsidRPr="00BA37D9" w:rsidRDefault="00ED7D4B" w:rsidP="00617766">
            <w:pPr>
              <w:pStyle w:val="TableBodyText"/>
              <w:keepNext/>
              <w:keepLines/>
              <w:jc w:val="right"/>
              <w:rPr>
                <w:szCs w:val="20"/>
              </w:rPr>
            </w:pPr>
            <w:r w:rsidRPr="00BA37D9">
              <w:rPr>
                <w:szCs w:val="20"/>
              </w:rPr>
              <w:t>94</w:t>
            </w:r>
          </w:p>
        </w:tc>
      </w:tr>
      <w:tr w:rsidR="00ED7D4B" w:rsidRPr="00BA37D9" w14:paraId="578E3571" w14:textId="77777777" w:rsidTr="00BA37D9">
        <w:tc>
          <w:tcPr>
            <w:tcW w:w="3238" w:type="pct"/>
          </w:tcPr>
          <w:p w14:paraId="425C3AAB" w14:textId="24B81B68" w:rsidR="00ED7D4B" w:rsidRPr="00BA37D9" w:rsidRDefault="00ED7D4B" w:rsidP="00617766">
            <w:pPr>
              <w:pStyle w:val="TableBodyText"/>
              <w:keepNext/>
              <w:keepLines/>
              <w:rPr>
                <w:szCs w:val="20"/>
              </w:rPr>
            </w:pPr>
            <w:r w:rsidRPr="00BA37D9">
              <w:rPr>
                <w:szCs w:val="20"/>
              </w:rPr>
              <w:t>Termination benefits</w:t>
            </w:r>
            <w:r w:rsidR="002A7587" w:rsidRPr="00BA37D9">
              <w:rPr>
                <w:szCs w:val="20"/>
              </w:rPr>
              <w:t xml:space="preserve"> </w:t>
            </w:r>
            <w:hyperlink w:anchor="NotecTable73" w:history="1">
              <w:r w:rsidR="002A7587" w:rsidRPr="00BA37D9">
                <w:rPr>
                  <w:rStyle w:val="Hyperlink"/>
                  <w:szCs w:val="20"/>
                </w:rPr>
                <w:t>refer note c</w:t>
              </w:r>
            </w:hyperlink>
          </w:p>
        </w:tc>
        <w:tc>
          <w:tcPr>
            <w:tcW w:w="883" w:type="pct"/>
          </w:tcPr>
          <w:p w14:paraId="67438630" w14:textId="69108889" w:rsidR="00ED7D4B" w:rsidRPr="00BA37D9" w:rsidRDefault="00ED7D4B" w:rsidP="00617766">
            <w:pPr>
              <w:pStyle w:val="TableBodyText"/>
              <w:keepNext/>
              <w:keepLines/>
              <w:jc w:val="right"/>
              <w:rPr>
                <w:szCs w:val="20"/>
              </w:rPr>
            </w:pPr>
            <w:r w:rsidRPr="00BA37D9">
              <w:rPr>
                <w:szCs w:val="20"/>
              </w:rPr>
              <w:t>98</w:t>
            </w:r>
          </w:p>
        </w:tc>
        <w:tc>
          <w:tcPr>
            <w:tcW w:w="879" w:type="pct"/>
          </w:tcPr>
          <w:p w14:paraId="247FD800" w14:textId="353F4463" w:rsidR="00ED7D4B" w:rsidRPr="00BA37D9" w:rsidRDefault="00ED7D4B" w:rsidP="00617766">
            <w:pPr>
              <w:pStyle w:val="TableBodyText"/>
              <w:keepNext/>
              <w:keepLines/>
              <w:jc w:val="right"/>
              <w:rPr>
                <w:szCs w:val="20"/>
              </w:rPr>
            </w:pPr>
            <w:r w:rsidRPr="00BA37D9">
              <w:rPr>
                <w:szCs w:val="20"/>
              </w:rPr>
              <w:t>N/A</w:t>
            </w:r>
          </w:p>
        </w:tc>
      </w:tr>
      <w:tr w:rsidR="00ED7D4B" w:rsidRPr="00BA37D9" w14:paraId="5CB3C760" w14:textId="77777777" w:rsidTr="00BA37D9">
        <w:tc>
          <w:tcPr>
            <w:tcW w:w="3238" w:type="pct"/>
          </w:tcPr>
          <w:p w14:paraId="05A507CC" w14:textId="53D0EE38" w:rsidR="00ED7D4B" w:rsidRPr="00BA37D9" w:rsidRDefault="00ED7D4B" w:rsidP="00617766">
            <w:pPr>
              <w:pStyle w:val="TableBodyText"/>
              <w:keepNext/>
              <w:keepLines/>
              <w:rPr>
                <w:rStyle w:val="Bold"/>
                <w:szCs w:val="20"/>
              </w:rPr>
            </w:pPr>
            <w:r w:rsidRPr="00BA37D9">
              <w:rPr>
                <w:rStyle w:val="Bold"/>
                <w:szCs w:val="20"/>
              </w:rPr>
              <w:t>Total remuneration</w:t>
            </w:r>
          </w:p>
        </w:tc>
        <w:tc>
          <w:tcPr>
            <w:tcW w:w="883" w:type="pct"/>
          </w:tcPr>
          <w:p w14:paraId="2728C51F" w14:textId="197A9688" w:rsidR="00ED7D4B" w:rsidRPr="00BA37D9" w:rsidRDefault="00ED7D4B" w:rsidP="00617766">
            <w:pPr>
              <w:pStyle w:val="TableBodyText"/>
              <w:keepNext/>
              <w:keepLines/>
              <w:jc w:val="right"/>
              <w:rPr>
                <w:rStyle w:val="Bold"/>
                <w:szCs w:val="20"/>
              </w:rPr>
            </w:pPr>
            <w:r w:rsidRPr="00BA37D9">
              <w:rPr>
                <w:rStyle w:val="Bold"/>
                <w:szCs w:val="20"/>
              </w:rPr>
              <w:t>4,299</w:t>
            </w:r>
          </w:p>
        </w:tc>
        <w:tc>
          <w:tcPr>
            <w:tcW w:w="879" w:type="pct"/>
          </w:tcPr>
          <w:p w14:paraId="621F0FF3" w14:textId="7E8F72CE" w:rsidR="00ED7D4B" w:rsidRPr="00BA37D9" w:rsidRDefault="00ED7D4B" w:rsidP="00617766">
            <w:pPr>
              <w:pStyle w:val="TableBodyText"/>
              <w:keepNext/>
              <w:keepLines/>
              <w:jc w:val="right"/>
              <w:rPr>
                <w:rStyle w:val="Bold"/>
                <w:szCs w:val="20"/>
              </w:rPr>
            </w:pPr>
            <w:r w:rsidRPr="00BA37D9">
              <w:rPr>
                <w:rStyle w:val="Bold"/>
                <w:szCs w:val="20"/>
              </w:rPr>
              <w:t>4,147</w:t>
            </w:r>
          </w:p>
        </w:tc>
      </w:tr>
      <w:tr w:rsidR="00ED7D4B" w:rsidRPr="00BA37D9" w14:paraId="7ED62F13" w14:textId="77777777" w:rsidTr="00BA37D9">
        <w:tc>
          <w:tcPr>
            <w:tcW w:w="3238" w:type="pct"/>
          </w:tcPr>
          <w:p w14:paraId="77F48F81" w14:textId="46003986" w:rsidR="00ED7D4B" w:rsidRPr="00BA37D9" w:rsidRDefault="00ED7D4B" w:rsidP="00BA37D9">
            <w:pPr>
              <w:pStyle w:val="TableBodyText"/>
              <w:rPr>
                <w:rStyle w:val="Bold"/>
                <w:szCs w:val="20"/>
              </w:rPr>
            </w:pPr>
            <w:r w:rsidRPr="00BA37D9">
              <w:rPr>
                <w:rStyle w:val="Bold"/>
                <w:szCs w:val="20"/>
              </w:rPr>
              <w:t>Total number of executives</w:t>
            </w:r>
            <w:r w:rsidR="002A7587" w:rsidRPr="00BA37D9">
              <w:rPr>
                <w:rStyle w:val="Bold"/>
                <w:szCs w:val="20"/>
              </w:rPr>
              <w:t xml:space="preserve"> </w:t>
            </w:r>
            <w:hyperlink w:anchor="NotedTable73" w:history="1">
              <w:r w:rsidR="002A7587" w:rsidRPr="00BA37D9">
                <w:rPr>
                  <w:rStyle w:val="Hyperlink"/>
                  <w:szCs w:val="20"/>
                </w:rPr>
                <w:t>refer note d</w:t>
              </w:r>
            </w:hyperlink>
          </w:p>
        </w:tc>
        <w:tc>
          <w:tcPr>
            <w:tcW w:w="883" w:type="pct"/>
          </w:tcPr>
          <w:p w14:paraId="7C323BB3" w14:textId="15586CBC" w:rsidR="00ED7D4B" w:rsidRPr="00BA37D9" w:rsidRDefault="00ED7D4B" w:rsidP="00BA37D9">
            <w:pPr>
              <w:pStyle w:val="TableBodyText"/>
              <w:jc w:val="right"/>
              <w:rPr>
                <w:rStyle w:val="Bold"/>
                <w:szCs w:val="20"/>
              </w:rPr>
            </w:pPr>
            <w:r w:rsidRPr="00BA37D9">
              <w:rPr>
                <w:rStyle w:val="Bold"/>
                <w:szCs w:val="20"/>
              </w:rPr>
              <w:t>13</w:t>
            </w:r>
          </w:p>
        </w:tc>
        <w:tc>
          <w:tcPr>
            <w:tcW w:w="879" w:type="pct"/>
          </w:tcPr>
          <w:p w14:paraId="2E293B56" w14:textId="58ACEFCF" w:rsidR="00ED7D4B" w:rsidRPr="00BA37D9" w:rsidRDefault="00ED7D4B" w:rsidP="00BA37D9">
            <w:pPr>
              <w:pStyle w:val="TableBodyText"/>
              <w:jc w:val="right"/>
              <w:rPr>
                <w:rStyle w:val="Bold"/>
                <w:szCs w:val="20"/>
              </w:rPr>
            </w:pPr>
            <w:r w:rsidRPr="00BA37D9">
              <w:rPr>
                <w:rStyle w:val="Bold"/>
                <w:szCs w:val="20"/>
              </w:rPr>
              <w:t>13</w:t>
            </w:r>
          </w:p>
        </w:tc>
      </w:tr>
      <w:tr w:rsidR="00ED7D4B" w:rsidRPr="00BA37D9" w14:paraId="4EEDA7FF" w14:textId="77777777" w:rsidTr="00BA37D9">
        <w:tc>
          <w:tcPr>
            <w:tcW w:w="3238" w:type="pct"/>
          </w:tcPr>
          <w:p w14:paraId="3E505CC3" w14:textId="11ABB43B" w:rsidR="00ED7D4B" w:rsidRPr="00BA37D9" w:rsidRDefault="00ED7D4B" w:rsidP="00BA37D9">
            <w:pPr>
              <w:pStyle w:val="TableBodyText"/>
              <w:rPr>
                <w:rStyle w:val="Bold"/>
                <w:szCs w:val="20"/>
              </w:rPr>
            </w:pPr>
            <w:r w:rsidRPr="00BA37D9">
              <w:rPr>
                <w:rStyle w:val="Bold"/>
                <w:szCs w:val="20"/>
              </w:rPr>
              <w:lastRenderedPageBreak/>
              <w:t>Total annualised employee equivalent</w:t>
            </w:r>
            <w:r w:rsidR="002A7587" w:rsidRPr="00BA37D9">
              <w:rPr>
                <w:rStyle w:val="Bold"/>
                <w:szCs w:val="20"/>
              </w:rPr>
              <w:t xml:space="preserve"> </w:t>
            </w:r>
            <w:hyperlink w:anchor="NoteeTable73" w:history="1">
              <w:r w:rsidR="002A7587" w:rsidRPr="00BA37D9">
                <w:rPr>
                  <w:rStyle w:val="Hyperlink"/>
                  <w:szCs w:val="20"/>
                </w:rPr>
                <w:t>refer note e</w:t>
              </w:r>
            </w:hyperlink>
          </w:p>
        </w:tc>
        <w:tc>
          <w:tcPr>
            <w:tcW w:w="883" w:type="pct"/>
          </w:tcPr>
          <w:p w14:paraId="2C038AAB" w14:textId="60235D2D" w:rsidR="00ED7D4B" w:rsidRPr="00BA37D9" w:rsidRDefault="00ED7D4B" w:rsidP="00BA37D9">
            <w:pPr>
              <w:pStyle w:val="TableBodyText"/>
              <w:jc w:val="right"/>
              <w:rPr>
                <w:rStyle w:val="Bold"/>
                <w:szCs w:val="20"/>
              </w:rPr>
            </w:pPr>
            <w:r w:rsidRPr="00BA37D9">
              <w:rPr>
                <w:rStyle w:val="Bold"/>
                <w:szCs w:val="20"/>
              </w:rPr>
              <w:t>12</w:t>
            </w:r>
          </w:p>
        </w:tc>
        <w:tc>
          <w:tcPr>
            <w:tcW w:w="879" w:type="pct"/>
          </w:tcPr>
          <w:p w14:paraId="1EEB9631" w14:textId="54DBB859" w:rsidR="00ED7D4B" w:rsidRPr="00BA37D9" w:rsidRDefault="00ED7D4B" w:rsidP="00BA37D9">
            <w:pPr>
              <w:pStyle w:val="TableBodyText"/>
              <w:jc w:val="right"/>
              <w:rPr>
                <w:rStyle w:val="Bold"/>
                <w:szCs w:val="20"/>
              </w:rPr>
            </w:pPr>
            <w:r w:rsidRPr="00BA37D9">
              <w:rPr>
                <w:rStyle w:val="Bold"/>
                <w:szCs w:val="20"/>
              </w:rPr>
              <w:t>12</w:t>
            </w:r>
          </w:p>
        </w:tc>
      </w:tr>
    </w:tbl>
    <w:p w14:paraId="124C5706" w14:textId="77777777" w:rsidR="00ED7D4B" w:rsidRDefault="00ED7D4B" w:rsidP="00ED7D4B">
      <w:pPr>
        <w:pStyle w:val="BodyText"/>
      </w:pPr>
      <w:r>
        <w:t>Note:</w:t>
      </w:r>
    </w:p>
    <w:p w14:paraId="15FDCDF5" w14:textId="2E7D7F29" w:rsidR="00ED7D4B" w:rsidRDefault="00ED7D4B" w:rsidP="00ED7D4B">
      <w:pPr>
        <w:pStyle w:val="BodyText"/>
      </w:pPr>
      <w:bookmarkStart w:id="1195" w:name="NoteaTable73"/>
      <w:r>
        <w:t>(</w:t>
      </w:r>
      <w:r w:rsidRPr="00ED7D4B">
        <w:t>a)</w:t>
      </w:r>
      <w:bookmarkEnd w:id="1195"/>
      <w:r w:rsidRPr="00ED7D4B">
        <w:t xml:space="preserve"> Short-term benefits increased marginally as a result of roles that were carried as vacancies for short</w:t>
      </w:r>
      <w:r>
        <w:t xml:space="preserve"> periods within 2019-20 (FTE 11.85) being fully held and remunerated in 2020-21 (FTE 12.08). No remuneration increases were provided to executive officers in 2020-21.</w:t>
      </w:r>
    </w:p>
    <w:p w14:paraId="6B59413D" w14:textId="518A496C" w:rsidR="00ED7D4B" w:rsidRDefault="00ED7D4B" w:rsidP="00ED7D4B">
      <w:pPr>
        <w:pStyle w:val="BodyText"/>
      </w:pPr>
      <w:bookmarkStart w:id="1196" w:name="NotebTable73"/>
      <w:r>
        <w:t>(b)</w:t>
      </w:r>
      <w:bookmarkEnd w:id="1196"/>
      <w:r>
        <w:t xml:space="preserve"> Post-employment benefits increased marginally as a result of an increase to the Superannuation Contributions Cap (SGC) for 2020-21 and </w:t>
      </w:r>
      <w:r w:rsidR="004C682B">
        <w:t>Superannuation Contributions Cap</w:t>
      </w:r>
      <w:r>
        <w:t xml:space="preserve"> applicable to a termination benefit.</w:t>
      </w:r>
    </w:p>
    <w:p w14:paraId="665E57AC" w14:textId="2BB5B378" w:rsidR="00ED7D4B" w:rsidRDefault="00ED7D4B" w:rsidP="00ED7D4B">
      <w:pPr>
        <w:pStyle w:val="BodyText"/>
      </w:pPr>
      <w:bookmarkStart w:id="1197" w:name="NotecTable73"/>
      <w:r>
        <w:t>(c)</w:t>
      </w:r>
      <w:bookmarkEnd w:id="1197"/>
      <w:r>
        <w:t xml:space="preserve"> Termination benefits increased as a result of the early completion of an executive contract as per the terms of the Public Entity Executive Remuneration Policy for executive contracts.</w:t>
      </w:r>
    </w:p>
    <w:p w14:paraId="288F92E1" w14:textId="5EF25D33" w:rsidR="00ED7D4B" w:rsidRDefault="00ED7D4B" w:rsidP="00ED7D4B">
      <w:pPr>
        <w:pStyle w:val="BodyText"/>
      </w:pPr>
      <w:bookmarkStart w:id="1198" w:name="NotedTable73"/>
      <w:r>
        <w:t xml:space="preserve">(d) </w:t>
      </w:r>
      <w:bookmarkEnd w:id="1198"/>
      <w:r>
        <w:t xml:space="preserve">The total number of executive officers includes people who meet the definition of Key Management Personnel (KMP) of the entity under </w:t>
      </w:r>
      <w:r w:rsidRPr="00ED7D4B">
        <w:rPr>
          <w:rStyle w:val="ItalicText"/>
        </w:rPr>
        <w:t>AASB 124 Related Party Disclosures</w:t>
      </w:r>
      <w:r>
        <w:t xml:space="preserve"> and are also reported within the related parties note disclosure.</w:t>
      </w:r>
    </w:p>
    <w:p w14:paraId="5B8EF48A" w14:textId="270289AC" w:rsidR="00F118C3" w:rsidRDefault="00ED7D4B" w:rsidP="00ED7D4B">
      <w:pPr>
        <w:pStyle w:val="BodyText"/>
      </w:pPr>
      <w:bookmarkStart w:id="1199" w:name="NoteeTable73"/>
      <w:r>
        <w:t xml:space="preserve">(e) </w:t>
      </w:r>
      <w:bookmarkEnd w:id="1199"/>
      <w:r>
        <w:t>Annualised employee equivalent is based on the time fraction worked over the reporting period.</w:t>
      </w:r>
    </w:p>
    <w:p w14:paraId="35A00A61" w14:textId="77777777" w:rsidR="002A7587" w:rsidRDefault="002A7587" w:rsidP="002A7587">
      <w:pPr>
        <w:pStyle w:val="Heading3"/>
      </w:pPr>
      <w:bookmarkStart w:id="1200" w:name="Note74"/>
      <w:bookmarkStart w:id="1201" w:name="_Toc89723153"/>
      <w:bookmarkStart w:id="1202" w:name="_Ref89807068"/>
      <w:bookmarkStart w:id="1203" w:name="_Ref89807300"/>
      <w:bookmarkStart w:id="1204" w:name="_Ref89807311"/>
      <w:bookmarkStart w:id="1205" w:name="_Ref89844270"/>
      <w:bookmarkStart w:id="1206" w:name="_Ref89845816"/>
      <w:bookmarkStart w:id="1207" w:name="_Toc90326097"/>
      <w:bookmarkStart w:id="1208" w:name="_Toc93659503"/>
      <w:r>
        <w:t xml:space="preserve">7.4 </w:t>
      </w:r>
      <w:bookmarkEnd w:id="1200"/>
      <w:r>
        <w:t>Related parties</w:t>
      </w:r>
      <w:bookmarkEnd w:id="1201"/>
      <w:bookmarkEnd w:id="1202"/>
      <w:bookmarkEnd w:id="1203"/>
      <w:bookmarkEnd w:id="1204"/>
      <w:bookmarkEnd w:id="1205"/>
      <w:bookmarkEnd w:id="1206"/>
      <w:bookmarkEnd w:id="1207"/>
      <w:bookmarkEnd w:id="1208"/>
    </w:p>
    <w:p w14:paraId="39E1A2EB" w14:textId="6C022862" w:rsidR="002A7587" w:rsidRDefault="002A7587" w:rsidP="002A7587">
      <w:pPr>
        <w:pStyle w:val="BodyText"/>
      </w:pPr>
      <w:r>
        <w:t>The Corporation is a wholly owned and controlled entity of the State of Victoria. Related parties of the Corporation include:</w:t>
      </w:r>
    </w:p>
    <w:p w14:paraId="2AEF5FE3" w14:textId="13BF60FC" w:rsidR="002A7587" w:rsidRDefault="002A7587" w:rsidP="00C778D6">
      <w:pPr>
        <w:pStyle w:val="ListBullet"/>
      </w:pPr>
      <w:r>
        <w:t>all Key Management Personnel (KMP) and their close family members and personal business interests (that is, controlled entities, joint ventures and entities they have significant influence over)</w:t>
      </w:r>
    </w:p>
    <w:p w14:paraId="6A1F1D60" w14:textId="70C3D978" w:rsidR="00F118C3" w:rsidRDefault="002A7587" w:rsidP="00C778D6">
      <w:pPr>
        <w:pStyle w:val="ListBullet"/>
      </w:pPr>
      <w:r>
        <w:t>all Cabinet Ministers and their close family members and all departments and public sector entities that are controlled and consolidated into the whole of State consolidated financial statements.</w:t>
      </w:r>
    </w:p>
    <w:p w14:paraId="51B476BD" w14:textId="3062C475" w:rsidR="002A7587" w:rsidRDefault="002A7587" w:rsidP="002A7587">
      <w:pPr>
        <w:pStyle w:val="BodyText"/>
      </w:pPr>
      <w:r>
        <w:t>All related party transactions have been entered into on an arm’s length basis.</w:t>
      </w:r>
    </w:p>
    <w:p w14:paraId="7BA18CE2" w14:textId="40182F46" w:rsidR="002A7587" w:rsidRDefault="004C682B" w:rsidP="002A7587">
      <w:pPr>
        <w:pStyle w:val="BodyText"/>
      </w:pPr>
      <w:r>
        <w:rPr>
          <w:rStyle w:val="Bold"/>
        </w:rPr>
        <w:t>Key Management Personnel</w:t>
      </w:r>
      <w:r w:rsidR="002A7587">
        <w:t xml:space="preserve"> of the Corporation include the Portfolio Minister and all Directors or executives who have the authority and responsibility for planning, directing and controlling the activities of the Corporation, directly or indirectly, during the financial year.</w:t>
      </w:r>
    </w:p>
    <w:p w14:paraId="71D0B557" w14:textId="13BFFD38" w:rsidR="00F118C3" w:rsidRDefault="002A7587" w:rsidP="002A7587">
      <w:pPr>
        <w:pStyle w:val="BodyText"/>
      </w:pPr>
      <w:r>
        <w:t xml:space="preserve">The compensation detailed below excludes the salaries and benefits the Portfolio Minister receives. The Minister’s remuneration and allowances is set by the </w:t>
      </w:r>
      <w:r w:rsidRPr="002A7587">
        <w:rPr>
          <w:rStyle w:val="ItalicText"/>
        </w:rPr>
        <w:t>Parliamentary Salaries and Superannuation Act 1968</w:t>
      </w:r>
      <w:r>
        <w:t xml:space="preserve"> and is reported within the Department of Parliamentary Services’ Financial Report.</w:t>
      </w:r>
    </w:p>
    <w:tbl>
      <w:tblPr>
        <w:tblStyle w:val="Style1"/>
        <w:tblW w:w="5000" w:type="pct"/>
        <w:tblLook w:val="04A0" w:firstRow="1" w:lastRow="0" w:firstColumn="1" w:lastColumn="0" w:noHBand="0" w:noVBand="1"/>
      </w:tblPr>
      <w:tblGrid>
        <w:gridCol w:w="6520"/>
        <w:gridCol w:w="1560"/>
        <w:gridCol w:w="1551"/>
      </w:tblGrid>
      <w:tr w:rsidR="002A7587" w:rsidRPr="00BA37D9" w14:paraId="7C2E328F"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2D043880" w14:textId="584AA1FF" w:rsidR="002A7587" w:rsidRPr="00BA37D9" w:rsidRDefault="002A7587" w:rsidP="00BA37D9">
            <w:bookmarkStart w:id="1209" w:name="ColumnTitle_103"/>
            <w:r w:rsidRPr="00BA37D9">
              <w:t xml:space="preserve">Compensation of </w:t>
            </w:r>
            <w:r w:rsidR="004C682B">
              <w:t>Key Management Personnel</w:t>
            </w:r>
          </w:p>
        </w:tc>
        <w:tc>
          <w:tcPr>
            <w:tcW w:w="810" w:type="pct"/>
            <w:tcBorders>
              <w:top w:val="single" w:sz="4" w:space="0" w:color="auto"/>
            </w:tcBorders>
            <w:vAlign w:val="bottom"/>
          </w:tcPr>
          <w:p w14:paraId="15F84AFD" w14:textId="77777777" w:rsidR="002A7587" w:rsidRPr="00BA37D9" w:rsidRDefault="002A7587" w:rsidP="00BA37D9">
            <w:pPr>
              <w:cnfStyle w:val="100000000000" w:firstRow="1" w:lastRow="0" w:firstColumn="0" w:lastColumn="0" w:oddVBand="0" w:evenVBand="0" w:oddHBand="0" w:evenHBand="0" w:firstRowFirstColumn="0" w:firstRowLastColumn="0" w:lastRowFirstColumn="0" w:lastRowLastColumn="0"/>
            </w:pPr>
            <w:r w:rsidRPr="00BA37D9">
              <w:t>2021</w:t>
            </w:r>
          </w:p>
          <w:p w14:paraId="71618022" w14:textId="77777777" w:rsidR="002A7587" w:rsidRPr="00BA37D9" w:rsidRDefault="002A7587" w:rsidP="00BA37D9">
            <w:pPr>
              <w:cnfStyle w:val="100000000000" w:firstRow="1" w:lastRow="0" w:firstColumn="0" w:lastColumn="0" w:oddVBand="0" w:evenVBand="0" w:oddHBand="0" w:evenHBand="0" w:firstRowFirstColumn="0" w:firstRowLastColumn="0" w:lastRowFirstColumn="0" w:lastRowLastColumn="0"/>
            </w:pPr>
            <w:r w:rsidRPr="00BA37D9">
              <w:t>($ thousands)</w:t>
            </w:r>
          </w:p>
        </w:tc>
        <w:tc>
          <w:tcPr>
            <w:tcW w:w="805" w:type="pct"/>
            <w:tcBorders>
              <w:top w:val="single" w:sz="4" w:space="0" w:color="auto"/>
            </w:tcBorders>
            <w:vAlign w:val="bottom"/>
          </w:tcPr>
          <w:p w14:paraId="447D8958" w14:textId="77777777" w:rsidR="002A7587" w:rsidRPr="00BA37D9" w:rsidRDefault="002A7587" w:rsidP="00BA37D9">
            <w:pPr>
              <w:cnfStyle w:val="100000000000" w:firstRow="1" w:lastRow="0" w:firstColumn="0" w:lastColumn="0" w:oddVBand="0" w:evenVBand="0" w:oddHBand="0" w:evenHBand="0" w:firstRowFirstColumn="0" w:firstRowLastColumn="0" w:lastRowFirstColumn="0" w:lastRowLastColumn="0"/>
            </w:pPr>
            <w:r w:rsidRPr="00BA37D9">
              <w:t>2020</w:t>
            </w:r>
          </w:p>
          <w:p w14:paraId="1F0ACB83" w14:textId="77777777" w:rsidR="002A7587" w:rsidRPr="00BA37D9" w:rsidRDefault="002A7587" w:rsidP="00BA37D9">
            <w:pPr>
              <w:cnfStyle w:val="100000000000" w:firstRow="1" w:lastRow="0" w:firstColumn="0" w:lastColumn="0" w:oddVBand="0" w:evenVBand="0" w:oddHBand="0" w:evenHBand="0" w:firstRowFirstColumn="0" w:firstRowLastColumn="0" w:lastRowFirstColumn="0" w:lastRowLastColumn="0"/>
            </w:pPr>
            <w:r w:rsidRPr="00BA37D9">
              <w:t>($ thousands)</w:t>
            </w:r>
          </w:p>
        </w:tc>
      </w:tr>
      <w:bookmarkEnd w:id="1209"/>
      <w:tr w:rsidR="002A7587" w:rsidRPr="00835BFD" w14:paraId="27A2D2FD" w14:textId="77777777" w:rsidTr="00BA37D9">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D2FB3DE" w14:textId="3A16829F" w:rsidR="002A7587" w:rsidRDefault="002A7587" w:rsidP="00BA37D9">
            <w:pPr>
              <w:pStyle w:val="TableBodyText"/>
            </w:pPr>
            <w:r>
              <w:t>Short-term employment benefits</w:t>
            </w:r>
          </w:p>
        </w:tc>
        <w:tc>
          <w:tcPr>
            <w:tcW w:w="810" w:type="pct"/>
            <w:vAlign w:val="top"/>
          </w:tcPr>
          <w:p w14:paraId="6A142423" w14:textId="630F47E9"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1,334</w:t>
            </w:r>
          </w:p>
        </w:tc>
        <w:tc>
          <w:tcPr>
            <w:tcW w:w="805" w:type="pct"/>
            <w:vAlign w:val="top"/>
          </w:tcPr>
          <w:p w14:paraId="21BB4069" w14:textId="1D5FFFE4"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1,334</w:t>
            </w:r>
          </w:p>
        </w:tc>
      </w:tr>
      <w:tr w:rsidR="002A7587" w:rsidRPr="00835BFD" w14:paraId="54BBBEAC" w14:textId="77777777" w:rsidTr="00BA37D9">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C84FB65" w14:textId="29E9D448" w:rsidR="002A7587" w:rsidRDefault="002A7587" w:rsidP="00BA37D9">
            <w:pPr>
              <w:pStyle w:val="TableBodyText"/>
            </w:pPr>
            <w:r>
              <w:t>Post-employment benefits</w:t>
            </w:r>
          </w:p>
        </w:tc>
        <w:tc>
          <w:tcPr>
            <w:tcW w:w="810" w:type="pct"/>
            <w:vAlign w:val="top"/>
          </w:tcPr>
          <w:p w14:paraId="04AD101C" w14:textId="7D95A7F9"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83</w:t>
            </w:r>
          </w:p>
        </w:tc>
        <w:tc>
          <w:tcPr>
            <w:tcW w:w="805" w:type="pct"/>
            <w:vAlign w:val="top"/>
          </w:tcPr>
          <w:p w14:paraId="7E4FC168" w14:textId="6BEE28EB"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81</w:t>
            </w:r>
          </w:p>
        </w:tc>
      </w:tr>
      <w:tr w:rsidR="002A7587" w:rsidRPr="00835BFD" w14:paraId="5D646032" w14:textId="77777777" w:rsidTr="00BA37D9">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18EAB1E" w14:textId="7986080D" w:rsidR="002A7587" w:rsidRDefault="002A7587" w:rsidP="00BA37D9">
            <w:pPr>
              <w:pStyle w:val="TableBodyText"/>
            </w:pPr>
            <w:r>
              <w:t>Other long-term benefits</w:t>
            </w:r>
          </w:p>
        </w:tc>
        <w:tc>
          <w:tcPr>
            <w:tcW w:w="810" w:type="pct"/>
            <w:vAlign w:val="top"/>
          </w:tcPr>
          <w:p w14:paraId="1947878D" w14:textId="1004E815"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23</w:t>
            </w:r>
          </w:p>
        </w:tc>
        <w:tc>
          <w:tcPr>
            <w:tcW w:w="805" w:type="pct"/>
            <w:vAlign w:val="top"/>
          </w:tcPr>
          <w:p w14:paraId="6827E40B" w14:textId="04D78812"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23</w:t>
            </w:r>
          </w:p>
        </w:tc>
      </w:tr>
      <w:tr w:rsidR="002A7587" w:rsidRPr="00835BFD" w14:paraId="78686A08" w14:textId="77777777" w:rsidTr="00BA37D9">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6ECB5513" w14:textId="42CD589B" w:rsidR="002A7587" w:rsidRPr="00A30536" w:rsidRDefault="002A7587" w:rsidP="00BA37D9">
            <w:pPr>
              <w:pStyle w:val="TableBodyText"/>
            </w:pPr>
            <w:r>
              <w:t>Termination benefits</w:t>
            </w:r>
          </w:p>
        </w:tc>
        <w:tc>
          <w:tcPr>
            <w:tcW w:w="810" w:type="pct"/>
            <w:tcBorders>
              <w:bottom w:val="single" w:sz="4" w:space="0" w:color="auto"/>
            </w:tcBorders>
            <w:vAlign w:val="top"/>
          </w:tcPr>
          <w:p w14:paraId="098B9DDC" w14:textId="73EB458A"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bottom w:val="single" w:sz="4" w:space="0" w:color="auto"/>
            </w:tcBorders>
            <w:vAlign w:val="top"/>
          </w:tcPr>
          <w:p w14:paraId="4C33C063" w14:textId="63999557" w:rsid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pPr>
            <w:r>
              <w:t>N/A</w:t>
            </w:r>
          </w:p>
        </w:tc>
      </w:tr>
      <w:tr w:rsidR="002A7587" w:rsidRPr="002A7587" w14:paraId="13391A5C" w14:textId="77777777" w:rsidTr="00BA37D9">
        <w:trPr>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58B8AD77" w14:textId="032DFA27" w:rsidR="002A7587" w:rsidRPr="002A7587" w:rsidRDefault="002A7587" w:rsidP="00BA37D9">
            <w:pPr>
              <w:pStyle w:val="TableBodyText"/>
              <w:rPr>
                <w:rStyle w:val="Bold"/>
              </w:rPr>
            </w:pPr>
            <w:r w:rsidRPr="002A7587">
              <w:rPr>
                <w:rStyle w:val="Bold"/>
              </w:rPr>
              <w:t>Total</w:t>
            </w:r>
            <w:r>
              <w:rPr>
                <w:rStyle w:val="Bold"/>
              </w:rPr>
              <w:t xml:space="preserve"> </w:t>
            </w:r>
            <w:hyperlink w:anchor="NoteTable74" w:history="1">
              <w:r w:rsidRPr="002A7587">
                <w:rPr>
                  <w:rStyle w:val="Hyperlink"/>
                </w:rPr>
                <w:t>refer note</w:t>
              </w:r>
            </w:hyperlink>
          </w:p>
        </w:tc>
        <w:tc>
          <w:tcPr>
            <w:tcW w:w="810" w:type="pct"/>
            <w:tcBorders>
              <w:top w:val="single" w:sz="4" w:space="0" w:color="auto"/>
              <w:bottom w:val="single" w:sz="4" w:space="0" w:color="auto"/>
            </w:tcBorders>
            <w:vAlign w:val="top"/>
          </w:tcPr>
          <w:p w14:paraId="3FE3921C" w14:textId="481B57E6" w:rsidR="002A7587" w:rsidRP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A7587">
              <w:rPr>
                <w:rStyle w:val="Bold"/>
              </w:rPr>
              <w:t>1,440</w:t>
            </w:r>
          </w:p>
        </w:tc>
        <w:tc>
          <w:tcPr>
            <w:tcW w:w="805" w:type="pct"/>
            <w:tcBorders>
              <w:top w:val="single" w:sz="4" w:space="0" w:color="auto"/>
              <w:bottom w:val="single" w:sz="4" w:space="0" w:color="auto"/>
            </w:tcBorders>
            <w:vAlign w:val="top"/>
          </w:tcPr>
          <w:p w14:paraId="18691AE2" w14:textId="210D3153" w:rsidR="002A7587" w:rsidRPr="002A7587" w:rsidRDefault="002A7587" w:rsidP="00BA37D9">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A7587">
              <w:rPr>
                <w:rStyle w:val="Bold"/>
              </w:rPr>
              <w:t>1,438</w:t>
            </w:r>
          </w:p>
        </w:tc>
      </w:tr>
    </w:tbl>
    <w:p w14:paraId="10A64A42" w14:textId="77777777" w:rsidR="002A7587" w:rsidRDefault="002A7587" w:rsidP="002A7587">
      <w:pPr>
        <w:pStyle w:val="BodyText"/>
      </w:pPr>
      <w:r>
        <w:lastRenderedPageBreak/>
        <w:t>Note:</w:t>
      </w:r>
    </w:p>
    <w:p w14:paraId="4761F74E" w14:textId="1C7B67BE" w:rsidR="002A7587" w:rsidRDefault="002A7587" w:rsidP="002A7587">
      <w:pPr>
        <w:pStyle w:val="BodyText"/>
      </w:pPr>
      <w:bookmarkStart w:id="1210" w:name="NoteTable74"/>
      <w:r>
        <w:t xml:space="preserve">(a) </w:t>
      </w:r>
      <w:bookmarkEnd w:id="1210"/>
      <w:r>
        <w:t xml:space="preserve">Note that executives that meet the definition of </w:t>
      </w:r>
      <w:r w:rsidR="004C682B">
        <w:t>Key Management Personnel</w:t>
      </w:r>
      <w:r>
        <w:t xml:space="preserve"> are also reported in the disclosure of remuneration of executives.</w:t>
      </w:r>
    </w:p>
    <w:p w14:paraId="1AD703F1" w14:textId="6A3D909F" w:rsidR="002A7587" w:rsidRPr="002A7587" w:rsidRDefault="002A7587" w:rsidP="00596594">
      <w:pPr>
        <w:pStyle w:val="Heading4"/>
      </w:pPr>
      <w:r w:rsidRPr="002A7587">
        <w:t xml:space="preserve">Transactions with </w:t>
      </w:r>
      <w:r w:rsidR="004C682B">
        <w:t>Key Management Personnel</w:t>
      </w:r>
      <w:r w:rsidRPr="002A7587">
        <w:t xml:space="preserve"> and other related parties</w:t>
      </w:r>
    </w:p>
    <w:p w14:paraId="3F0F99C6" w14:textId="3A8243D0" w:rsidR="00377520" w:rsidRDefault="002A7587" w:rsidP="002A7587">
      <w:pPr>
        <w:pStyle w:val="BodyText"/>
      </w:pPr>
      <w:r>
        <w:t xml:space="preserve">During the year, related parties of </w:t>
      </w:r>
      <w:r w:rsidR="004C682B">
        <w:t>Key Management Personnel</w:t>
      </w:r>
      <w:r>
        <w:t xml:space="preserve"> were awarded contracts on terms and conditions equivalent to those that prevail in arm’s length transactions under the Corporation’s procurement process. The Corporation has prepared the related party disclosures for the year based on reasonable enquiries made by management in relation to the Portfolio Minister and their close family members and the information available to the organisation.</w:t>
      </w:r>
    </w:p>
    <w:p w14:paraId="060DBDCA" w14:textId="57B5569B" w:rsidR="002A7587" w:rsidRDefault="002A7587" w:rsidP="002A7587">
      <w:pPr>
        <w:pStyle w:val="BodyText"/>
      </w:pPr>
      <w:r>
        <w:t xml:space="preserve">Significant related party transactions include transactions between the Corporation, a </w:t>
      </w:r>
      <w:r w:rsidR="004C682B">
        <w:t>Key Management Personnel</w:t>
      </w:r>
      <w:r>
        <w:t xml:space="preserve"> or a </w:t>
      </w:r>
      <w:r w:rsidR="004C682B">
        <w:t>Key Management Personnel</w:t>
      </w:r>
      <w:r>
        <w:t>-related party and a Department or a public body. Transactions have been assessed on an arm's length basis with a materiality threshold set at $0.1 million.</w:t>
      </w:r>
    </w:p>
    <w:tbl>
      <w:tblPr>
        <w:tblStyle w:val="TableGrid"/>
        <w:tblW w:w="5000" w:type="pct"/>
        <w:tblLook w:val="04A0" w:firstRow="1" w:lastRow="0" w:firstColumn="1" w:lastColumn="0" w:noHBand="0" w:noVBand="1"/>
      </w:tblPr>
      <w:tblGrid>
        <w:gridCol w:w="6237"/>
        <w:gridCol w:w="1701"/>
        <w:gridCol w:w="1693"/>
      </w:tblGrid>
      <w:tr w:rsidR="002A7587" w:rsidRPr="00BA37D9" w14:paraId="4A3F85CF"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3238" w:type="pct"/>
            <w:vAlign w:val="bottom"/>
          </w:tcPr>
          <w:p w14:paraId="45B3F52E" w14:textId="6420D1BD" w:rsidR="002A7587" w:rsidRPr="00BA37D9" w:rsidRDefault="002A7587" w:rsidP="00BA37D9">
            <w:bookmarkStart w:id="1211" w:name="ColumnTitle_104"/>
            <w:r w:rsidRPr="00BA37D9">
              <w:t>Item</w:t>
            </w:r>
          </w:p>
        </w:tc>
        <w:tc>
          <w:tcPr>
            <w:tcW w:w="883" w:type="pct"/>
            <w:vAlign w:val="bottom"/>
          </w:tcPr>
          <w:p w14:paraId="2CB94F48" w14:textId="77777777" w:rsidR="002A7587" w:rsidRPr="00BA37D9" w:rsidRDefault="002A7587" w:rsidP="00BA37D9">
            <w:pPr>
              <w:jc w:val="right"/>
            </w:pPr>
            <w:r w:rsidRPr="00BA37D9">
              <w:t>2021</w:t>
            </w:r>
          </w:p>
          <w:p w14:paraId="23D1B1B1" w14:textId="72D9B427" w:rsidR="002A7587" w:rsidRPr="00BA37D9" w:rsidRDefault="002A7587" w:rsidP="00BA37D9">
            <w:pPr>
              <w:jc w:val="right"/>
            </w:pPr>
            <w:r w:rsidRPr="00BA37D9">
              <w:t>($ thousands)</w:t>
            </w:r>
          </w:p>
        </w:tc>
        <w:tc>
          <w:tcPr>
            <w:tcW w:w="879" w:type="pct"/>
            <w:vAlign w:val="bottom"/>
          </w:tcPr>
          <w:p w14:paraId="36B09A2F" w14:textId="77777777" w:rsidR="002A7587" w:rsidRPr="00BA37D9" w:rsidRDefault="002A7587" w:rsidP="00BA37D9">
            <w:pPr>
              <w:jc w:val="right"/>
            </w:pPr>
            <w:r w:rsidRPr="00BA37D9">
              <w:t>2020</w:t>
            </w:r>
          </w:p>
          <w:p w14:paraId="3E9A8DD2" w14:textId="1E16E6DF" w:rsidR="002A7587" w:rsidRPr="00BA37D9" w:rsidRDefault="002A7587" w:rsidP="00BA37D9">
            <w:pPr>
              <w:jc w:val="right"/>
            </w:pPr>
            <w:r w:rsidRPr="00BA37D9">
              <w:t>($ thousands)</w:t>
            </w:r>
          </w:p>
        </w:tc>
      </w:tr>
      <w:bookmarkEnd w:id="1211"/>
      <w:tr w:rsidR="002A7587" w:rsidRPr="00BA37D9" w14:paraId="05338773" w14:textId="77777777" w:rsidTr="00BA37D9">
        <w:tc>
          <w:tcPr>
            <w:tcW w:w="3238" w:type="pct"/>
          </w:tcPr>
          <w:p w14:paraId="1FE08D8D" w14:textId="77777777" w:rsidR="002A7587" w:rsidRPr="00BA37D9" w:rsidRDefault="002A7587" w:rsidP="00BA37D9">
            <w:pPr>
              <w:pStyle w:val="TableBodyText"/>
              <w:rPr>
                <w:szCs w:val="20"/>
              </w:rPr>
            </w:pPr>
            <w:r w:rsidRPr="00BA37D9">
              <w:rPr>
                <w:szCs w:val="20"/>
              </w:rPr>
              <w:t>Lisa Neville (Minister for Water) and Richard Wynne (Acting Minister for Water)</w:t>
            </w:r>
          </w:p>
          <w:p w14:paraId="09329CAC" w14:textId="77777777" w:rsidR="002A7587" w:rsidRPr="00BA37D9" w:rsidRDefault="002A7587" w:rsidP="00BA37D9">
            <w:pPr>
              <w:pStyle w:val="TableBodyText"/>
              <w:rPr>
                <w:szCs w:val="20"/>
              </w:rPr>
            </w:pPr>
            <w:r w:rsidRPr="00BA37D9">
              <w:rPr>
                <w:szCs w:val="20"/>
              </w:rPr>
              <w:t>The Honourable Lisa Neville and Honourable Richard Wynne are responsible for the Department of Environment, Land, Water and Planning (DELWP). All dealings with this entity were on normal terms and conditions during the reporting period.</w:t>
            </w:r>
          </w:p>
          <w:p w14:paraId="01FD2BD9" w14:textId="67012BF4" w:rsidR="002A7587" w:rsidRPr="00BA37D9" w:rsidRDefault="002A7587" w:rsidP="00BA37D9">
            <w:pPr>
              <w:pStyle w:val="TableBodyText"/>
              <w:rPr>
                <w:szCs w:val="20"/>
              </w:rPr>
            </w:pPr>
            <w:r w:rsidRPr="00BA37D9">
              <w:rPr>
                <w:szCs w:val="20"/>
              </w:rPr>
              <w:t xml:space="preserve">Total payments made to </w:t>
            </w:r>
            <w:r w:rsidR="0030196D">
              <w:rPr>
                <w:szCs w:val="20"/>
              </w:rPr>
              <w:t>Department of Environment, Land, Water and Planning</w:t>
            </w:r>
            <w:r w:rsidRPr="00BA37D9">
              <w:rPr>
                <w:szCs w:val="20"/>
              </w:rPr>
              <w:t xml:space="preserve"> were (including </w:t>
            </w:r>
            <w:r w:rsidR="00DC0A06">
              <w:rPr>
                <w:szCs w:val="20"/>
              </w:rPr>
              <w:t>Victorian Desalination Plant</w:t>
            </w:r>
            <w:r w:rsidRPr="00BA37D9">
              <w:rPr>
                <w:szCs w:val="20"/>
              </w:rPr>
              <w:t xml:space="preserve"> payments):</w:t>
            </w:r>
          </w:p>
        </w:tc>
        <w:tc>
          <w:tcPr>
            <w:tcW w:w="883" w:type="pct"/>
          </w:tcPr>
          <w:p w14:paraId="6887C88B" w14:textId="46498236" w:rsidR="002A7587" w:rsidRPr="00BA37D9" w:rsidRDefault="002A7587" w:rsidP="00BA37D9">
            <w:pPr>
              <w:pStyle w:val="TableBodyText"/>
              <w:jc w:val="right"/>
              <w:rPr>
                <w:szCs w:val="20"/>
              </w:rPr>
            </w:pPr>
            <w:r w:rsidRPr="00BA37D9">
              <w:rPr>
                <w:szCs w:val="20"/>
              </w:rPr>
              <w:t>711,630</w:t>
            </w:r>
          </w:p>
        </w:tc>
        <w:tc>
          <w:tcPr>
            <w:tcW w:w="879" w:type="pct"/>
          </w:tcPr>
          <w:p w14:paraId="3C257CDA" w14:textId="5512F0F6" w:rsidR="002A7587" w:rsidRPr="00BA37D9" w:rsidRDefault="002A7587" w:rsidP="00BA37D9">
            <w:pPr>
              <w:pStyle w:val="TableBodyText"/>
              <w:jc w:val="right"/>
              <w:rPr>
                <w:szCs w:val="20"/>
              </w:rPr>
            </w:pPr>
            <w:r w:rsidRPr="00BA37D9">
              <w:rPr>
                <w:szCs w:val="20"/>
              </w:rPr>
              <w:t>754,667</w:t>
            </w:r>
          </w:p>
        </w:tc>
      </w:tr>
      <w:tr w:rsidR="002A7587" w:rsidRPr="00BA37D9" w14:paraId="362B7E7E" w14:textId="77777777" w:rsidTr="00BA37D9">
        <w:tc>
          <w:tcPr>
            <w:tcW w:w="3238" w:type="pct"/>
          </w:tcPr>
          <w:p w14:paraId="3A70AB60" w14:textId="77777777" w:rsidR="00596594" w:rsidRPr="00BA37D9" w:rsidRDefault="00596594" w:rsidP="00BA37D9">
            <w:pPr>
              <w:pStyle w:val="TableBodyText"/>
              <w:rPr>
                <w:szCs w:val="20"/>
              </w:rPr>
            </w:pPr>
            <w:r w:rsidRPr="00BA37D9">
              <w:rPr>
                <w:szCs w:val="20"/>
              </w:rPr>
              <w:t>Robyn McLeod – Director</w:t>
            </w:r>
          </w:p>
          <w:p w14:paraId="2314FF64" w14:textId="4D447B20" w:rsidR="00596594" w:rsidRPr="00BA37D9" w:rsidRDefault="00596594" w:rsidP="00BA37D9">
            <w:pPr>
              <w:pStyle w:val="TableBodyText"/>
              <w:rPr>
                <w:szCs w:val="20"/>
              </w:rPr>
            </w:pPr>
            <w:r w:rsidRPr="00BA37D9">
              <w:rPr>
                <w:szCs w:val="20"/>
              </w:rPr>
              <w:t>Robyn McLeod is a Director of the Victorian Water Industry Association. All dealings with this agency were on normal terms and conditions during the reporting period.</w:t>
            </w:r>
          </w:p>
          <w:p w14:paraId="46DCCF5C" w14:textId="779657F9" w:rsidR="002A7587" w:rsidRPr="00BA37D9" w:rsidRDefault="00596594" w:rsidP="00BA37D9">
            <w:pPr>
              <w:pStyle w:val="TableBodyText"/>
              <w:rPr>
                <w:szCs w:val="20"/>
              </w:rPr>
            </w:pPr>
            <w:r w:rsidRPr="00BA37D9">
              <w:rPr>
                <w:szCs w:val="20"/>
              </w:rPr>
              <w:t>Total payments made to Victorian Water Industry Association were:</w:t>
            </w:r>
          </w:p>
        </w:tc>
        <w:tc>
          <w:tcPr>
            <w:tcW w:w="883" w:type="pct"/>
          </w:tcPr>
          <w:p w14:paraId="200BD224" w14:textId="5D072063" w:rsidR="002A7587" w:rsidRPr="00BA37D9" w:rsidRDefault="00596594" w:rsidP="00BA37D9">
            <w:pPr>
              <w:pStyle w:val="TableBodyText"/>
              <w:jc w:val="right"/>
              <w:rPr>
                <w:szCs w:val="20"/>
              </w:rPr>
            </w:pPr>
            <w:r w:rsidRPr="00BA37D9">
              <w:rPr>
                <w:szCs w:val="20"/>
              </w:rPr>
              <w:t>193</w:t>
            </w:r>
          </w:p>
        </w:tc>
        <w:tc>
          <w:tcPr>
            <w:tcW w:w="879" w:type="pct"/>
          </w:tcPr>
          <w:p w14:paraId="00898121" w14:textId="5056DD10" w:rsidR="002A7587" w:rsidRPr="00BA37D9" w:rsidRDefault="00596594" w:rsidP="00BA37D9">
            <w:pPr>
              <w:pStyle w:val="TableBodyText"/>
              <w:jc w:val="right"/>
              <w:rPr>
                <w:szCs w:val="20"/>
              </w:rPr>
            </w:pPr>
            <w:r w:rsidRPr="00BA37D9">
              <w:rPr>
                <w:szCs w:val="20"/>
              </w:rPr>
              <w:t>168</w:t>
            </w:r>
          </w:p>
        </w:tc>
      </w:tr>
      <w:tr w:rsidR="00596594" w:rsidRPr="00BA37D9" w14:paraId="445BDC73" w14:textId="77777777" w:rsidTr="00BA37D9">
        <w:tc>
          <w:tcPr>
            <w:tcW w:w="3238" w:type="pct"/>
          </w:tcPr>
          <w:p w14:paraId="23B09481" w14:textId="77777777" w:rsidR="00596594" w:rsidRPr="00BA37D9" w:rsidRDefault="00596594" w:rsidP="00BA37D9">
            <w:pPr>
              <w:pStyle w:val="TableBodyText"/>
              <w:rPr>
                <w:szCs w:val="20"/>
              </w:rPr>
            </w:pPr>
            <w:r w:rsidRPr="00BA37D9">
              <w:rPr>
                <w:szCs w:val="20"/>
              </w:rPr>
              <w:t>Hugh Gleeson – Director</w:t>
            </w:r>
          </w:p>
          <w:p w14:paraId="6B2A21FD" w14:textId="21359B7F" w:rsidR="00596594" w:rsidRPr="00BA37D9" w:rsidRDefault="00596594" w:rsidP="00BA37D9">
            <w:pPr>
              <w:pStyle w:val="TableBodyText"/>
              <w:rPr>
                <w:szCs w:val="20"/>
              </w:rPr>
            </w:pPr>
            <w:r w:rsidRPr="00BA37D9">
              <w:rPr>
                <w:szCs w:val="20"/>
              </w:rPr>
              <w:t>Hugh Gleeson is a Director of Energy Queensland Limited. Ergon Energy Queensland is a subsidiary of Energy Queensland Limited. All dealings with this agency were on normal terms and conditions during the reporting period.</w:t>
            </w:r>
          </w:p>
          <w:p w14:paraId="39A27E7A" w14:textId="4A66E46A" w:rsidR="00596594" w:rsidRPr="00BA37D9" w:rsidRDefault="00596594" w:rsidP="00BA37D9">
            <w:pPr>
              <w:pStyle w:val="TableBodyText"/>
              <w:rPr>
                <w:szCs w:val="20"/>
              </w:rPr>
            </w:pPr>
            <w:r w:rsidRPr="00BA37D9">
              <w:rPr>
                <w:szCs w:val="20"/>
              </w:rPr>
              <w:t>Total payments received from Ergon Energy Queensland were:</w:t>
            </w:r>
          </w:p>
        </w:tc>
        <w:tc>
          <w:tcPr>
            <w:tcW w:w="883" w:type="pct"/>
          </w:tcPr>
          <w:p w14:paraId="29DAD774" w14:textId="0D594D68" w:rsidR="00596594" w:rsidRPr="00BA37D9" w:rsidRDefault="00596594" w:rsidP="00BA37D9">
            <w:pPr>
              <w:pStyle w:val="TableBodyText"/>
              <w:jc w:val="right"/>
              <w:rPr>
                <w:szCs w:val="20"/>
              </w:rPr>
            </w:pPr>
            <w:r w:rsidRPr="00BA37D9">
              <w:rPr>
                <w:szCs w:val="20"/>
              </w:rPr>
              <w:t>429</w:t>
            </w:r>
          </w:p>
        </w:tc>
        <w:tc>
          <w:tcPr>
            <w:tcW w:w="879" w:type="pct"/>
          </w:tcPr>
          <w:p w14:paraId="4B883B68" w14:textId="575394CB" w:rsidR="00596594" w:rsidRPr="00BA37D9" w:rsidRDefault="00596594" w:rsidP="00BA37D9">
            <w:pPr>
              <w:pStyle w:val="TableBodyText"/>
              <w:jc w:val="right"/>
              <w:rPr>
                <w:szCs w:val="20"/>
              </w:rPr>
            </w:pPr>
            <w:r w:rsidRPr="00BA37D9">
              <w:rPr>
                <w:szCs w:val="20"/>
              </w:rPr>
              <w:t>759</w:t>
            </w:r>
          </w:p>
        </w:tc>
      </w:tr>
    </w:tbl>
    <w:p w14:paraId="487E5DD2" w14:textId="3C03F675" w:rsidR="00596594" w:rsidRDefault="00596594" w:rsidP="00617766">
      <w:pPr>
        <w:pStyle w:val="BodyText"/>
        <w:keepLines/>
      </w:pPr>
      <w:r>
        <w:t xml:space="preserve">All other transactions that have occurred with </w:t>
      </w:r>
      <w:r w:rsidR="004C682B">
        <w:t>Key Management Personnel</w:t>
      </w:r>
      <w:r>
        <w:t xml:space="preserve"> and their related parties have been trivial or civil in nature. In this context, transactions are only disclosed when they are considered of interest to users of the financial report in making and evaluating decisions about the allocation of scarce resources and to better understand the effects of related party transactions on the financial statements.</w:t>
      </w:r>
    </w:p>
    <w:p w14:paraId="78B9C268" w14:textId="285F06D5" w:rsidR="00596594" w:rsidRDefault="00596594" w:rsidP="00596594">
      <w:pPr>
        <w:pStyle w:val="Heading4"/>
      </w:pPr>
      <w:r>
        <w:t>Significant transactions with related parties</w:t>
      </w:r>
    </w:p>
    <w:p w14:paraId="1A246DB3" w14:textId="0CA64A70" w:rsidR="00596594" w:rsidRDefault="00596594" w:rsidP="00596594">
      <w:pPr>
        <w:pStyle w:val="BodyText"/>
      </w:pPr>
      <w:r>
        <w:t xml:space="preserve">Entities that have significant influence, the same controlling entity as the Corporation or where a </w:t>
      </w:r>
      <w:r w:rsidR="004C682B">
        <w:t>Key Management Personnel</w:t>
      </w:r>
      <w:r>
        <w:t>, or their close family member, has significant influence or control over those entities, are considered to be related parties of the Corporation. The following entities are considered to be related parties of the Corporation:</w:t>
      </w:r>
    </w:p>
    <w:p w14:paraId="15EF0454" w14:textId="77777777" w:rsidR="00596594" w:rsidRPr="00596594" w:rsidRDefault="00596594" w:rsidP="00CA1E27">
      <w:pPr>
        <w:pStyle w:val="Heading4"/>
      </w:pPr>
      <w:r w:rsidRPr="00596594">
        <w:t>Department of Environment, Land, Water and Planning (DELWP)</w:t>
      </w:r>
    </w:p>
    <w:p w14:paraId="291C3021" w14:textId="79D9E50E" w:rsidR="00596594" w:rsidRDefault="0030196D" w:rsidP="00596594">
      <w:pPr>
        <w:pStyle w:val="BodyText"/>
      </w:pPr>
      <w:r>
        <w:t>Department of Environment, Land, Water and Planning</w:t>
      </w:r>
      <w:r w:rsidR="00596594">
        <w:t xml:space="preserve"> leads and directs the Corporation in the implementation of the framework for achieving the Victorian Government's responsibilities for sustainability of the natural and built environment. </w:t>
      </w:r>
      <w:r>
        <w:t>Department of Environment, Land, Water and Planning</w:t>
      </w:r>
      <w:r w:rsidR="00596594">
        <w:t xml:space="preserve"> monitors the </w:t>
      </w:r>
      <w:r w:rsidR="00596594">
        <w:lastRenderedPageBreak/>
        <w:t xml:space="preserve">Corporation's compliance with the </w:t>
      </w:r>
      <w:r w:rsidR="00596594" w:rsidRPr="00596594">
        <w:rPr>
          <w:rStyle w:val="ItalicText"/>
        </w:rPr>
        <w:t>Water Act 1989</w:t>
      </w:r>
      <w:r w:rsidR="00596594">
        <w:t xml:space="preserve">, Water Interface Agreement and the Supplementary Agreement to the Water Interface Agreement for the Victorian Desalination Plant. The Corporation makes Victorian Desalination Plant payments directly to </w:t>
      </w:r>
      <w:r>
        <w:t>Department of Environment, Land, Water and Planning</w:t>
      </w:r>
      <w:r w:rsidR="00596594">
        <w:t>, which is managing the contract with AquaSure on behalf of the State.</w:t>
      </w:r>
    </w:p>
    <w:p w14:paraId="396F20A1" w14:textId="77777777" w:rsidR="00596594" w:rsidRPr="00596594" w:rsidRDefault="00596594" w:rsidP="00CA1E27">
      <w:pPr>
        <w:pStyle w:val="Heading4"/>
      </w:pPr>
      <w:r w:rsidRPr="00596594">
        <w:t>Department of Treasury and Finance (DTF)</w:t>
      </w:r>
    </w:p>
    <w:p w14:paraId="23AACFA6" w14:textId="1A0A92C3" w:rsidR="00596594" w:rsidRDefault="00965CBF" w:rsidP="00596594">
      <w:pPr>
        <w:pStyle w:val="BodyText"/>
      </w:pPr>
      <w:r>
        <w:t>Department of Treasury and Finance</w:t>
      </w:r>
      <w:r w:rsidR="00596594">
        <w:t xml:space="preserve"> monitors the Corporation's compliance with the </w:t>
      </w:r>
      <w:r w:rsidR="00596594" w:rsidRPr="00596594">
        <w:rPr>
          <w:rStyle w:val="ItalicText"/>
        </w:rPr>
        <w:t>Financial Management Act 1994</w:t>
      </w:r>
      <w:r w:rsidR="00596594">
        <w:t xml:space="preserve">. </w:t>
      </w:r>
      <w:r>
        <w:t>Department of Treasury and Finance</w:t>
      </w:r>
      <w:r w:rsidR="00596594">
        <w:t xml:space="preserve"> is responsible for protecting the shareholder's interest in respect of corporate business plans and capital project approvals above $100 million (2019-20: $50 million). </w:t>
      </w:r>
      <w:r>
        <w:t>Department of Treasury and Finance</w:t>
      </w:r>
      <w:r w:rsidR="00596594">
        <w:t xml:space="preserve"> also collects income taxes, the Financial Accommodation Levy, Local Government Rates Equivalent and dividend payments from the Corporation.</w:t>
      </w:r>
    </w:p>
    <w:p w14:paraId="5120B7B1" w14:textId="77777777" w:rsidR="00596594" w:rsidRPr="00596594" w:rsidRDefault="00596594" w:rsidP="00CA1E27">
      <w:pPr>
        <w:pStyle w:val="Heading4"/>
      </w:pPr>
      <w:r w:rsidRPr="00596594">
        <w:t>City West Water, South East Water, Yarra Valley Water, Western Water and Barwon Water</w:t>
      </w:r>
    </w:p>
    <w:p w14:paraId="019FAE1C" w14:textId="6D136931" w:rsidR="00596594" w:rsidRDefault="00596594" w:rsidP="00596594">
      <w:pPr>
        <w:pStyle w:val="BodyText"/>
      </w:pPr>
      <w:r>
        <w:t>City West Water, South East Water, Yarra Valley Water, Western Water and Barwon Water are Government-owned water corporations with agreements with the Corporation that include bulk water and sewerage, bulk recycled water supply, billings collections and biosolids storage arrangements. These agreements operated on normal terms and conditions during the reporting period.</w:t>
      </w:r>
    </w:p>
    <w:p w14:paraId="65E714C1" w14:textId="77777777" w:rsidR="00596594" w:rsidRPr="00596594" w:rsidRDefault="00596594" w:rsidP="00CA1E27">
      <w:pPr>
        <w:pStyle w:val="Heading4"/>
      </w:pPr>
      <w:r w:rsidRPr="00596594">
        <w:t>Treasury Corporation of Victoria (TCV)</w:t>
      </w:r>
    </w:p>
    <w:p w14:paraId="45676F8D" w14:textId="588F3861" w:rsidR="00596594" w:rsidRDefault="00DC0A06" w:rsidP="00596594">
      <w:pPr>
        <w:pStyle w:val="BodyText"/>
      </w:pPr>
      <w:r>
        <w:t>Treasury Corporation of Victoria</w:t>
      </w:r>
      <w:r w:rsidR="00596594">
        <w:t xml:space="preserve"> provides financial accommodation (loans to the Corporation), executes financial arrangements (derivatives) and provides/arranges the provision of financial services to the Corporation. Any investments above $2 million are also required to be invested with </w:t>
      </w:r>
      <w:r>
        <w:t>Treasury Corporation of Victoria</w:t>
      </w:r>
      <w:r w:rsidR="00596594">
        <w:t>.</w:t>
      </w:r>
    </w:p>
    <w:p w14:paraId="2C2F4E4A" w14:textId="77777777" w:rsidR="00596594" w:rsidRPr="00596594" w:rsidRDefault="00596594" w:rsidP="00CA1E27">
      <w:pPr>
        <w:pStyle w:val="Heading4"/>
      </w:pPr>
      <w:r w:rsidRPr="00596594">
        <w:t>Development Victoria</w:t>
      </w:r>
    </w:p>
    <w:p w14:paraId="492B3285" w14:textId="6C9F18BA" w:rsidR="00596594" w:rsidRDefault="00596594" w:rsidP="00596594">
      <w:pPr>
        <w:pStyle w:val="BodyText"/>
      </w:pPr>
      <w:r>
        <w:t>Development Victoria creates and delivers economic and social value to Victoria. Development Victoria will deliver property and precinct development projects to meet Government’s policy objectives and application of its experience and expertise to the delivery of civic projects.</w:t>
      </w:r>
    </w:p>
    <w:p w14:paraId="4E379208" w14:textId="193DFFDF" w:rsidR="002A7587" w:rsidRPr="00596594" w:rsidRDefault="00596594" w:rsidP="00CA1E27">
      <w:pPr>
        <w:pStyle w:val="Heading4"/>
      </w:pPr>
      <w:r w:rsidRPr="00596594">
        <w:t>Other related parties</w:t>
      </w:r>
    </w:p>
    <w:p w14:paraId="4B87E5C0" w14:textId="1C8BE7B9" w:rsidR="00596594" w:rsidRDefault="00596594" w:rsidP="00596594">
      <w:pPr>
        <w:pStyle w:val="ListBullet"/>
      </w:pPr>
      <w:r>
        <w:t>Environment Protection Agency Victoria</w:t>
      </w:r>
    </w:p>
    <w:p w14:paraId="3785E233" w14:textId="09C81222" w:rsidR="00596594" w:rsidRDefault="00596594" w:rsidP="00596594">
      <w:pPr>
        <w:pStyle w:val="ListBullet"/>
      </w:pPr>
      <w:r>
        <w:t>Level Crossing Removal Authority</w:t>
      </w:r>
    </w:p>
    <w:p w14:paraId="26438423" w14:textId="6467EBBB" w:rsidR="00596594" w:rsidRDefault="00596594" w:rsidP="00596594">
      <w:pPr>
        <w:pStyle w:val="ListBullet"/>
      </w:pPr>
      <w:r>
        <w:t>Goulburn Murray Water</w:t>
      </w:r>
    </w:p>
    <w:p w14:paraId="073102BE" w14:textId="5B6C4695" w:rsidR="00596594" w:rsidRDefault="00596594" w:rsidP="00596594">
      <w:pPr>
        <w:pStyle w:val="ListBullet"/>
      </w:pPr>
      <w:r>
        <w:t>Westernport Region Water Corporation</w:t>
      </w:r>
    </w:p>
    <w:p w14:paraId="7E42E632" w14:textId="242CAA2D" w:rsidR="00596594" w:rsidRDefault="00596594" w:rsidP="00596594">
      <w:pPr>
        <w:pStyle w:val="ListBullet"/>
      </w:pPr>
      <w:r>
        <w:t>South Gippsland Region Water Corporation</w:t>
      </w:r>
    </w:p>
    <w:p w14:paraId="67860EB0" w14:textId="0FDCFA8B" w:rsidR="00596594" w:rsidRDefault="00596594" w:rsidP="00596594">
      <w:pPr>
        <w:pStyle w:val="ListBullet"/>
      </w:pPr>
      <w:r>
        <w:t>Department of Health and Human Services</w:t>
      </w:r>
    </w:p>
    <w:p w14:paraId="1CEE5FF7" w14:textId="125C5606" w:rsidR="00596594" w:rsidRDefault="00596594" w:rsidP="00596594">
      <w:pPr>
        <w:pStyle w:val="ListBullet"/>
      </w:pPr>
      <w:r>
        <w:t>Parks Victoria</w:t>
      </w:r>
    </w:p>
    <w:p w14:paraId="7FE43B07" w14:textId="3698B95F" w:rsidR="00596594" w:rsidRDefault="00596594" w:rsidP="00596594">
      <w:pPr>
        <w:pStyle w:val="ListBullet"/>
      </w:pPr>
      <w:r>
        <w:t>Department of Transport</w:t>
      </w:r>
    </w:p>
    <w:p w14:paraId="66CA48C7" w14:textId="33F7491B" w:rsidR="002A7587" w:rsidRDefault="00596594" w:rsidP="00596594">
      <w:pPr>
        <w:pStyle w:val="ListBullet"/>
      </w:pPr>
      <w:r>
        <w:t>State Revenue Office</w:t>
      </w:r>
    </w:p>
    <w:p w14:paraId="32375057" w14:textId="48641EAB" w:rsidR="00596594" w:rsidRDefault="00596594" w:rsidP="00596594">
      <w:pPr>
        <w:pStyle w:val="ListBullet"/>
      </w:pPr>
      <w:r>
        <w:t>Southern Rural Water Corporation</w:t>
      </w:r>
    </w:p>
    <w:p w14:paraId="0F11ECB4" w14:textId="503F5969" w:rsidR="00596594" w:rsidRDefault="00596594" w:rsidP="00596594">
      <w:pPr>
        <w:pStyle w:val="ListBullet"/>
      </w:pPr>
      <w:r>
        <w:t>Victoria State Emergency Service</w:t>
      </w:r>
    </w:p>
    <w:p w14:paraId="3DB279BA" w14:textId="60C86FD8" w:rsidR="00596594" w:rsidRDefault="00596594" w:rsidP="00596594">
      <w:pPr>
        <w:pStyle w:val="ListBullet"/>
      </w:pPr>
      <w:r>
        <w:t>Victorian Water Industry Association</w:t>
      </w:r>
    </w:p>
    <w:p w14:paraId="02F4A13A" w14:textId="7E218E14" w:rsidR="00596594" w:rsidRDefault="00596594" w:rsidP="00596594">
      <w:pPr>
        <w:pStyle w:val="ListBullet"/>
      </w:pPr>
      <w:r>
        <w:t>Victorian Workcover Authority</w:t>
      </w:r>
    </w:p>
    <w:p w14:paraId="7DD9DA93" w14:textId="0C8475F9" w:rsidR="00596594" w:rsidRDefault="00596594" w:rsidP="00596594">
      <w:pPr>
        <w:pStyle w:val="ListBullet"/>
      </w:pPr>
      <w:r>
        <w:t>Department of Jobs, Precincts and Regions</w:t>
      </w:r>
    </w:p>
    <w:p w14:paraId="29A33590" w14:textId="51FDB8B2" w:rsidR="00596594" w:rsidRDefault="00596594" w:rsidP="00596594">
      <w:pPr>
        <w:pStyle w:val="ListBullet"/>
      </w:pPr>
      <w:r>
        <w:t>Monash University</w:t>
      </w:r>
    </w:p>
    <w:p w14:paraId="754A9EF7" w14:textId="4E5C38D2" w:rsidR="00596594" w:rsidRDefault="00596594" w:rsidP="00596594">
      <w:pPr>
        <w:pStyle w:val="ListBullet"/>
      </w:pPr>
      <w:r>
        <w:t>Holmesglen Institute</w:t>
      </w:r>
    </w:p>
    <w:p w14:paraId="30BC5226" w14:textId="733418DB" w:rsidR="00596594" w:rsidRDefault="00596594" w:rsidP="00596594">
      <w:pPr>
        <w:pStyle w:val="ListBullet"/>
      </w:pPr>
      <w:r>
        <w:t>Department of Education and Training.</w:t>
      </w:r>
    </w:p>
    <w:p w14:paraId="142EA15A" w14:textId="22E9115D" w:rsidR="002A7587" w:rsidRDefault="00596594" w:rsidP="00596594">
      <w:pPr>
        <w:pStyle w:val="BodyText"/>
      </w:pPr>
      <w:r>
        <w:lastRenderedPageBreak/>
        <w:t>Other related parties with arm's-length transactions greater than $0.1 million have been disclosed above. In the below summaries, all other related parties transactions and payable balances below $0.1 million have also been included.</w:t>
      </w:r>
    </w:p>
    <w:p w14:paraId="624BD654" w14:textId="5216C526" w:rsidR="00596594" w:rsidRDefault="00596594" w:rsidP="00596594">
      <w:pPr>
        <w:pStyle w:val="Heading5"/>
      </w:pPr>
      <w:r w:rsidRPr="00596594">
        <w:t>Material transactions with related parties</w:t>
      </w:r>
    </w:p>
    <w:tbl>
      <w:tblPr>
        <w:tblStyle w:val="Style1"/>
        <w:tblW w:w="5000" w:type="pct"/>
        <w:tblLook w:val="04A0" w:firstRow="1" w:lastRow="0" w:firstColumn="1" w:lastColumn="0" w:noHBand="0" w:noVBand="1"/>
      </w:tblPr>
      <w:tblGrid>
        <w:gridCol w:w="6520"/>
        <w:gridCol w:w="1560"/>
        <w:gridCol w:w="1551"/>
      </w:tblGrid>
      <w:tr w:rsidR="005C05CB" w:rsidRPr="007A594E" w14:paraId="75E91885"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1E94C210" w14:textId="699C02EB" w:rsidR="005C05CB" w:rsidRPr="007A594E" w:rsidRDefault="005C05CB" w:rsidP="007A594E">
            <w:bookmarkStart w:id="1212" w:name="ColumnTitle_105"/>
            <w:r w:rsidRPr="007A594E">
              <w:t>Item</w:t>
            </w:r>
          </w:p>
        </w:tc>
        <w:tc>
          <w:tcPr>
            <w:tcW w:w="810" w:type="pct"/>
            <w:tcBorders>
              <w:top w:val="single" w:sz="4" w:space="0" w:color="auto"/>
            </w:tcBorders>
            <w:vAlign w:val="bottom"/>
          </w:tcPr>
          <w:p w14:paraId="4BE5AD5D" w14:textId="77777777" w:rsidR="005C05CB" w:rsidRPr="007A594E" w:rsidRDefault="005C05CB" w:rsidP="007A594E">
            <w:pPr>
              <w:cnfStyle w:val="100000000000" w:firstRow="1" w:lastRow="0" w:firstColumn="0" w:lastColumn="0" w:oddVBand="0" w:evenVBand="0" w:oddHBand="0" w:evenHBand="0" w:firstRowFirstColumn="0" w:firstRowLastColumn="0" w:lastRowFirstColumn="0" w:lastRowLastColumn="0"/>
            </w:pPr>
            <w:r w:rsidRPr="007A594E">
              <w:t>2021</w:t>
            </w:r>
          </w:p>
          <w:p w14:paraId="4538A28D" w14:textId="77777777" w:rsidR="005C05CB" w:rsidRPr="007A594E" w:rsidRDefault="005C05CB" w:rsidP="007A594E">
            <w:pPr>
              <w:cnfStyle w:val="100000000000" w:firstRow="1" w:lastRow="0" w:firstColumn="0" w:lastColumn="0" w:oddVBand="0" w:evenVBand="0" w:oddHBand="0" w:evenHBand="0" w:firstRowFirstColumn="0" w:firstRowLastColumn="0" w:lastRowFirstColumn="0" w:lastRowLastColumn="0"/>
            </w:pPr>
            <w:r w:rsidRPr="007A594E">
              <w:t>($ thousands)</w:t>
            </w:r>
          </w:p>
        </w:tc>
        <w:tc>
          <w:tcPr>
            <w:tcW w:w="805" w:type="pct"/>
            <w:tcBorders>
              <w:top w:val="single" w:sz="4" w:space="0" w:color="auto"/>
            </w:tcBorders>
            <w:vAlign w:val="bottom"/>
          </w:tcPr>
          <w:p w14:paraId="28C0C5EE" w14:textId="77777777" w:rsidR="005C05CB" w:rsidRPr="007A594E" w:rsidRDefault="005C05CB" w:rsidP="007A594E">
            <w:pPr>
              <w:cnfStyle w:val="100000000000" w:firstRow="1" w:lastRow="0" w:firstColumn="0" w:lastColumn="0" w:oddVBand="0" w:evenVBand="0" w:oddHBand="0" w:evenHBand="0" w:firstRowFirstColumn="0" w:firstRowLastColumn="0" w:lastRowFirstColumn="0" w:lastRowLastColumn="0"/>
            </w:pPr>
            <w:r w:rsidRPr="007A594E">
              <w:t>2020</w:t>
            </w:r>
          </w:p>
          <w:p w14:paraId="0675F29D" w14:textId="77777777" w:rsidR="005C05CB" w:rsidRPr="007A594E" w:rsidRDefault="005C05CB" w:rsidP="007A594E">
            <w:pPr>
              <w:cnfStyle w:val="100000000000" w:firstRow="1" w:lastRow="0" w:firstColumn="0" w:lastColumn="0" w:oddVBand="0" w:evenVBand="0" w:oddHBand="0" w:evenHBand="0" w:firstRowFirstColumn="0" w:firstRowLastColumn="0" w:lastRowFirstColumn="0" w:lastRowLastColumn="0"/>
            </w:pPr>
            <w:r w:rsidRPr="007A594E">
              <w:t>($ thousands)</w:t>
            </w:r>
          </w:p>
        </w:tc>
      </w:tr>
      <w:bookmarkEnd w:id="1212"/>
      <w:tr w:rsidR="005C05CB" w:rsidRPr="00835BFD" w14:paraId="03420B65"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A5E9BF5" w14:textId="192D798E" w:rsidR="005C05CB" w:rsidRPr="005C05CB" w:rsidRDefault="005C05CB" w:rsidP="007A594E">
            <w:pPr>
              <w:pStyle w:val="TableBodyText"/>
              <w:rPr>
                <w:rStyle w:val="Bold"/>
              </w:rPr>
            </w:pPr>
            <w:r w:rsidRPr="005C05CB">
              <w:rPr>
                <w:rStyle w:val="Bold"/>
              </w:rPr>
              <w:t>Receipts from related parties (inclusive of GST)</w:t>
            </w:r>
          </w:p>
        </w:tc>
        <w:tc>
          <w:tcPr>
            <w:tcW w:w="810" w:type="pct"/>
            <w:vAlign w:val="top"/>
          </w:tcPr>
          <w:p w14:paraId="6A91C05F" w14:textId="60710982"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748DE974" w14:textId="1ADBBEAA"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1DDCEBF8"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7BBC5BC" w14:textId="0FE347EA" w:rsidR="005C05CB" w:rsidRDefault="0030196D" w:rsidP="007A594E">
            <w:pPr>
              <w:pStyle w:val="TableBodyText"/>
            </w:pPr>
            <w:r>
              <w:t>Department of Environment, Land, Water and Planning</w:t>
            </w:r>
          </w:p>
        </w:tc>
        <w:tc>
          <w:tcPr>
            <w:tcW w:w="810" w:type="pct"/>
            <w:vAlign w:val="top"/>
          </w:tcPr>
          <w:p w14:paraId="199D7EF0" w14:textId="243FB126"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9,011</w:t>
            </w:r>
          </w:p>
        </w:tc>
        <w:tc>
          <w:tcPr>
            <w:tcW w:w="805" w:type="pct"/>
            <w:vAlign w:val="top"/>
          </w:tcPr>
          <w:p w14:paraId="4A1B8C29" w14:textId="6767BD2B"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12,060</w:t>
            </w:r>
          </w:p>
        </w:tc>
      </w:tr>
      <w:tr w:rsidR="005C05CB" w:rsidRPr="00835BFD" w14:paraId="27A6050E"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F555239" w14:textId="0C92DD2B" w:rsidR="005C05CB" w:rsidRDefault="005C05CB" w:rsidP="007A594E">
            <w:pPr>
              <w:pStyle w:val="TableBodyText"/>
            </w:pPr>
            <w:r>
              <w:t>City West Water</w:t>
            </w:r>
          </w:p>
        </w:tc>
        <w:tc>
          <w:tcPr>
            <w:tcW w:w="810" w:type="pct"/>
            <w:vAlign w:val="top"/>
          </w:tcPr>
          <w:p w14:paraId="47403956" w14:textId="02B14EB1"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416,064</w:t>
            </w:r>
          </w:p>
        </w:tc>
        <w:tc>
          <w:tcPr>
            <w:tcW w:w="805" w:type="pct"/>
            <w:vAlign w:val="top"/>
          </w:tcPr>
          <w:p w14:paraId="05E46FEA" w14:textId="707DC90C"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425,386</w:t>
            </w:r>
          </w:p>
        </w:tc>
      </w:tr>
      <w:tr w:rsidR="005C05CB" w:rsidRPr="00835BFD" w14:paraId="5D6D83A8"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4CB8EFC" w14:textId="45ED6282" w:rsidR="005C05CB" w:rsidRDefault="005C05CB" w:rsidP="007A594E">
            <w:pPr>
              <w:pStyle w:val="TableBodyText"/>
            </w:pPr>
            <w:r>
              <w:t>South East Water</w:t>
            </w:r>
          </w:p>
        </w:tc>
        <w:tc>
          <w:tcPr>
            <w:tcW w:w="810" w:type="pct"/>
            <w:vAlign w:val="top"/>
          </w:tcPr>
          <w:p w14:paraId="30391E1C" w14:textId="704433FE"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616,741</w:t>
            </w:r>
          </w:p>
        </w:tc>
        <w:tc>
          <w:tcPr>
            <w:tcW w:w="805" w:type="pct"/>
            <w:vAlign w:val="top"/>
          </w:tcPr>
          <w:p w14:paraId="1A44D35E" w14:textId="7BB399FB"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624,717</w:t>
            </w:r>
          </w:p>
        </w:tc>
      </w:tr>
      <w:tr w:rsidR="005C05CB" w:rsidRPr="00835BFD" w14:paraId="0F1D854F"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623970F" w14:textId="665B1A7D" w:rsidR="005C05CB" w:rsidRDefault="005C05CB" w:rsidP="007A594E">
            <w:pPr>
              <w:pStyle w:val="TableBodyText"/>
            </w:pPr>
            <w:r>
              <w:t>Yarra Valley Water</w:t>
            </w:r>
          </w:p>
        </w:tc>
        <w:tc>
          <w:tcPr>
            <w:tcW w:w="810" w:type="pct"/>
            <w:vAlign w:val="top"/>
          </w:tcPr>
          <w:p w14:paraId="1E66BBDF" w14:textId="7A061E15"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620,705</w:t>
            </w:r>
          </w:p>
        </w:tc>
        <w:tc>
          <w:tcPr>
            <w:tcW w:w="805" w:type="pct"/>
            <w:vAlign w:val="top"/>
          </w:tcPr>
          <w:p w14:paraId="66420DEF" w14:textId="599B9B31"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628,837</w:t>
            </w:r>
          </w:p>
        </w:tc>
      </w:tr>
      <w:tr w:rsidR="005C05CB" w:rsidRPr="00835BFD" w14:paraId="0A86478A"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9B6D254" w14:textId="49D05E20" w:rsidR="005C05CB" w:rsidRDefault="005C05CB" w:rsidP="007A594E">
            <w:pPr>
              <w:pStyle w:val="TableBodyText"/>
            </w:pPr>
            <w:r>
              <w:t>Western Water</w:t>
            </w:r>
          </w:p>
        </w:tc>
        <w:tc>
          <w:tcPr>
            <w:tcW w:w="810" w:type="pct"/>
            <w:vAlign w:val="top"/>
          </w:tcPr>
          <w:p w14:paraId="35AFB09D" w14:textId="679F9F76"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10,454</w:t>
            </w:r>
          </w:p>
        </w:tc>
        <w:tc>
          <w:tcPr>
            <w:tcW w:w="805" w:type="pct"/>
            <w:vAlign w:val="top"/>
          </w:tcPr>
          <w:p w14:paraId="3017578B" w14:textId="2EBD591C"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10,031</w:t>
            </w:r>
          </w:p>
        </w:tc>
      </w:tr>
      <w:tr w:rsidR="005C05CB" w:rsidRPr="00835BFD" w14:paraId="167F7C62"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C786D47" w14:textId="361DC0D5" w:rsidR="005C05CB" w:rsidRDefault="005C05CB" w:rsidP="007A594E">
            <w:pPr>
              <w:pStyle w:val="TableBodyText"/>
            </w:pPr>
            <w:r>
              <w:t>Barwon Water</w:t>
            </w:r>
          </w:p>
        </w:tc>
        <w:tc>
          <w:tcPr>
            <w:tcW w:w="810" w:type="pct"/>
            <w:vAlign w:val="top"/>
          </w:tcPr>
          <w:p w14:paraId="530510F0" w14:textId="4F323B6C"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8,167</w:t>
            </w:r>
          </w:p>
        </w:tc>
        <w:tc>
          <w:tcPr>
            <w:tcW w:w="805" w:type="pct"/>
            <w:vAlign w:val="top"/>
          </w:tcPr>
          <w:p w14:paraId="0467A05B" w14:textId="31258A30"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2,111</w:t>
            </w:r>
          </w:p>
        </w:tc>
      </w:tr>
      <w:tr w:rsidR="005C05CB" w:rsidRPr="00835BFD" w14:paraId="5309E31D"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034F5EE" w14:textId="155F7353" w:rsidR="005C05CB" w:rsidRDefault="00DC0A06" w:rsidP="007A594E">
            <w:pPr>
              <w:pStyle w:val="TableBodyText"/>
            </w:pPr>
            <w:r>
              <w:t>Treasury Corporation of Victoria</w:t>
            </w:r>
          </w:p>
        </w:tc>
        <w:tc>
          <w:tcPr>
            <w:tcW w:w="810" w:type="pct"/>
            <w:vAlign w:val="top"/>
          </w:tcPr>
          <w:p w14:paraId="7ACB8572" w14:textId="1D747ED5"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6CCB6C62" w14:textId="6896A970"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11796373"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A53D304" w14:textId="3CB410A5" w:rsidR="005C05CB" w:rsidRDefault="005C05CB" w:rsidP="007A594E">
            <w:pPr>
              <w:pStyle w:val="TableBodyText"/>
            </w:pPr>
            <w:r>
              <w:t>Development Victoria</w:t>
            </w:r>
          </w:p>
        </w:tc>
        <w:tc>
          <w:tcPr>
            <w:tcW w:w="810" w:type="pct"/>
            <w:vAlign w:val="top"/>
          </w:tcPr>
          <w:p w14:paraId="6CD31C9D" w14:textId="45E9C15F"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10,685</w:t>
            </w:r>
          </w:p>
        </w:tc>
        <w:tc>
          <w:tcPr>
            <w:tcW w:w="805" w:type="pct"/>
            <w:vAlign w:val="top"/>
          </w:tcPr>
          <w:p w14:paraId="79FD9CE8" w14:textId="3EA6447D"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13,077</w:t>
            </w:r>
          </w:p>
        </w:tc>
      </w:tr>
      <w:tr w:rsidR="005C05CB" w:rsidRPr="00835BFD" w14:paraId="73AABB79"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BBCC5E3" w14:textId="706DB3C0" w:rsidR="005C05CB" w:rsidRDefault="005C05CB" w:rsidP="007A594E">
            <w:pPr>
              <w:pStyle w:val="TableBodyText"/>
            </w:pPr>
            <w:r>
              <w:t>Other related parties</w:t>
            </w:r>
          </w:p>
        </w:tc>
        <w:tc>
          <w:tcPr>
            <w:tcW w:w="810" w:type="pct"/>
            <w:vAlign w:val="top"/>
          </w:tcPr>
          <w:p w14:paraId="2400706E" w14:textId="4CDAC45F"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8,303</w:t>
            </w:r>
          </w:p>
        </w:tc>
        <w:tc>
          <w:tcPr>
            <w:tcW w:w="805" w:type="pct"/>
            <w:vAlign w:val="top"/>
          </w:tcPr>
          <w:p w14:paraId="3FE5F311" w14:textId="1DF67CBB"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6,086</w:t>
            </w:r>
          </w:p>
        </w:tc>
      </w:tr>
      <w:tr w:rsidR="005C05CB" w:rsidRPr="00835BFD" w14:paraId="38BC2B05"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9B3B4EE" w14:textId="607A1CAD" w:rsidR="005C05CB" w:rsidRPr="005C05CB" w:rsidRDefault="005C05CB" w:rsidP="007A594E">
            <w:pPr>
              <w:pStyle w:val="TableBodyText"/>
              <w:rPr>
                <w:rStyle w:val="Bold"/>
              </w:rPr>
            </w:pPr>
            <w:r w:rsidRPr="005C05CB">
              <w:rPr>
                <w:rStyle w:val="Bold"/>
              </w:rPr>
              <w:t>Receipt of contributed assets</w:t>
            </w:r>
          </w:p>
        </w:tc>
        <w:tc>
          <w:tcPr>
            <w:tcW w:w="810" w:type="pct"/>
            <w:vAlign w:val="top"/>
          </w:tcPr>
          <w:p w14:paraId="4E30C84E" w14:textId="6F094EDF"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40813ADE" w14:textId="0C751C13"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41516A29"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71CA189" w14:textId="52946104" w:rsidR="005C05CB" w:rsidRPr="00A30536" w:rsidRDefault="0030196D" w:rsidP="007A594E">
            <w:pPr>
              <w:pStyle w:val="TableBodyText"/>
            </w:pPr>
            <w:r>
              <w:t>Department of Environment, Land, Water and Planning</w:t>
            </w:r>
          </w:p>
        </w:tc>
        <w:tc>
          <w:tcPr>
            <w:tcW w:w="810" w:type="pct"/>
            <w:vAlign w:val="top"/>
          </w:tcPr>
          <w:p w14:paraId="106DC822" w14:textId="5A44DCEA"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5EA37F24" w14:textId="523DB459"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237EFB14"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787CA73" w14:textId="2305EF4D" w:rsidR="005C05CB" w:rsidRPr="005C05CB" w:rsidRDefault="005C05CB" w:rsidP="007A594E">
            <w:pPr>
              <w:pStyle w:val="TableBodyText"/>
              <w:rPr>
                <w:rStyle w:val="Bold"/>
              </w:rPr>
            </w:pPr>
            <w:r w:rsidRPr="005C05CB">
              <w:rPr>
                <w:rStyle w:val="Bold"/>
              </w:rPr>
              <w:t>Payments to related parties (inclusive of GST)</w:t>
            </w:r>
          </w:p>
        </w:tc>
        <w:tc>
          <w:tcPr>
            <w:tcW w:w="810" w:type="pct"/>
            <w:vAlign w:val="top"/>
          </w:tcPr>
          <w:p w14:paraId="6F6E6661" w14:textId="7AE246CD"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795A97D0" w14:textId="6FA9B9C9"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2A8A41E0"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654B99DD" w14:textId="31DEBFC0" w:rsidR="005C05CB" w:rsidRDefault="0030196D" w:rsidP="007A594E">
            <w:pPr>
              <w:pStyle w:val="TableBodyText"/>
            </w:pPr>
            <w:r>
              <w:t>Department of Environment, Land, Water and Planning</w:t>
            </w:r>
          </w:p>
        </w:tc>
        <w:tc>
          <w:tcPr>
            <w:tcW w:w="810" w:type="pct"/>
            <w:vAlign w:val="top"/>
          </w:tcPr>
          <w:p w14:paraId="205AAD6C" w14:textId="594A2F3F"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711,630</w:t>
            </w:r>
          </w:p>
        </w:tc>
        <w:tc>
          <w:tcPr>
            <w:tcW w:w="805" w:type="pct"/>
            <w:vAlign w:val="top"/>
          </w:tcPr>
          <w:p w14:paraId="51BBBE8E" w14:textId="2763FFE9"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754,667</w:t>
            </w:r>
          </w:p>
        </w:tc>
      </w:tr>
      <w:tr w:rsidR="005C05CB" w:rsidRPr="00835BFD" w14:paraId="2CB0CE8E"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F67760D" w14:textId="64B3C215" w:rsidR="005C05CB" w:rsidRDefault="00965CBF" w:rsidP="007A594E">
            <w:pPr>
              <w:pStyle w:val="TableBodyText"/>
            </w:pPr>
            <w:r>
              <w:t>Department of Treasury and Finance</w:t>
            </w:r>
          </w:p>
        </w:tc>
        <w:tc>
          <w:tcPr>
            <w:tcW w:w="810" w:type="pct"/>
            <w:vAlign w:val="top"/>
          </w:tcPr>
          <w:p w14:paraId="3F28CADB" w14:textId="4E76A9C8"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172,639</w:t>
            </w:r>
          </w:p>
        </w:tc>
        <w:tc>
          <w:tcPr>
            <w:tcW w:w="805" w:type="pct"/>
            <w:vAlign w:val="top"/>
          </w:tcPr>
          <w:p w14:paraId="1AFB1066" w14:textId="50DDD338"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196,823</w:t>
            </w:r>
          </w:p>
        </w:tc>
      </w:tr>
      <w:tr w:rsidR="005C05CB" w:rsidRPr="00835BFD" w14:paraId="0FA880EB"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252B0D1" w14:textId="4BEEF563" w:rsidR="005C05CB" w:rsidRDefault="005C05CB" w:rsidP="007A594E">
            <w:pPr>
              <w:pStyle w:val="TableBodyText"/>
            </w:pPr>
            <w:r>
              <w:t>City West Water</w:t>
            </w:r>
          </w:p>
        </w:tc>
        <w:tc>
          <w:tcPr>
            <w:tcW w:w="810" w:type="pct"/>
            <w:vAlign w:val="top"/>
          </w:tcPr>
          <w:p w14:paraId="49562B6D" w14:textId="11C6FF47"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5,536</w:t>
            </w:r>
          </w:p>
        </w:tc>
        <w:tc>
          <w:tcPr>
            <w:tcW w:w="805" w:type="pct"/>
            <w:vAlign w:val="top"/>
          </w:tcPr>
          <w:p w14:paraId="09CCC4D9" w14:textId="74DC64C4"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5,680</w:t>
            </w:r>
          </w:p>
        </w:tc>
      </w:tr>
      <w:tr w:rsidR="005C05CB" w:rsidRPr="00835BFD" w14:paraId="58095A31"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0C67380" w14:textId="5D0E1E49" w:rsidR="005C05CB" w:rsidRDefault="005C05CB" w:rsidP="007A594E">
            <w:pPr>
              <w:pStyle w:val="TableBodyText"/>
            </w:pPr>
            <w:r>
              <w:t>South East Water</w:t>
            </w:r>
          </w:p>
        </w:tc>
        <w:tc>
          <w:tcPr>
            <w:tcW w:w="810" w:type="pct"/>
            <w:vAlign w:val="top"/>
          </w:tcPr>
          <w:p w14:paraId="6849C66C" w14:textId="1AB428CE"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5,941</w:t>
            </w:r>
          </w:p>
        </w:tc>
        <w:tc>
          <w:tcPr>
            <w:tcW w:w="805" w:type="pct"/>
            <w:vAlign w:val="top"/>
          </w:tcPr>
          <w:p w14:paraId="714DFDAA" w14:textId="7C911FA3"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6,526</w:t>
            </w:r>
          </w:p>
        </w:tc>
      </w:tr>
      <w:tr w:rsidR="005C05CB" w:rsidRPr="00835BFD" w14:paraId="17A2D494"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1672E27" w14:textId="73180968" w:rsidR="005C05CB" w:rsidRDefault="005C05CB" w:rsidP="007A594E">
            <w:pPr>
              <w:pStyle w:val="TableBodyText"/>
            </w:pPr>
            <w:r>
              <w:t>Yarra Valley Water</w:t>
            </w:r>
          </w:p>
        </w:tc>
        <w:tc>
          <w:tcPr>
            <w:tcW w:w="810" w:type="pct"/>
            <w:vAlign w:val="top"/>
          </w:tcPr>
          <w:p w14:paraId="2E62561A" w14:textId="03066563"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7,189</w:t>
            </w:r>
          </w:p>
        </w:tc>
        <w:tc>
          <w:tcPr>
            <w:tcW w:w="805" w:type="pct"/>
            <w:vAlign w:val="top"/>
          </w:tcPr>
          <w:p w14:paraId="0D8DE550" w14:textId="4AD77C28"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6,698</w:t>
            </w:r>
          </w:p>
        </w:tc>
      </w:tr>
      <w:tr w:rsidR="005C05CB" w:rsidRPr="00835BFD" w14:paraId="33C61B7A"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6EF1063" w14:textId="66DA4DE5" w:rsidR="005C05CB" w:rsidRDefault="005C05CB" w:rsidP="007A594E">
            <w:pPr>
              <w:pStyle w:val="TableBodyText"/>
            </w:pPr>
            <w:r>
              <w:t>Western Water</w:t>
            </w:r>
          </w:p>
        </w:tc>
        <w:tc>
          <w:tcPr>
            <w:tcW w:w="810" w:type="pct"/>
            <w:vAlign w:val="top"/>
          </w:tcPr>
          <w:p w14:paraId="3C54801B" w14:textId="05AEF4A3"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254</w:t>
            </w:r>
          </w:p>
        </w:tc>
        <w:tc>
          <w:tcPr>
            <w:tcW w:w="805" w:type="pct"/>
            <w:vAlign w:val="top"/>
          </w:tcPr>
          <w:p w14:paraId="10C369FF" w14:textId="203C0724"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165</w:t>
            </w:r>
          </w:p>
        </w:tc>
      </w:tr>
      <w:tr w:rsidR="005C05CB" w:rsidRPr="00835BFD" w14:paraId="3ABFC478"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68A3697" w14:textId="55789473" w:rsidR="005C05CB" w:rsidRDefault="005C05CB" w:rsidP="007A594E">
            <w:pPr>
              <w:pStyle w:val="TableBodyText"/>
            </w:pPr>
            <w:r>
              <w:t>Barwon Water</w:t>
            </w:r>
          </w:p>
        </w:tc>
        <w:tc>
          <w:tcPr>
            <w:tcW w:w="810" w:type="pct"/>
            <w:vAlign w:val="top"/>
          </w:tcPr>
          <w:p w14:paraId="0F5D2942" w14:textId="7206BE75"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114</w:t>
            </w:r>
          </w:p>
        </w:tc>
        <w:tc>
          <w:tcPr>
            <w:tcW w:w="805" w:type="pct"/>
            <w:vAlign w:val="top"/>
          </w:tcPr>
          <w:p w14:paraId="040479C2" w14:textId="42147B16"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29</w:t>
            </w:r>
          </w:p>
        </w:tc>
      </w:tr>
      <w:tr w:rsidR="005C05CB" w:rsidRPr="00835BFD" w14:paraId="778515C5"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50DECF5" w14:textId="3AE698F2" w:rsidR="005C05CB" w:rsidRDefault="00DC0A06" w:rsidP="007A594E">
            <w:pPr>
              <w:pStyle w:val="TableBodyText"/>
            </w:pPr>
            <w:r>
              <w:t>Treasury Corporation of Victoria</w:t>
            </w:r>
          </w:p>
        </w:tc>
        <w:tc>
          <w:tcPr>
            <w:tcW w:w="810" w:type="pct"/>
            <w:vAlign w:val="top"/>
          </w:tcPr>
          <w:p w14:paraId="424859A8" w14:textId="10D0B895"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137,616</w:t>
            </w:r>
          </w:p>
        </w:tc>
        <w:tc>
          <w:tcPr>
            <w:tcW w:w="805" w:type="pct"/>
            <w:vAlign w:val="top"/>
          </w:tcPr>
          <w:p w14:paraId="6CA45606" w14:textId="7AE206D0"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155,401</w:t>
            </w:r>
          </w:p>
        </w:tc>
      </w:tr>
      <w:tr w:rsidR="005C05CB" w:rsidRPr="00835BFD" w14:paraId="21681C04"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D068300" w14:textId="65C80441" w:rsidR="005C05CB" w:rsidRDefault="005C05CB" w:rsidP="007A594E">
            <w:pPr>
              <w:pStyle w:val="TableBodyText"/>
            </w:pPr>
            <w:r>
              <w:t>Development Victoria</w:t>
            </w:r>
          </w:p>
        </w:tc>
        <w:tc>
          <w:tcPr>
            <w:tcW w:w="810" w:type="pct"/>
            <w:vAlign w:val="top"/>
          </w:tcPr>
          <w:p w14:paraId="0DDC756A" w14:textId="6A64FCE1"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5D9111E3" w14:textId="3F4622AC"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5</w:t>
            </w:r>
          </w:p>
        </w:tc>
      </w:tr>
      <w:tr w:rsidR="005C05CB" w:rsidRPr="00835BFD" w14:paraId="563D4C7B"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DB2411F" w14:textId="15E25EEC" w:rsidR="005C05CB" w:rsidRDefault="005C05CB" w:rsidP="007A594E">
            <w:pPr>
              <w:pStyle w:val="TableBodyText"/>
            </w:pPr>
            <w:r>
              <w:t xml:space="preserve">Other related parties </w:t>
            </w:r>
            <w:hyperlink w:anchor="NoteTable74MaterialTransactions" w:history="1">
              <w:r w:rsidRPr="005C05CB">
                <w:rPr>
                  <w:rStyle w:val="Hyperlink"/>
                </w:rPr>
                <w:t>refer note</w:t>
              </w:r>
            </w:hyperlink>
          </w:p>
        </w:tc>
        <w:tc>
          <w:tcPr>
            <w:tcW w:w="810" w:type="pct"/>
            <w:vAlign w:val="top"/>
          </w:tcPr>
          <w:p w14:paraId="5A7908CE" w14:textId="580B7926"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34,072</w:t>
            </w:r>
          </w:p>
        </w:tc>
        <w:tc>
          <w:tcPr>
            <w:tcW w:w="805" w:type="pct"/>
            <w:vAlign w:val="top"/>
          </w:tcPr>
          <w:p w14:paraId="7053B46A" w14:textId="4C625679"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28,088</w:t>
            </w:r>
          </w:p>
        </w:tc>
      </w:tr>
      <w:tr w:rsidR="005C05CB" w:rsidRPr="00835BFD" w14:paraId="6225252C"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E6E487F" w14:textId="536D1AA9" w:rsidR="005C05CB" w:rsidRPr="005C05CB" w:rsidRDefault="005C05CB" w:rsidP="007A594E">
            <w:pPr>
              <w:pStyle w:val="TableBodyText"/>
              <w:rPr>
                <w:rStyle w:val="Bold"/>
              </w:rPr>
            </w:pPr>
            <w:r w:rsidRPr="005C05CB">
              <w:rPr>
                <w:rStyle w:val="Bold"/>
              </w:rPr>
              <w:t>Dividend paid</w:t>
            </w:r>
          </w:p>
        </w:tc>
        <w:tc>
          <w:tcPr>
            <w:tcW w:w="810" w:type="pct"/>
            <w:vAlign w:val="top"/>
          </w:tcPr>
          <w:p w14:paraId="07DFE02B" w14:textId="0579865E"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32A795A8" w14:textId="018E08CA"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5F0640A9"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7CE82BB" w14:textId="56BB1008" w:rsidR="005C05CB" w:rsidRDefault="00965CBF" w:rsidP="007A594E">
            <w:pPr>
              <w:pStyle w:val="TableBodyText"/>
            </w:pPr>
            <w:r>
              <w:t>Department of Treasury and Finance</w:t>
            </w:r>
          </w:p>
        </w:tc>
        <w:tc>
          <w:tcPr>
            <w:tcW w:w="810" w:type="pct"/>
            <w:vAlign w:val="top"/>
          </w:tcPr>
          <w:p w14:paraId="087A14C2" w14:textId="033AB142"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62,800</w:t>
            </w:r>
          </w:p>
        </w:tc>
        <w:tc>
          <w:tcPr>
            <w:tcW w:w="805" w:type="pct"/>
            <w:vAlign w:val="top"/>
          </w:tcPr>
          <w:p w14:paraId="4E7AFB44" w14:textId="5952B814"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73,000</w:t>
            </w:r>
          </w:p>
        </w:tc>
      </w:tr>
      <w:tr w:rsidR="005C05CB" w:rsidRPr="00835BFD" w14:paraId="0BC4CA5F"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36FF1A5" w14:textId="32864B88" w:rsidR="005C05CB" w:rsidRPr="005C05CB" w:rsidRDefault="005C05CB" w:rsidP="007A594E">
            <w:pPr>
              <w:pStyle w:val="TableBodyText"/>
              <w:rPr>
                <w:rStyle w:val="Bold"/>
              </w:rPr>
            </w:pPr>
            <w:r w:rsidRPr="005C05CB">
              <w:rPr>
                <w:rStyle w:val="Bold"/>
              </w:rPr>
              <w:t>Repayment of equity contributions</w:t>
            </w:r>
          </w:p>
        </w:tc>
        <w:tc>
          <w:tcPr>
            <w:tcW w:w="810" w:type="pct"/>
            <w:vAlign w:val="top"/>
          </w:tcPr>
          <w:p w14:paraId="6896183D" w14:textId="3174E04B"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612CB912" w14:textId="06B856DC"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059AE88E"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C91DC9B" w14:textId="27D28789" w:rsidR="005C05CB" w:rsidRDefault="00965CBF" w:rsidP="007A594E">
            <w:pPr>
              <w:pStyle w:val="TableBodyText"/>
            </w:pPr>
            <w:r>
              <w:t>Department of Treasury and Finance</w:t>
            </w:r>
          </w:p>
        </w:tc>
        <w:tc>
          <w:tcPr>
            <w:tcW w:w="810" w:type="pct"/>
            <w:vAlign w:val="top"/>
          </w:tcPr>
          <w:p w14:paraId="22C8D883" w14:textId="35D31146"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0E26E7E5" w14:textId="3A1B0202"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7BF56058"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6B3558A9" w14:textId="7F9F2B52" w:rsidR="005C05CB" w:rsidRPr="005C05CB" w:rsidRDefault="005C05CB" w:rsidP="007A594E">
            <w:pPr>
              <w:pStyle w:val="TableBodyText"/>
              <w:rPr>
                <w:rStyle w:val="Bold"/>
              </w:rPr>
            </w:pPr>
            <w:r w:rsidRPr="005C05CB">
              <w:rPr>
                <w:rStyle w:val="Bold"/>
              </w:rPr>
              <w:t>Transfer of contributed assets</w:t>
            </w:r>
          </w:p>
        </w:tc>
        <w:tc>
          <w:tcPr>
            <w:tcW w:w="810" w:type="pct"/>
            <w:vAlign w:val="top"/>
          </w:tcPr>
          <w:p w14:paraId="78973D23" w14:textId="78ECC64A"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5D114E4A" w14:textId="35743AA5"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0F889C89" w14:textId="77777777" w:rsidTr="007A594E">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0028408C" w14:textId="4355C5EF" w:rsidR="005C05CB" w:rsidRDefault="0030196D" w:rsidP="007A594E">
            <w:pPr>
              <w:pStyle w:val="TableBodyText"/>
            </w:pPr>
            <w:r>
              <w:lastRenderedPageBreak/>
              <w:t>Department of Environment, Land, Water and Planning</w:t>
            </w:r>
          </w:p>
        </w:tc>
        <w:tc>
          <w:tcPr>
            <w:tcW w:w="810" w:type="pct"/>
            <w:tcBorders>
              <w:bottom w:val="single" w:sz="4" w:space="0" w:color="auto"/>
            </w:tcBorders>
            <w:vAlign w:val="top"/>
          </w:tcPr>
          <w:p w14:paraId="2340ED23" w14:textId="6C79F9A1"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tcBorders>
              <w:bottom w:val="single" w:sz="4" w:space="0" w:color="auto"/>
            </w:tcBorders>
            <w:vAlign w:val="top"/>
          </w:tcPr>
          <w:p w14:paraId="0CD62CFD" w14:textId="47F11939" w:rsidR="005C05CB" w:rsidRDefault="005C05CB" w:rsidP="007A594E">
            <w:pPr>
              <w:pStyle w:val="TableBodyText"/>
              <w:cnfStyle w:val="000000000000" w:firstRow="0" w:lastRow="0" w:firstColumn="0" w:lastColumn="0" w:oddVBand="0" w:evenVBand="0" w:oddHBand="0" w:evenHBand="0" w:firstRowFirstColumn="0" w:firstRowLastColumn="0" w:lastRowFirstColumn="0" w:lastRowLastColumn="0"/>
            </w:pPr>
            <w:r>
              <w:t>N/A</w:t>
            </w:r>
          </w:p>
        </w:tc>
      </w:tr>
    </w:tbl>
    <w:p w14:paraId="116109A0" w14:textId="71FD9290" w:rsidR="00596594" w:rsidRDefault="005C05CB" w:rsidP="00596594">
      <w:pPr>
        <w:pStyle w:val="BodyText"/>
      </w:pPr>
      <w:bookmarkStart w:id="1213" w:name="NoteTable74MaterialTransactions"/>
      <w:r>
        <w:t>Note:</w:t>
      </w:r>
      <w:r w:rsidRPr="005C05CB">
        <w:t xml:space="preserve"> </w:t>
      </w:r>
      <w:bookmarkEnd w:id="1213"/>
      <w:r w:rsidRPr="005C05CB">
        <w:t>2019-20 other related parties balance has been restated (increase of $6.3M) for comparative purposes</w:t>
      </w:r>
    </w:p>
    <w:p w14:paraId="301B96F8" w14:textId="39AD259E" w:rsidR="005C05CB" w:rsidRDefault="005C05CB" w:rsidP="005C05CB">
      <w:pPr>
        <w:pStyle w:val="Heading5"/>
      </w:pPr>
      <w:bookmarkStart w:id="1214" w:name="_Ref89806285"/>
      <w:r>
        <w:t>Outstanding balances arising from sales/purchases of goods and services</w:t>
      </w:r>
      <w:bookmarkEnd w:id="1214"/>
    </w:p>
    <w:tbl>
      <w:tblPr>
        <w:tblStyle w:val="Style1"/>
        <w:tblW w:w="5000" w:type="pct"/>
        <w:tblLook w:val="04A0" w:firstRow="1" w:lastRow="0" w:firstColumn="1" w:lastColumn="0" w:noHBand="0" w:noVBand="1"/>
      </w:tblPr>
      <w:tblGrid>
        <w:gridCol w:w="6520"/>
        <w:gridCol w:w="1560"/>
        <w:gridCol w:w="1551"/>
      </w:tblGrid>
      <w:tr w:rsidR="005C05CB" w:rsidRPr="006D0171" w14:paraId="044A9BF5"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2D7B7AE4" w14:textId="77777777" w:rsidR="005C05CB" w:rsidRPr="006D0171" w:rsidRDefault="005C05CB" w:rsidP="006D0171">
            <w:bookmarkStart w:id="1215" w:name="ColumnTitle_106"/>
            <w:r w:rsidRPr="006D0171">
              <w:t>Item</w:t>
            </w:r>
          </w:p>
        </w:tc>
        <w:tc>
          <w:tcPr>
            <w:tcW w:w="810" w:type="pct"/>
            <w:tcBorders>
              <w:top w:val="single" w:sz="4" w:space="0" w:color="auto"/>
            </w:tcBorders>
            <w:vAlign w:val="bottom"/>
          </w:tcPr>
          <w:p w14:paraId="75264BA6"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2021</w:t>
            </w:r>
          </w:p>
          <w:p w14:paraId="593122CD"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 thousands)</w:t>
            </w:r>
          </w:p>
        </w:tc>
        <w:tc>
          <w:tcPr>
            <w:tcW w:w="805" w:type="pct"/>
            <w:tcBorders>
              <w:top w:val="single" w:sz="4" w:space="0" w:color="auto"/>
            </w:tcBorders>
            <w:vAlign w:val="bottom"/>
          </w:tcPr>
          <w:p w14:paraId="4D110A48"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2020</w:t>
            </w:r>
          </w:p>
          <w:p w14:paraId="21C45702"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 thousands)</w:t>
            </w:r>
          </w:p>
        </w:tc>
      </w:tr>
      <w:bookmarkEnd w:id="1215"/>
      <w:tr w:rsidR="005C05CB" w:rsidRPr="00835BFD" w14:paraId="487759D7"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3D4DAA45" w14:textId="6EBEEBD8" w:rsidR="005C05CB" w:rsidRPr="005C05CB" w:rsidRDefault="005C05CB" w:rsidP="006D0171">
            <w:pPr>
              <w:pStyle w:val="TableBodyText"/>
              <w:rPr>
                <w:rStyle w:val="Bold"/>
              </w:rPr>
            </w:pPr>
            <w:r>
              <w:rPr>
                <w:rStyle w:val="Bold"/>
              </w:rPr>
              <w:t>Receivables</w:t>
            </w:r>
          </w:p>
        </w:tc>
        <w:tc>
          <w:tcPr>
            <w:tcW w:w="810" w:type="pct"/>
            <w:vAlign w:val="top"/>
          </w:tcPr>
          <w:p w14:paraId="6789EF9B" w14:textId="77777777"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31BA05A5" w14:textId="77777777"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489F3A1B"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5BE7136" w14:textId="5E073AE4" w:rsidR="005C05CB" w:rsidRDefault="0030196D" w:rsidP="006D0171">
            <w:pPr>
              <w:pStyle w:val="TableBodyText"/>
            </w:pPr>
            <w:r>
              <w:t>Department of Environment, Land, Water and Planning</w:t>
            </w:r>
          </w:p>
        </w:tc>
        <w:tc>
          <w:tcPr>
            <w:tcW w:w="810" w:type="pct"/>
            <w:vAlign w:val="top"/>
          </w:tcPr>
          <w:p w14:paraId="1609F1DF" w14:textId="05E0E715"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253</w:t>
            </w:r>
          </w:p>
        </w:tc>
        <w:tc>
          <w:tcPr>
            <w:tcW w:w="805" w:type="pct"/>
            <w:vAlign w:val="top"/>
          </w:tcPr>
          <w:p w14:paraId="1690B5E8" w14:textId="206907C3"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1AB6D7BA"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1F84F9D3" w14:textId="77777777" w:rsidR="005C05CB" w:rsidRDefault="005C05CB" w:rsidP="006D0171">
            <w:pPr>
              <w:pStyle w:val="TableBodyText"/>
            </w:pPr>
            <w:r>
              <w:t>City West Water</w:t>
            </w:r>
          </w:p>
        </w:tc>
        <w:tc>
          <w:tcPr>
            <w:tcW w:w="810" w:type="pct"/>
            <w:vAlign w:val="top"/>
          </w:tcPr>
          <w:p w14:paraId="4B70C93A" w14:textId="4102469B"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16,075</w:t>
            </w:r>
          </w:p>
        </w:tc>
        <w:tc>
          <w:tcPr>
            <w:tcW w:w="805" w:type="pct"/>
            <w:vAlign w:val="top"/>
          </w:tcPr>
          <w:p w14:paraId="40E48B0A" w14:textId="7AC7B958"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17,511</w:t>
            </w:r>
          </w:p>
        </w:tc>
      </w:tr>
      <w:tr w:rsidR="005C05CB" w:rsidRPr="00835BFD" w14:paraId="620E2EA9"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37EACEB" w14:textId="77777777" w:rsidR="005C05CB" w:rsidRDefault="005C05CB" w:rsidP="006D0171">
            <w:pPr>
              <w:pStyle w:val="TableBodyText"/>
            </w:pPr>
            <w:r>
              <w:t>South East Water</w:t>
            </w:r>
          </w:p>
        </w:tc>
        <w:tc>
          <w:tcPr>
            <w:tcW w:w="810" w:type="pct"/>
            <w:vAlign w:val="top"/>
          </w:tcPr>
          <w:p w14:paraId="5DBCB5F8" w14:textId="7FB0D450"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9,191</w:t>
            </w:r>
          </w:p>
        </w:tc>
        <w:tc>
          <w:tcPr>
            <w:tcW w:w="805" w:type="pct"/>
            <w:vAlign w:val="top"/>
          </w:tcPr>
          <w:p w14:paraId="2B9DDC03" w14:textId="0DF63141"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18,345</w:t>
            </w:r>
          </w:p>
        </w:tc>
      </w:tr>
      <w:tr w:rsidR="005C05CB" w:rsidRPr="00835BFD" w14:paraId="3F854986"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52105D9" w14:textId="77777777" w:rsidR="005C05CB" w:rsidRDefault="005C05CB" w:rsidP="006D0171">
            <w:pPr>
              <w:pStyle w:val="TableBodyText"/>
            </w:pPr>
            <w:r>
              <w:t>Yarra Valley Water</w:t>
            </w:r>
          </w:p>
        </w:tc>
        <w:tc>
          <w:tcPr>
            <w:tcW w:w="810" w:type="pct"/>
            <w:vAlign w:val="top"/>
          </w:tcPr>
          <w:p w14:paraId="6EEA4AB8" w14:textId="4AE04841"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13,814</w:t>
            </w:r>
          </w:p>
        </w:tc>
        <w:tc>
          <w:tcPr>
            <w:tcW w:w="805" w:type="pct"/>
            <w:vAlign w:val="top"/>
          </w:tcPr>
          <w:p w14:paraId="2D415C79" w14:textId="4B3642E4"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16,398</w:t>
            </w:r>
          </w:p>
        </w:tc>
      </w:tr>
      <w:tr w:rsidR="005C05CB" w:rsidRPr="00835BFD" w14:paraId="32B01F0B"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77628307" w14:textId="57AE109D" w:rsidR="005C05CB" w:rsidRDefault="005C05CB" w:rsidP="006D0171">
            <w:pPr>
              <w:pStyle w:val="TableBodyText"/>
            </w:pPr>
            <w:r>
              <w:t>Barwon Water</w:t>
            </w:r>
          </w:p>
        </w:tc>
        <w:tc>
          <w:tcPr>
            <w:tcW w:w="810" w:type="pct"/>
            <w:vAlign w:val="top"/>
          </w:tcPr>
          <w:p w14:paraId="19498C38" w14:textId="1C8AF4E6"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359510BE" w14:textId="081C2054"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96</w:t>
            </w:r>
          </w:p>
        </w:tc>
      </w:tr>
      <w:tr w:rsidR="005C05CB" w:rsidRPr="00835BFD" w14:paraId="103CC84F"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29A3B08E" w14:textId="4AB8C30C" w:rsidR="005C05CB" w:rsidRDefault="005C05CB" w:rsidP="006D0171">
            <w:pPr>
              <w:pStyle w:val="TableBodyText"/>
            </w:pPr>
            <w:r>
              <w:t>Development Victoria</w:t>
            </w:r>
          </w:p>
        </w:tc>
        <w:tc>
          <w:tcPr>
            <w:tcW w:w="810" w:type="pct"/>
            <w:vAlign w:val="top"/>
          </w:tcPr>
          <w:p w14:paraId="07B8FCF9" w14:textId="54BA4C1A"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141</w:t>
            </w:r>
          </w:p>
        </w:tc>
        <w:tc>
          <w:tcPr>
            <w:tcW w:w="805" w:type="pct"/>
            <w:vAlign w:val="top"/>
          </w:tcPr>
          <w:p w14:paraId="5ECD9793" w14:textId="15742A0F"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738E61CC"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6DD3361" w14:textId="6E1B2196" w:rsidR="005C05CB" w:rsidRDefault="005C05CB" w:rsidP="006D0171">
            <w:pPr>
              <w:pStyle w:val="TableBodyText"/>
            </w:pPr>
            <w:r>
              <w:t>Other related parties</w:t>
            </w:r>
          </w:p>
        </w:tc>
        <w:tc>
          <w:tcPr>
            <w:tcW w:w="810" w:type="pct"/>
            <w:vAlign w:val="top"/>
          </w:tcPr>
          <w:p w14:paraId="6F08B7F3" w14:textId="10CA7E0E"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1,123</w:t>
            </w:r>
          </w:p>
        </w:tc>
        <w:tc>
          <w:tcPr>
            <w:tcW w:w="805" w:type="pct"/>
            <w:vAlign w:val="top"/>
          </w:tcPr>
          <w:p w14:paraId="3C85C975" w14:textId="1187ED86"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026790A2"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541EF77" w14:textId="4BAD53F6" w:rsidR="005C05CB" w:rsidRPr="005C05CB" w:rsidRDefault="005C05CB" w:rsidP="006D0171">
            <w:pPr>
              <w:pStyle w:val="TableBodyText"/>
              <w:rPr>
                <w:rStyle w:val="Bold"/>
              </w:rPr>
            </w:pPr>
            <w:r>
              <w:rPr>
                <w:rStyle w:val="Bold"/>
              </w:rPr>
              <w:t>Payables</w:t>
            </w:r>
          </w:p>
        </w:tc>
        <w:tc>
          <w:tcPr>
            <w:tcW w:w="810" w:type="pct"/>
            <w:vAlign w:val="top"/>
          </w:tcPr>
          <w:p w14:paraId="5D8C7B79" w14:textId="77777777"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c>
          <w:tcPr>
            <w:tcW w:w="805" w:type="pct"/>
            <w:vAlign w:val="top"/>
          </w:tcPr>
          <w:p w14:paraId="7169C997" w14:textId="77777777"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1B3116EA"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A24442F" w14:textId="65099306" w:rsidR="005C05CB" w:rsidRPr="00A30536" w:rsidRDefault="0030196D" w:rsidP="006D0171">
            <w:pPr>
              <w:pStyle w:val="TableBodyText"/>
            </w:pPr>
            <w:r>
              <w:t>Department of Environment, Land, Water and Planning</w:t>
            </w:r>
          </w:p>
        </w:tc>
        <w:tc>
          <w:tcPr>
            <w:tcW w:w="810" w:type="pct"/>
            <w:vAlign w:val="top"/>
          </w:tcPr>
          <w:p w14:paraId="3C5894CC" w14:textId="3095944B"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3,564,921</w:t>
            </w:r>
          </w:p>
        </w:tc>
        <w:tc>
          <w:tcPr>
            <w:tcW w:w="805" w:type="pct"/>
            <w:vAlign w:val="top"/>
          </w:tcPr>
          <w:p w14:paraId="2D5118CC" w14:textId="1F13FAF3"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3,602,984</w:t>
            </w:r>
          </w:p>
        </w:tc>
      </w:tr>
      <w:tr w:rsidR="005C05CB" w:rsidRPr="00835BFD" w14:paraId="3BFC2DC7"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FC12F9B" w14:textId="53D862E8" w:rsidR="005C05CB" w:rsidRDefault="00965CBF" w:rsidP="006D0171">
            <w:pPr>
              <w:pStyle w:val="TableBodyText"/>
            </w:pPr>
            <w:r>
              <w:t>Department of Treasury and Finance</w:t>
            </w:r>
          </w:p>
        </w:tc>
        <w:tc>
          <w:tcPr>
            <w:tcW w:w="810" w:type="pct"/>
            <w:vAlign w:val="top"/>
          </w:tcPr>
          <w:p w14:paraId="114C3370" w14:textId="702C7B87"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27,998</w:t>
            </w:r>
          </w:p>
        </w:tc>
        <w:tc>
          <w:tcPr>
            <w:tcW w:w="805" w:type="pct"/>
            <w:vAlign w:val="top"/>
          </w:tcPr>
          <w:p w14:paraId="335E1945" w14:textId="1E577CA5"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22,392</w:t>
            </w:r>
          </w:p>
        </w:tc>
      </w:tr>
      <w:tr w:rsidR="005C05CB" w:rsidRPr="00835BFD" w14:paraId="341AD44A"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4751098" w14:textId="77777777" w:rsidR="005C05CB" w:rsidRDefault="005C05CB" w:rsidP="006D0171">
            <w:pPr>
              <w:pStyle w:val="TableBodyText"/>
            </w:pPr>
            <w:r>
              <w:t>City West Water</w:t>
            </w:r>
          </w:p>
        </w:tc>
        <w:tc>
          <w:tcPr>
            <w:tcW w:w="810" w:type="pct"/>
            <w:vAlign w:val="top"/>
          </w:tcPr>
          <w:p w14:paraId="2A0A873D" w14:textId="69C0FC70"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337</w:t>
            </w:r>
          </w:p>
        </w:tc>
        <w:tc>
          <w:tcPr>
            <w:tcW w:w="805" w:type="pct"/>
            <w:vAlign w:val="top"/>
          </w:tcPr>
          <w:p w14:paraId="70F2F7D7" w14:textId="671D222E"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3</w:t>
            </w:r>
          </w:p>
        </w:tc>
      </w:tr>
      <w:tr w:rsidR="005C05CB" w:rsidRPr="00835BFD" w14:paraId="46C9C0A2"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044EE4FE" w14:textId="77777777" w:rsidR="005C05CB" w:rsidRDefault="005C05CB" w:rsidP="006D0171">
            <w:pPr>
              <w:pStyle w:val="TableBodyText"/>
            </w:pPr>
            <w:r>
              <w:t>South East Water</w:t>
            </w:r>
          </w:p>
        </w:tc>
        <w:tc>
          <w:tcPr>
            <w:tcW w:w="810" w:type="pct"/>
            <w:vAlign w:val="top"/>
          </w:tcPr>
          <w:p w14:paraId="61B38A09" w14:textId="25D5964D"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440</w:t>
            </w:r>
          </w:p>
        </w:tc>
        <w:tc>
          <w:tcPr>
            <w:tcW w:w="805" w:type="pct"/>
            <w:vAlign w:val="top"/>
          </w:tcPr>
          <w:p w14:paraId="3FC36A17" w14:textId="08EEC5D4"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7C937DBA"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4EFDD3E" w14:textId="77777777" w:rsidR="005C05CB" w:rsidRDefault="005C05CB" w:rsidP="006D0171">
            <w:pPr>
              <w:pStyle w:val="TableBodyText"/>
            </w:pPr>
            <w:r>
              <w:t>Yarra Valley Water</w:t>
            </w:r>
          </w:p>
        </w:tc>
        <w:tc>
          <w:tcPr>
            <w:tcW w:w="810" w:type="pct"/>
            <w:vAlign w:val="top"/>
          </w:tcPr>
          <w:p w14:paraId="41077DEC" w14:textId="693D42DD"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559</w:t>
            </w:r>
          </w:p>
        </w:tc>
        <w:tc>
          <w:tcPr>
            <w:tcW w:w="805" w:type="pct"/>
            <w:vAlign w:val="top"/>
          </w:tcPr>
          <w:p w14:paraId="57769DE0" w14:textId="3CC7D68F"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526</w:t>
            </w:r>
          </w:p>
        </w:tc>
      </w:tr>
      <w:tr w:rsidR="005C05CB" w:rsidRPr="00835BFD" w14:paraId="2AE9925B"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414B433A" w14:textId="77777777" w:rsidR="005C05CB" w:rsidRDefault="005C05CB" w:rsidP="006D0171">
            <w:pPr>
              <w:pStyle w:val="TableBodyText"/>
            </w:pPr>
            <w:r>
              <w:t>Western Water</w:t>
            </w:r>
          </w:p>
        </w:tc>
        <w:tc>
          <w:tcPr>
            <w:tcW w:w="810" w:type="pct"/>
            <w:vAlign w:val="top"/>
          </w:tcPr>
          <w:p w14:paraId="7F5EEF3E" w14:textId="0A11F5D6"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67</w:t>
            </w:r>
          </w:p>
        </w:tc>
        <w:tc>
          <w:tcPr>
            <w:tcW w:w="805" w:type="pct"/>
            <w:vAlign w:val="top"/>
          </w:tcPr>
          <w:p w14:paraId="780D224B" w14:textId="08EDB126"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N/A</w:t>
            </w:r>
          </w:p>
        </w:tc>
      </w:tr>
      <w:tr w:rsidR="005C05CB" w:rsidRPr="00835BFD" w14:paraId="556B53C5"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vAlign w:val="top"/>
          </w:tcPr>
          <w:p w14:paraId="5DA07151" w14:textId="2B5E013E" w:rsidR="005C05CB" w:rsidRDefault="00DC0A06" w:rsidP="006D0171">
            <w:pPr>
              <w:pStyle w:val="TableBodyText"/>
            </w:pPr>
            <w:r>
              <w:t>Treasury Corporation of Victoria</w:t>
            </w:r>
          </w:p>
        </w:tc>
        <w:tc>
          <w:tcPr>
            <w:tcW w:w="810" w:type="pct"/>
            <w:vAlign w:val="top"/>
          </w:tcPr>
          <w:p w14:paraId="6F281C78" w14:textId="5198F5C8"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4,279,177</w:t>
            </w:r>
          </w:p>
        </w:tc>
        <w:tc>
          <w:tcPr>
            <w:tcW w:w="805" w:type="pct"/>
            <w:vAlign w:val="top"/>
          </w:tcPr>
          <w:p w14:paraId="70D924F2" w14:textId="3B3C5A13"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4,191,779</w:t>
            </w:r>
          </w:p>
        </w:tc>
      </w:tr>
      <w:tr w:rsidR="005C05CB" w:rsidRPr="00835BFD" w14:paraId="7306D610"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11799026" w14:textId="7A1F547B" w:rsidR="005C05CB" w:rsidRDefault="005C05CB" w:rsidP="006D0171">
            <w:pPr>
              <w:pStyle w:val="TableBodyText"/>
            </w:pPr>
            <w:r>
              <w:t>Other related parties</w:t>
            </w:r>
          </w:p>
        </w:tc>
        <w:tc>
          <w:tcPr>
            <w:tcW w:w="810" w:type="pct"/>
            <w:tcBorders>
              <w:bottom w:val="single" w:sz="4" w:space="0" w:color="auto"/>
            </w:tcBorders>
            <w:vAlign w:val="top"/>
          </w:tcPr>
          <w:p w14:paraId="7F9BC4A3" w14:textId="328597F9"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676</w:t>
            </w:r>
          </w:p>
        </w:tc>
        <w:tc>
          <w:tcPr>
            <w:tcW w:w="805" w:type="pct"/>
            <w:tcBorders>
              <w:bottom w:val="single" w:sz="4" w:space="0" w:color="auto"/>
            </w:tcBorders>
            <w:vAlign w:val="top"/>
          </w:tcPr>
          <w:p w14:paraId="15D3A252" w14:textId="3AC2C3FC"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1,605</w:t>
            </w:r>
          </w:p>
        </w:tc>
      </w:tr>
    </w:tbl>
    <w:p w14:paraId="6BC86F49" w14:textId="6C9C9FE2" w:rsidR="00596594" w:rsidRDefault="005C05CB" w:rsidP="005C05CB">
      <w:pPr>
        <w:pStyle w:val="BodyText"/>
      </w:pPr>
      <w:r>
        <w:t>Transactions relating to dividends are subject to final determination by the Treasurer after consultation with the Corporation's Board of Directors and the Minister for Water. Transactions relating to equity contributions are determined by the Minister for Water in consultation with the Corporation. Transactions relating to trading activities of the Corporation including sale of bulk water, sale of sewerage services and collection of drainage rates are based on normal commercial terms and conditions.</w:t>
      </w:r>
    </w:p>
    <w:p w14:paraId="4FAE88E0" w14:textId="55AEABA6" w:rsidR="005C05CB" w:rsidRDefault="005C05CB" w:rsidP="005C05CB">
      <w:pPr>
        <w:pStyle w:val="BodyText"/>
      </w:pPr>
      <w:r>
        <w:t>Outstanding balances are unsecured and are receivable/payable in cash under normal trading terms. There are no guarantees given or received for the current and non-current payables, current receivables and borrowings.</w:t>
      </w:r>
    </w:p>
    <w:p w14:paraId="66D09B5F" w14:textId="0738465A" w:rsidR="00596594" w:rsidRDefault="005C05CB" w:rsidP="005C05CB">
      <w:pPr>
        <w:pStyle w:val="Heading3"/>
      </w:pPr>
      <w:bookmarkStart w:id="1216" w:name="_Toc89723154"/>
      <w:bookmarkStart w:id="1217" w:name="_Ref89844278"/>
      <w:bookmarkStart w:id="1218" w:name="_Ref89845819"/>
      <w:bookmarkStart w:id="1219" w:name="_Toc90326098"/>
      <w:bookmarkStart w:id="1220" w:name="_Toc93659504"/>
      <w:r w:rsidRPr="005C05CB">
        <w:lastRenderedPageBreak/>
        <w:t>7.5 Remuneration of auditors</w:t>
      </w:r>
      <w:bookmarkEnd w:id="1216"/>
      <w:bookmarkEnd w:id="1217"/>
      <w:bookmarkEnd w:id="1218"/>
      <w:bookmarkEnd w:id="1219"/>
      <w:bookmarkEnd w:id="1220"/>
    </w:p>
    <w:tbl>
      <w:tblPr>
        <w:tblStyle w:val="Style1"/>
        <w:tblW w:w="5000" w:type="pct"/>
        <w:tblLook w:val="04A0" w:firstRow="1" w:lastRow="0" w:firstColumn="1" w:lastColumn="0" w:noHBand="0" w:noVBand="1"/>
      </w:tblPr>
      <w:tblGrid>
        <w:gridCol w:w="6520"/>
        <w:gridCol w:w="1560"/>
        <w:gridCol w:w="1551"/>
      </w:tblGrid>
      <w:tr w:rsidR="005C05CB" w:rsidRPr="006D0171" w14:paraId="7E58CEE9" w14:textId="77777777" w:rsidTr="0061776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tcBorders>
            <w:vAlign w:val="bottom"/>
          </w:tcPr>
          <w:p w14:paraId="68F6A127" w14:textId="77777777" w:rsidR="005C05CB" w:rsidRPr="006D0171" w:rsidRDefault="005C05CB" w:rsidP="006D0171">
            <w:bookmarkStart w:id="1221" w:name="ColumnTitle_107"/>
            <w:r w:rsidRPr="006D0171">
              <w:t>Item</w:t>
            </w:r>
          </w:p>
        </w:tc>
        <w:tc>
          <w:tcPr>
            <w:tcW w:w="810" w:type="pct"/>
            <w:tcBorders>
              <w:top w:val="single" w:sz="4" w:space="0" w:color="auto"/>
            </w:tcBorders>
            <w:vAlign w:val="bottom"/>
          </w:tcPr>
          <w:p w14:paraId="58913394"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2021</w:t>
            </w:r>
          </w:p>
          <w:p w14:paraId="55748982"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 thousands)</w:t>
            </w:r>
          </w:p>
        </w:tc>
        <w:tc>
          <w:tcPr>
            <w:tcW w:w="805" w:type="pct"/>
            <w:tcBorders>
              <w:top w:val="single" w:sz="4" w:space="0" w:color="auto"/>
            </w:tcBorders>
            <w:vAlign w:val="bottom"/>
          </w:tcPr>
          <w:p w14:paraId="72CC2AC6"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2020</w:t>
            </w:r>
          </w:p>
          <w:p w14:paraId="1D91D303" w14:textId="77777777" w:rsidR="005C05CB" w:rsidRPr="006D0171" w:rsidRDefault="005C05CB" w:rsidP="006D0171">
            <w:pPr>
              <w:cnfStyle w:val="100000000000" w:firstRow="1" w:lastRow="0" w:firstColumn="0" w:lastColumn="0" w:oddVBand="0" w:evenVBand="0" w:oddHBand="0" w:evenHBand="0" w:firstRowFirstColumn="0" w:firstRowLastColumn="0" w:lastRowFirstColumn="0" w:lastRowLastColumn="0"/>
            </w:pPr>
            <w:r w:rsidRPr="006D0171">
              <w:t>($ thousands)</w:t>
            </w:r>
          </w:p>
        </w:tc>
      </w:tr>
      <w:bookmarkEnd w:id="1221"/>
      <w:tr w:rsidR="005C05CB" w:rsidRPr="00835BFD" w14:paraId="0E478CFB"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tcBorders>
              <w:bottom w:val="single" w:sz="4" w:space="0" w:color="auto"/>
            </w:tcBorders>
            <w:vAlign w:val="top"/>
          </w:tcPr>
          <w:p w14:paraId="2D47748F" w14:textId="3653C472" w:rsidR="005C05CB" w:rsidRDefault="005C05CB" w:rsidP="006D0171">
            <w:pPr>
              <w:pStyle w:val="TableBodyText"/>
            </w:pPr>
            <w:r>
              <w:t>Audit of financial report by the Victorian Auditor-General’s office</w:t>
            </w:r>
          </w:p>
        </w:tc>
        <w:tc>
          <w:tcPr>
            <w:tcW w:w="810" w:type="pct"/>
            <w:tcBorders>
              <w:bottom w:val="single" w:sz="4" w:space="0" w:color="auto"/>
            </w:tcBorders>
            <w:vAlign w:val="top"/>
          </w:tcPr>
          <w:p w14:paraId="294F6E30" w14:textId="53B8F15D"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196</w:t>
            </w:r>
          </w:p>
        </w:tc>
        <w:tc>
          <w:tcPr>
            <w:tcW w:w="805" w:type="pct"/>
            <w:tcBorders>
              <w:bottom w:val="single" w:sz="4" w:space="0" w:color="auto"/>
            </w:tcBorders>
            <w:vAlign w:val="top"/>
          </w:tcPr>
          <w:p w14:paraId="6742F1EA" w14:textId="29B851B4" w:rsid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pPr>
            <w:r>
              <w:t>184</w:t>
            </w:r>
          </w:p>
        </w:tc>
      </w:tr>
      <w:tr w:rsidR="005C05CB" w:rsidRPr="005C05CB" w14:paraId="16B2B411" w14:textId="77777777" w:rsidTr="006D0171">
        <w:trPr>
          <w:trHeight w:val="20"/>
        </w:trPr>
        <w:tc>
          <w:tcPr>
            <w:cnfStyle w:val="001000000000" w:firstRow="0" w:lastRow="0" w:firstColumn="1" w:lastColumn="0" w:oddVBand="0" w:evenVBand="0" w:oddHBand="0" w:evenHBand="0" w:firstRowFirstColumn="0" w:firstRowLastColumn="0" w:lastRowFirstColumn="0" w:lastRowLastColumn="0"/>
            <w:tcW w:w="3385" w:type="pct"/>
            <w:tcBorders>
              <w:top w:val="single" w:sz="4" w:space="0" w:color="auto"/>
              <w:bottom w:val="single" w:sz="4" w:space="0" w:color="auto"/>
            </w:tcBorders>
            <w:vAlign w:val="top"/>
          </w:tcPr>
          <w:p w14:paraId="69F82D08" w14:textId="2F61020C" w:rsidR="005C05CB" w:rsidRPr="005C05CB" w:rsidRDefault="005C05CB" w:rsidP="006D0171">
            <w:pPr>
              <w:pStyle w:val="TableBodyText"/>
              <w:rPr>
                <w:rStyle w:val="Bold"/>
              </w:rPr>
            </w:pPr>
            <w:r w:rsidRPr="005C05CB">
              <w:rPr>
                <w:rStyle w:val="Bold"/>
              </w:rPr>
              <w:t>Total amount paid/payable</w:t>
            </w:r>
          </w:p>
        </w:tc>
        <w:tc>
          <w:tcPr>
            <w:tcW w:w="810" w:type="pct"/>
            <w:tcBorders>
              <w:top w:val="single" w:sz="4" w:space="0" w:color="auto"/>
              <w:bottom w:val="single" w:sz="4" w:space="0" w:color="auto"/>
            </w:tcBorders>
            <w:vAlign w:val="top"/>
          </w:tcPr>
          <w:p w14:paraId="70E4806B" w14:textId="3DD9CE7F" w:rsidR="005C05CB" w:rsidRP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5C05CB">
              <w:rPr>
                <w:rStyle w:val="Bold"/>
              </w:rPr>
              <w:t>196</w:t>
            </w:r>
          </w:p>
        </w:tc>
        <w:tc>
          <w:tcPr>
            <w:tcW w:w="805" w:type="pct"/>
            <w:tcBorders>
              <w:top w:val="single" w:sz="4" w:space="0" w:color="auto"/>
              <w:bottom w:val="single" w:sz="4" w:space="0" w:color="auto"/>
            </w:tcBorders>
            <w:vAlign w:val="top"/>
          </w:tcPr>
          <w:p w14:paraId="091F7406" w14:textId="3DF32DF9" w:rsidR="005C05CB" w:rsidRPr="005C05CB" w:rsidRDefault="005C05CB" w:rsidP="006D0171">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5C05CB">
              <w:rPr>
                <w:rStyle w:val="Bold"/>
              </w:rPr>
              <w:t>184</w:t>
            </w:r>
          </w:p>
        </w:tc>
      </w:tr>
    </w:tbl>
    <w:p w14:paraId="14660C00" w14:textId="77777777" w:rsidR="005C05CB" w:rsidRDefault="005C05CB" w:rsidP="005C05CB">
      <w:pPr>
        <w:pStyle w:val="Heading3"/>
      </w:pPr>
      <w:bookmarkStart w:id="1222" w:name="Note76"/>
      <w:bookmarkStart w:id="1223" w:name="_Toc89723155"/>
      <w:bookmarkStart w:id="1224" w:name="_Ref89806391"/>
      <w:bookmarkStart w:id="1225" w:name="_Ref89844286"/>
      <w:bookmarkStart w:id="1226" w:name="_Ref89845822"/>
      <w:bookmarkStart w:id="1227" w:name="_Toc90326099"/>
      <w:bookmarkStart w:id="1228" w:name="_Toc93659505"/>
      <w:r>
        <w:t xml:space="preserve">7.6 </w:t>
      </w:r>
      <w:bookmarkEnd w:id="1222"/>
      <w:r>
        <w:t>Ex-gratia expenses</w:t>
      </w:r>
      <w:bookmarkEnd w:id="1223"/>
      <w:bookmarkEnd w:id="1224"/>
      <w:bookmarkEnd w:id="1225"/>
      <w:bookmarkEnd w:id="1226"/>
      <w:bookmarkEnd w:id="1227"/>
      <w:bookmarkEnd w:id="1228"/>
    </w:p>
    <w:p w14:paraId="1F8BD588" w14:textId="647C6586" w:rsidR="005C05CB" w:rsidRDefault="005C05CB" w:rsidP="005C05CB">
      <w:pPr>
        <w:pStyle w:val="BodyText"/>
      </w:pPr>
      <w:r>
        <w:t xml:space="preserve">In accordance with </w:t>
      </w:r>
      <w:r w:rsidRPr="005C05CB">
        <w:rPr>
          <w:rStyle w:val="ItalicText"/>
        </w:rPr>
        <w:t xml:space="preserve">FRD 11A Disclosure of Ex-Gratia Expenses </w:t>
      </w:r>
      <w:r>
        <w:t xml:space="preserve">the Corporation must disclose in aggregate the total amount of material (greater than $5,000) expenses. </w:t>
      </w:r>
    </w:p>
    <w:p w14:paraId="4BA92B9A" w14:textId="4BB3F60D" w:rsidR="005C05CB" w:rsidRDefault="005C05CB" w:rsidP="005C05CB">
      <w:pPr>
        <w:pStyle w:val="BodyText"/>
      </w:pPr>
      <w:r>
        <w:t xml:space="preserve">For 2020-21, the Corporation incurred $237,081 ex-gratia expenses (2019-20: $73,172) due to rental waivers provided to approved applicants as part of the Victorian Government's </w:t>
      </w:r>
      <w:r w:rsidR="0030196D">
        <w:t>COVID</w:t>
      </w:r>
      <w:r w:rsidR="0030196D">
        <w:noBreakHyphen/>
        <w:t>19</w:t>
      </w:r>
      <w:r>
        <w:t xml:space="preserve"> hardship program.</w:t>
      </w:r>
    </w:p>
    <w:p w14:paraId="33FA80F2" w14:textId="77777777" w:rsidR="005C05CB" w:rsidRDefault="005C05CB" w:rsidP="005C05CB">
      <w:pPr>
        <w:pStyle w:val="Heading3"/>
      </w:pPr>
      <w:bookmarkStart w:id="1229" w:name="_Toc89723156"/>
      <w:bookmarkStart w:id="1230" w:name="_Ref89844294"/>
      <w:bookmarkStart w:id="1231" w:name="_Ref89845828"/>
      <w:bookmarkStart w:id="1232" w:name="_Toc90326100"/>
      <w:bookmarkStart w:id="1233" w:name="_Toc93659506"/>
      <w:r>
        <w:t>7.7 Subsequent events</w:t>
      </w:r>
      <w:bookmarkEnd w:id="1229"/>
      <w:bookmarkEnd w:id="1230"/>
      <w:bookmarkEnd w:id="1231"/>
      <w:bookmarkEnd w:id="1232"/>
      <w:bookmarkEnd w:id="1233"/>
    </w:p>
    <w:p w14:paraId="06FF20F8" w14:textId="678BB3E2" w:rsidR="005C05CB" w:rsidRDefault="005C05CB" w:rsidP="005C05CB">
      <w:pPr>
        <w:pStyle w:val="BodyText"/>
      </w:pPr>
      <w:r>
        <w:t>Refer to note 1 for Port Phillip and Westernport Catchment Management Authority (PPWCMA) Integration information as a significant event.</w:t>
      </w:r>
    </w:p>
    <w:p w14:paraId="04A0837E" w14:textId="77777777" w:rsidR="005C05CB" w:rsidRDefault="005C05CB" w:rsidP="005C05CB">
      <w:pPr>
        <w:pStyle w:val="BodyText"/>
      </w:pPr>
      <w:r>
        <w:t>No other matter or circumstance has arisen since 30 June 2021 which has significantly affected, or may significantly affect:</w:t>
      </w:r>
    </w:p>
    <w:p w14:paraId="1CE1317F" w14:textId="482EC1C2" w:rsidR="005C05CB" w:rsidRDefault="005C05CB" w:rsidP="00C55176">
      <w:pPr>
        <w:pStyle w:val="ListBullet"/>
      </w:pPr>
      <w:r>
        <w:t>the Corporation’s operations</w:t>
      </w:r>
    </w:p>
    <w:p w14:paraId="06349BDF" w14:textId="656E18FD" w:rsidR="005C05CB" w:rsidRDefault="005C05CB" w:rsidP="00C55176">
      <w:pPr>
        <w:pStyle w:val="ListBullet"/>
      </w:pPr>
      <w:r>
        <w:t>the results of those operations: and/or</w:t>
      </w:r>
    </w:p>
    <w:p w14:paraId="2B4C7F79" w14:textId="5B83E617" w:rsidR="005C05CB" w:rsidRDefault="005C05CB" w:rsidP="00C55176">
      <w:pPr>
        <w:pStyle w:val="ListBullet"/>
      </w:pPr>
      <w:r>
        <w:t>the Corporation’s state of affairs in the financial year subsequent to 30 June 2021.</w:t>
      </w:r>
    </w:p>
    <w:p w14:paraId="30C3070C" w14:textId="77777777" w:rsidR="005C05CB" w:rsidRDefault="005C05CB" w:rsidP="00C55176">
      <w:pPr>
        <w:pStyle w:val="Heading3"/>
      </w:pPr>
      <w:bookmarkStart w:id="1234" w:name="_Toc89723157"/>
      <w:bookmarkStart w:id="1235" w:name="_Ref89798947"/>
      <w:bookmarkStart w:id="1236" w:name="_Ref89806075"/>
      <w:bookmarkStart w:id="1237" w:name="_Ref89807419"/>
      <w:bookmarkStart w:id="1238" w:name="_Ref89844304"/>
      <w:bookmarkStart w:id="1239" w:name="_Ref89845831"/>
      <w:bookmarkStart w:id="1240" w:name="_Toc90326101"/>
      <w:bookmarkStart w:id="1241" w:name="_Toc93659507"/>
      <w:r>
        <w:t>7.8 Prospective accounting and reporting changes</w:t>
      </w:r>
      <w:bookmarkEnd w:id="1234"/>
      <w:bookmarkEnd w:id="1235"/>
      <w:bookmarkEnd w:id="1236"/>
      <w:bookmarkEnd w:id="1237"/>
      <w:bookmarkEnd w:id="1238"/>
      <w:bookmarkEnd w:id="1239"/>
      <w:bookmarkEnd w:id="1240"/>
      <w:bookmarkEnd w:id="1241"/>
    </w:p>
    <w:p w14:paraId="16B0E54F" w14:textId="40756A68" w:rsidR="005C05CB" w:rsidRDefault="005C05CB" w:rsidP="005C05CB">
      <w:pPr>
        <w:pStyle w:val="BodyText"/>
      </w:pPr>
      <w:r>
        <w:t>Certain amendments to accounting standards that are deemed relevant to the Corporation have been published, but are not</w:t>
      </w:r>
      <w:r w:rsidR="00C55176">
        <w:t xml:space="preserve"> </w:t>
      </w:r>
      <w:r>
        <w:t>mandatory for the 30 June 2021 reporting period. The Corporation has not adopted these amendments early in accordance with</w:t>
      </w:r>
      <w:r w:rsidR="00C55176">
        <w:t xml:space="preserve"> </w:t>
      </w:r>
      <w:r w:rsidR="00965CBF">
        <w:t>Department of Treasury and Finance</w:t>
      </w:r>
      <w:r>
        <w:t xml:space="preserve"> guidance.</w:t>
      </w:r>
    </w:p>
    <w:p w14:paraId="1B59D747" w14:textId="77777777" w:rsidR="005C05CB" w:rsidRDefault="005C05CB" w:rsidP="005C05CB">
      <w:pPr>
        <w:pStyle w:val="BodyText"/>
      </w:pPr>
      <w:r>
        <w:t>The Corporation's assessment of the impact of these amendments is set out below:</w:t>
      </w:r>
    </w:p>
    <w:p w14:paraId="1F30D935" w14:textId="3E98B0D8" w:rsidR="005C05CB" w:rsidRPr="00C55176" w:rsidRDefault="005C05CB" w:rsidP="005C05CB">
      <w:pPr>
        <w:pStyle w:val="BodyText"/>
        <w:rPr>
          <w:rStyle w:val="Bold"/>
          <w:i/>
          <w:iCs/>
        </w:rPr>
      </w:pPr>
      <w:r w:rsidRPr="00C55176">
        <w:rPr>
          <w:rStyle w:val="Bold"/>
          <w:i/>
          <w:iCs/>
        </w:rPr>
        <w:t>AASB 2020-1 Amendments to Australian Accounting Standards – Classification of Liabilities as Current or Non-Current.</w:t>
      </w:r>
      <w:r w:rsidR="00C55176" w:rsidRPr="00C55176">
        <w:rPr>
          <w:rStyle w:val="Bold"/>
          <w:i/>
          <w:iCs/>
        </w:rPr>
        <w:t xml:space="preserve"> </w:t>
      </w:r>
      <w:r w:rsidRPr="00C55176">
        <w:rPr>
          <w:rStyle w:val="Bold"/>
          <w:i/>
          <w:iCs/>
        </w:rPr>
        <w:t>(effective date: 01 January 2023)</w:t>
      </w:r>
    </w:p>
    <w:p w14:paraId="78A0B4CE" w14:textId="00E2E5C4" w:rsidR="005C05CB" w:rsidRDefault="005C05CB" w:rsidP="005C05CB">
      <w:pPr>
        <w:pStyle w:val="BodyText"/>
      </w:pPr>
      <w:r>
        <w:t>Amends AASB 101 to require a liability to be classified as current when companies do not have a substantive right to defer</w:t>
      </w:r>
      <w:r w:rsidR="00C55176">
        <w:t xml:space="preserve"> </w:t>
      </w:r>
      <w:r>
        <w:t>settlement at the end of the reporting period.</w:t>
      </w:r>
    </w:p>
    <w:p w14:paraId="257159A3" w14:textId="3CD69693" w:rsidR="005C05CB" w:rsidRPr="00C55176" w:rsidRDefault="005C05CB" w:rsidP="00617766">
      <w:pPr>
        <w:pStyle w:val="BodyText"/>
        <w:keepNext/>
        <w:rPr>
          <w:rStyle w:val="Bold"/>
          <w:i/>
          <w:iCs/>
        </w:rPr>
      </w:pPr>
      <w:bookmarkStart w:id="1242" w:name="AboutThisReportend"/>
      <w:r w:rsidRPr="00C55176">
        <w:rPr>
          <w:rStyle w:val="Bold"/>
          <w:i/>
          <w:iCs/>
        </w:rPr>
        <w:t xml:space="preserve">AASB 2020-3 Amendments to Australian Accounting Standards – Annual Improvements 2018-2020 </w:t>
      </w:r>
      <w:bookmarkEnd w:id="1242"/>
      <w:r w:rsidRPr="00C55176">
        <w:rPr>
          <w:rStyle w:val="Bold"/>
          <w:i/>
          <w:iCs/>
        </w:rPr>
        <w:t>and Other Amendments</w:t>
      </w:r>
      <w:r w:rsidR="00C55176" w:rsidRPr="00C55176">
        <w:rPr>
          <w:rStyle w:val="Bold"/>
          <w:i/>
          <w:iCs/>
        </w:rPr>
        <w:t xml:space="preserve"> </w:t>
      </w:r>
      <w:r w:rsidRPr="00C55176">
        <w:rPr>
          <w:rStyle w:val="Bold"/>
          <w:i/>
          <w:iCs/>
        </w:rPr>
        <w:t>(effective date: 01 January 2022)</w:t>
      </w:r>
    </w:p>
    <w:p w14:paraId="08889923" w14:textId="77777777" w:rsidR="005C05CB" w:rsidRDefault="005C05CB" w:rsidP="005C05CB">
      <w:pPr>
        <w:pStyle w:val="BodyText"/>
      </w:pPr>
      <w:r>
        <w:t>Various minor amendments to existing accounting standards. particularly in relation to:</w:t>
      </w:r>
    </w:p>
    <w:p w14:paraId="4C054821" w14:textId="6F489F17" w:rsidR="005C05CB" w:rsidRDefault="005C05CB" w:rsidP="005C05CB">
      <w:pPr>
        <w:pStyle w:val="BodyText"/>
      </w:pPr>
      <w:r>
        <w:t>AASB 9 – to clarify the fees an entity includes when assessing whether the terms of a new or modified financial liability are</w:t>
      </w:r>
      <w:r w:rsidR="00C55176">
        <w:t xml:space="preserve"> </w:t>
      </w:r>
      <w:r>
        <w:t xml:space="preserve">substantially different from the terms of the original financial liability. </w:t>
      </w:r>
    </w:p>
    <w:p w14:paraId="0AEB5867" w14:textId="00BE303F" w:rsidR="005C05CB" w:rsidRDefault="005C05CB" w:rsidP="005C05CB">
      <w:pPr>
        <w:pStyle w:val="BodyText"/>
      </w:pPr>
      <w:r>
        <w:t>AASB 116 – to require an entity to recognise the sales proceeds from selling items produced while preparing infrastructure,</w:t>
      </w:r>
      <w:r w:rsidR="00C55176">
        <w:t xml:space="preserve"> </w:t>
      </w:r>
      <w:r>
        <w:t>property, plant and equipment for its intended use and the related cost in profit or loss, instead of deducting the amounts received</w:t>
      </w:r>
      <w:r w:rsidR="00C55176">
        <w:t xml:space="preserve"> </w:t>
      </w:r>
      <w:r>
        <w:t>from the cost of the asset.</w:t>
      </w:r>
    </w:p>
    <w:p w14:paraId="1B9E1B97" w14:textId="0D5B5D04" w:rsidR="005C05CB" w:rsidRDefault="005C05CB" w:rsidP="005C05CB">
      <w:pPr>
        <w:pStyle w:val="BodyText"/>
      </w:pPr>
      <w:r>
        <w:lastRenderedPageBreak/>
        <w:t>AASB 137 Provisions, Contingent Liabilities and Contingent Assets – to specify the costs that an entity includes when assessing</w:t>
      </w:r>
      <w:r w:rsidR="00C55176">
        <w:t xml:space="preserve"> </w:t>
      </w:r>
      <w:r>
        <w:t>whether a contract will be loss-making.</w:t>
      </w:r>
    </w:p>
    <w:p w14:paraId="63023860" w14:textId="1F01E974" w:rsidR="005C05CB" w:rsidRDefault="005C05CB" w:rsidP="005C05CB">
      <w:pPr>
        <w:pStyle w:val="BodyText"/>
      </w:pPr>
      <w:r>
        <w:t>Management has concluded that these are not likely to have a material impact on Corporation's financial statements in future</w:t>
      </w:r>
      <w:r w:rsidR="00C55176">
        <w:t xml:space="preserve"> </w:t>
      </w:r>
      <w:r>
        <w:t>reporting periods.</w:t>
      </w:r>
    </w:p>
    <w:p w14:paraId="5F676613" w14:textId="61087C30" w:rsidR="00596594" w:rsidRDefault="00362D3D" w:rsidP="00362D3D">
      <w:pPr>
        <w:pStyle w:val="BodyText"/>
        <w:pageBreakBefore/>
        <w:jc w:val="right"/>
      </w:pPr>
      <w:r>
        <w:rPr>
          <w:noProof/>
        </w:rPr>
        <w:lastRenderedPageBreak/>
        <w:drawing>
          <wp:inline distT="0" distB="0" distL="0" distR="0" wp14:anchorId="1D912FA1" wp14:editId="1CC035FA">
            <wp:extent cx="1600000" cy="752381"/>
            <wp:effectExtent l="0" t="0" r="635" b="0"/>
            <wp:docPr id="6" name="Picture 6" descr="Victorian Auditor-General'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n Auditor-General's Office logo."/>
                    <pic:cNvPicPr/>
                  </pic:nvPicPr>
                  <pic:blipFill>
                    <a:blip r:embed="rId32">
                      <a:extLst>
                        <a:ext uri="{28A0092B-C50C-407E-A947-70E740481C1C}">
                          <a14:useLocalDpi xmlns:a14="http://schemas.microsoft.com/office/drawing/2010/main" val="0"/>
                        </a:ext>
                      </a:extLst>
                    </a:blip>
                    <a:stretch>
                      <a:fillRect/>
                    </a:stretch>
                  </pic:blipFill>
                  <pic:spPr>
                    <a:xfrm>
                      <a:off x="0" y="0"/>
                      <a:ext cx="1600000" cy="752381"/>
                    </a:xfrm>
                    <a:prstGeom prst="rect">
                      <a:avLst/>
                    </a:prstGeom>
                  </pic:spPr>
                </pic:pic>
              </a:graphicData>
            </a:graphic>
          </wp:inline>
        </w:drawing>
      </w:r>
    </w:p>
    <w:p w14:paraId="01AC7175" w14:textId="77777777" w:rsidR="00362D3D" w:rsidRDefault="00362D3D" w:rsidP="000B1EBD">
      <w:pPr>
        <w:pStyle w:val="Heading2"/>
      </w:pPr>
      <w:bookmarkStart w:id="1243" w:name="_Toc89723158"/>
      <w:bookmarkStart w:id="1244" w:name="_Toc89723248"/>
      <w:bookmarkStart w:id="1245" w:name="_Toc89723308"/>
      <w:bookmarkStart w:id="1246" w:name="_Toc89860574"/>
      <w:bookmarkStart w:id="1247" w:name="_Toc89860718"/>
      <w:bookmarkStart w:id="1248" w:name="_Toc90326102"/>
      <w:bookmarkStart w:id="1249" w:name="_Toc93659508"/>
      <w:r>
        <w:t>Independent Auditor’s Report</w:t>
      </w:r>
      <w:bookmarkEnd w:id="1243"/>
      <w:bookmarkEnd w:id="1244"/>
      <w:bookmarkEnd w:id="1245"/>
      <w:bookmarkEnd w:id="1246"/>
      <w:bookmarkEnd w:id="1247"/>
      <w:bookmarkEnd w:id="1248"/>
      <w:bookmarkEnd w:id="1249"/>
    </w:p>
    <w:p w14:paraId="5FDE8113" w14:textId="77777777" w:rsidR="00362D3D" w:rsidRDefault="00362D3D" w:rsidP="00675B24">
      <w:pPr>
        <w:pStyle w:val="BodyTextBold"/>
      </w:pPr>
      <w:r>
        <w:t>To the Board of the Melbourne Water Corporation</w:t>
      </w:r>
    </w:p>
    <w:p w14:paraId="2553746A" w14:textId="77777777" w:rsidR="00675B24" w:rsidRDefault="00362D3D" w:rsidP="00675B24">
      <w:pPr>
        <w:pStyle w:val="BodyTextBold"/>
      </w:pPr>
      <w:r>
        <w:t>Opinion</w:t>
      </w:r>
    </w:p>
    <w:p w14:paraId="237466E7" w14:textId="596435C9" w:rsidR="00362D3D" w:rsidRDefault="00362D3D" w:rsidP="00362D3D">
      <w:pPr>
        <w:pStyle w:val="BodyText"/>
      </w:pPr>
      <w:r>
        <w:t>I have audited the financial report of the Melbourne Water Corporation (the corporation)</w:t>
      </w:r>
      <w:r w:rsidR="00675B24">
        <w:t xml:space="preserve"> </w:t>
      </w:r>
      <w:r>
        <w:t>which comprises the:</w:t>
      </w:r>
    </w:p>
    <w:p w14:paraId="616912D6" w14:textId="38995AFF" w:rsidR="00362D3D" w:rsidRDefault="00362D3D" w:rsidP="00675B24">
      <w:pPr>
        <w:pStyle w:val="ListBullet"/>
      </w:pPr>
      <w:r>
        <w:t>statement of financial position as at 30 June 2021</w:t>
      </w:r>
    </w:p>
    <w:p w14:paraId="17047E5A" w14:textId="6E44A8EC" w:rsidR="00362D3D" w:rsidRDefault="00362D3D" w:rsidP="00675B24">
      <w:pPr>
        <w:pStyle w:val="ListBullet"/>
      </w:pPr>
      <w:r>
        <w:t>statement of profit or loss and other comprehensive income for the year then ended</w:t>
      </w:r>
    </w:p>
    <w:p w14:paraId="226FF7AC" w14:textId="5B116017" w:rsidR="00362D3D" w:rsidRDefault="00362D3D" w:rsidP="00675B24">
      <w:pPr>
        <w:pStyle w:val="ListBullet"/>
      </w:pPr>
      <w:r>
        <w:t>statement of changes in equity for the year then ended</w:t>
      </w:r>
    </w:p>
    <w:p w14:paraId="3C7D4512" w14:textId="44A04406" w:rsidR="00362D3D" w:rsidRDefault="00362D3D" w:rsidP="00675B24">
      <w:pPr>
        <w:pStyle w:val="ListBullet"/>
      </w:pPr>
      <w:r>
        <w:t>statement of cash flows for the year then ended</w:t>
      </w:r>
    </w:p>
    <w:p w14:paraId="2CCF973C" w14:textId="535E62B6" w:rsidR="00362D3D" w:rsidRDefault="00362D3D" w:rsidP="00675B24">
      <w:pPr>
        <w:pStyle w:val="ListBullet"/>
      </w:pPr>
      <w:r>
        <w:t>notes to the financial statements, including significant accounting policies</w:t>
      </w:r>
    </w:p>
    <w:p w14:paraId="32E9AE84" w14:textId="66FDB35C" w:rsidR="00362D3D" w:rsidRDefault="00362D3D" w:rsidP="00675B24">
      <w:pPr>
        <w:pStyle w:val="ListBullet"/>
      </w:pPr>
      <w:r>
        <w:t>statement by Directors and Chief Financial Officer.</w:t>
      </w:r>
    </w:p>
    <w:p w14:paraId="1DB065DF" w14:textId="77777777" w:rsidR="00362D3D" w:rsidRDefault="00362D3D" w:rsidP="00362D3D">
      <w:pPr>
        <w:pStyle w:val="BodyText"/>
      </w:pPr>
      <w:r>
        <w:t xml:space="preserve">In my opinion, the financial report presents fairly, in all material respects, the financial position of the corporation as at 30 June 2021 and its financial performance and cash flows for the year then ended in accordance with the financial reporting requirements of Part 7 of the </w:t>
      </w:r>
      <w:r w:rsidRPr="00675B24">
        <w:rPr>
          <w:rStyle w:val="ItalicText"/>
        </w:rPr>
        <w:t>Financial Management Act 1994</w:t>
      </w:r>
      <w:r>
        <w:t xml:space="preserve"> and applicable Australian Accounting Standards.</w:t>
      </w:r>
    </w:p>
    <w:p w14:paraId="715DFB01" w14:textId="0B4B6DEB" w:rsidR="00362D3D" w:rsidRDefault="00362D3D" w:rsidP="00675B24">
      <w:pPr>
        <w:pStyle w:val="BodyTextBold"/>
      </w:pPr>
      <w:r>
        <w:t>Basis for</w:t>
      </w:r>
      <w:r w:rsidR="00675B24">
        <w:t xml:space="preserve"> </w:t>
      </w:r>
      <w:r>
        <w:t>Opinion</w:t>
      </w:r>
    </w:p>
    <w:p w14:paraId="3D73460E" w14:textId="77777777" w:rsidR="00362D3D" w:rsidRDefault="00362D3D" w:rsidP="00362D3D">
      <w:pPr>
        <w:pStyle w:val="BodyText"/>
      </w:pPr>
      <w:r>
        <w:t xml:space="preserve">I have conducted my audit in accordance with the </w:t>
      </w:r>
      <w:r w:rsidRPr="00675B24">
        <w:rPr>
          <w:rStyle w:val="ItalicText"/>
        </w:rPr>
        <w:t>Audit Act 1994</w:t>
      </w:r>
      <w:r>
        <w:t xml:space="preserve"> which incorporates the Australian Auditing Standards. I further describe my responsibilities under that Act and those standards in the Auditor’s Responsibilities for the Audit of the Financial Report section of my report.</w:t>
      </w:r>
    </w:p>
    <w:p w14:paraId="3CCE295B" w14:textId="77777777" w:rsidR="00362D3D" w:rsidRDefault="00362D3D" w:rsidP="00362D3D">
      <w:pPr>
        <w:pStyle w:val="BodyText"/>
      </w:pPr>
      <w:r>
        <w:t xml:space="preserve">My independence is established by the </w:t>
      </w:r>
      <w:r w:rsidRPr="00675B24">
        <w:rPr>
          <w:rStyle w:val="ItalicText"/>
        </w:rPr>
        <w:t>Constitution Act 1975</w:t>
      </w:r>
      <w:r>
        <w:t>. My staff and I are independent of the corporation in accordance with the ethical requirements of the Accounting Professional and Ethical Standards Board’s APES 110 Code of Ethics for Professional Accountants (the Code) that are relevant to my audit of the financial report in Victoria. My staff and I have also fulfilled our other ethical responsibilities in accordance with the Code.</w:t>
      </w:r>
    </w:p>
    <w:p w14:paraId="4C155576" w14:textId="77777777" w:rsidR="00362D3D" w:rsidRDefault="00362D3D" w:rsidP="00362D3D">
      <w:pPr>
        <w:pStyle w:val="BodyText"/>
      </w:pPr>
      <w:r>
        <w:t>I believe that the audit evidence I have obtained is sufficient and appropriate to provide a basis for my opinion.</w:t>
      </w:r>
    </w:p>
    <w:p w14:paraId="4BA11E38" w14:textId="77777777" w:rsidR="00362D3D" w:rsidRDefault="00362D3D" w:rsidP="00675B24">
      <w:pPr>
        <w:pStyle w:val="BodyTextBold"/>
      </w:pPr>
      <w:r>
        <w:t>Key audit matters</w:t>
      </w:r>
    </w:p>
    <w:p w14:paraId="3DD6A423" w14:textId="413AA9F4" w:rsidR="002A7587" w:rsidRDefault="00362D3D" w:rsidP="00362D3D">
      <w:pPr>
        <w:pStyle w:val="BodyText"/>
      </w:pPr>
      <w:r>
        <w:t>Key audit matters are those matters that, in my professional judgement, were of most significance in my audit of the financial report of the current period. These matters were addressed in the context of my audit of the financial report as a whole, and in forming my opinion thereon, and I do not provide a separate opinion on these matters.</w:t>
      </w:r>
    </w:p>
    <w:p w14:paraId="44AC03ED" w14:textId="69FEF1BE" w:rsidR="00675B24" w:rsidRDefault="00675B24" w:rsidP="00675B24">
      <w:pPr>
        <w:pStyle w:val="BodyTextBold"/>
      </w:pPr>
      <w:r>
        <w:t>Recognition and Measurement of Service Concession Arrangement assets and liabilities - the Victorian Desalination Plant (the VDP)</w:t>
      </w:r>
    </w:p>
    <w:p w14:paraId="0296D21B" w14:textId="5947773F" w:rsidR="00ED41C7" w:rsidRDefault="00675B24" w:rsidP="00675B24">
      <w:pPr>
        <w:pStyle w:val="BodyText"/>
      </w:pPr>
      <w:r>
        <w:t xml:space="preserve">Note 5.4 – </w:t>
      </w:r>
      <w:r w:rsidR="00DC0A06">
        <w:t>Victorian Desalination Plant</w:t>
      </w:r>
      <w:r>
        <w:t xml:space="preserve"> Service Concession Arrangements</w:t>
      </w:r>
    </w:p>
    <w:tbl>
      <w:tblPr>
        <w:tblStyle w:val="TableGrid"/>
        <w:tblW w:w="5000" w:type="pct"/>
        <w:tblLook w:val="04A0" w:firstRow="1" w:lastRow="0" w:firstColumn="1" w:lastColumn="0" w:noHBand="0" w:noVBand="1"/>
      </w:tblPr>
      <w:tblGrid>
        <w:gridCol w:w="4815"/>
        <w:gridCol w:w="4816"/>
      </w:tblGrid>
      <w:tr w:rsidR="00ED41C7" w:rsidRPr="006D01CB" w14:paraId="5B24F27E"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2500" w:type="pct"/>
            <w:vAlign w:val="bottom"/>
          </w:tcPr>
          <w:p w14:paraId="580EA0A5" w14:textId="546D7206" w:rsidR="00ED41C7" w:rsidRPr="006D01CB" w:rsidRDefault="00ED41C7" w:rsidP="002D2C34">
            <w:pPr>
              <w:rPr>
                <w:szCs w:val="18"/>
              </w:rPr>
            </w:pPr>
            <w:bookmarkStart w:id="1250" w:name="ColumnTitle_108"/>
            <w:r w:rsidRPr="006D01CB">
              <w:rPr>
                <w:szCs w:val="18"/>
              </w:rPr>
              <w:lastRenderedPageBreak/>
              <w:t>Key audit matter</w:t>
            </w:r>
          </w:p>
        </w:tc>
        <w:tc>
          <w:tcPr>
            <w:tcW w:w="2500" w:type="pct"/>
            <w:vAlign w:val="bottom"/>
          </w:tcPr>
          <w:p w14:paraId="4435B31B" w14:textId="5D3617D4" w:rsidR="00ED41C7" w:rsidRPr="006D01CB" w:rsidRDefault="00ED41C7" w:rsidP="002D2C34">
            <w:pPr>
              <w:rPr>
                <w:szCs w:val="18"/>
              </w:rPr>
            </w:pPr>
            <w:r w:rsidRPr="006D01CB">
              <w:rPr>
                <w:szCs w:val="18"/>
              </w:rPr>
              <w:t>How I addressed the matter</w:t>
            </w:r>
          </w:p>
        </w:tc>
      </w:tr>
      <w:bookmarkEnd w:id="1250"/>
      <w:tr w:rsidR="00ED41C7" w:rsidRPr="006D01CB" w14:paraId="4CD9FAA8" w14:textId="77777777" w:rsidTr="00ED41C7">
        <w:tc>
          <w:tcPr>
            <w:tcW w:w="2500" w:type="pct"/>
          </w:tcPr>
          <w:p w14:paraId="0CEF82FE" w14:textId="6845EA72" w:rsidR="00ED41C7" w:rsidRPr="006D01CB" w:rsidRDefault="00DC0A06" w:rsidP="006D01CB">
            <w:pPr>
              <w:pStyle w:val="TableBodyText"/>
              <w:rPr>
                <w:rStyle w:val="Bold"/>
              </w:rPr>
            </w:pPr>
            <w:r>
              <w:rPr>
                <w:rStyle w:val="Bold"/>
              </w:rPr>
              <w:t>Victorian Desalination Plant</w:t>
            </w:r>
            <w:r w:rsidR="00ED41C7" w:rsidRPr="006D01CB">
              <w:rPr>
                <w:rStyle w:val="Bold"/>
              </w:rPr>
              <w:t xml:space="preserve"> Service Concession Assets: $4.040 billion</w:t>
            </w:r>
          </w:p>
          <w:p w14:paraId="5B80FC2D" w14:textId="7A5ECD8A" w:rsidR="00ED41C7" w:rsidRPr="006D01CB" w:rsidRDefault="00DC0A06" w:rsidP="006D01CB">
            <w:pPr>
              <w:pStyle w:val="TableBodyText"/>
              <w:rPr>
                <w:rStyle w:val="Bold"/>
              </w:rPr>
            </w:pPr>
            <w:r>
              <w:rPr>
                <w:rStyle w:val="Bold"/>
              </w:rPr>
              <w:t>Victorian Desalination Plant</w:t>
            </w:r>
            <w:r w:rsidR="00ED41C7" w:rsidRPr="006D01CB">
              <w:rPr>
                <w:rStyle w:val="Bold"/>
              </w:rPr>
              <w:t xml:space="preserve"> Service Concession liability: $3.565 billion</w:t>
            </w:r>
          </w:p>
          <w:p w14:paraId="7E572322" w14:textId="7976710F" w:rsidR="00ED41C7" w:rsidRPr="006D01CB" w:rsidRDefault="00DC0A06" w:rsidP="006D01CB">
            <w:pPr>
              <w:pStyle w:val="TableBodyText"/>
              <w:rPr>
                <w:rStyle w:val="Bold"/>
              </w:rPr>
            </w:pPr>
            <w:r>
              <w:rPr>
                <w:rStyle w:val="Bold"/>
              </w:rPr>
              <w:t>Victorian Desalination Plant</w:t>
            </w:r>
            <w:r w:rsidR="00ED41C7" w:rsidRPr="006D01CB">
              <w:rPr>
                <w:rStyle w:val="Bold"/>
              </w:rPr>
              <w:t xml:space="preserve"> commitment disclosures:</w:t>
            </w:r>
          </w:p>
          <w:p w14:paraId="6FEBD8EB" w14:textId="092BE310" w:rsidR="00ED41C7" w:rsidRPr="006D01CB" w:rsidRDefault="00ED41C7" w:rsidP="006D01CB">
            <w:pPr>
              <w:pStyle w:val="TableBullet"/>
            </w:pPr>
            <w:r w:rsidRPr="006D01CB">
              <w:t>Minimum future payments: $8.675 billion</w:t>
            </w:r>
          </w:p>
          <w:p w14:paraId="45ED9C18" w14:textId="574B91F9" w:rsidR="00ED41C7" w:rsidRPr="006D01CB" w:rsidRDefault="00ED41C7" w:rsidP="006D01CB">
            <w:pPr>
              <w:pStyle w:val="TableBullet"/>
            </w:pPr>
            <w:r w:rsidRPr="006D01CB">
              <w:t>Other expense commitments: $3.963 billion</w:t>
            </w:r>
          </w:p>
          <w:p w14:paraId="478A0DC6" w14:textId="73B29BF9" w:rsidR="00ED41C7" w:rsidRPr="006D01CB" w:rsidRDefault="00ED41C7" w:rsidP="006D01CB">
            <w:pPr>
              <w:pStyle w:val="TableBodyText"/>
              <w:rPr>
                <w:szCs w:val="20"/>
              </w:rPr>
            </w:pPr>
            <w:r w:rsidRPr="006D01CB">
              <w:rPr>
                <w:szCs w:val="20"/>
              </w:rPr>
              <w:t>I considered this to be a key audit matter because:</w:t>
            </w:r>
          </w:p>
          <w:p w14:paraId="13EA76A5" w14:textId="4DB83F8E" w:rsidR="00ED41C7" w:rsidRPr="006D01CB" w:rsidRDefault="00ED41C7" w:rsidP="006D01CB">
            <w:pPr>
              <w:pStyle w:val="TableBullet"/>
            </w:pPr>
            <w:r w:rsidRPr="006D01CB">
              <w:t xml:space="preserve">the </w:t>
            </w:r>
            <w:r w:rsidR="00DC0A06">
              <w:t>Victorian Desalination Plant</w:t>
            </w:r>
            <w:r w:rsidRPr="006D01CB">
              <w:t xml:space="preserve"> assets, liability and future commitments are financially significant</w:t>
            </w:r>
          </w:p>
          <w:p w14:paraId="4F0657CA" w14:textId="5A86BB37" w:rsidR="00ED41C7" w:rsidRPr="006D01CB" w:rsidRDefault="00ED41C7" w:rsidP="006D01CB">
            <w:pPr>
              <w:pStyle w:val="TableBullet"/>
            </w:pPr>
            <w:r w:rsidRPr="006D01CB">
              <w:t>the contractual rights and obligations are complex</w:t>
            </w:r>
          </w:p>
          <w:p w14:paraId="50C65503" w14:textId="5A345341" w:rsidR="00ED41C7" w:rsidRPr="006D01CB" w:rsidRDefault="00ED41C7" w:rsidP="006D01CB">
            <w:pPr>
              <w:pStyle w:val="TableBullet"/>
            </w:pPr>
            <w:r w:rsidRPr="006D01CB">
              <w:t>the corporation places significant reliance on the Department of Environment, Land, Water and Planning (DELWP) for information to account for and disclose its financial liability and commitments</w:t>
            </w:r>
          </w:p>
          <w:p w14:paraId="68435EE6" w14:textId="3575FAAD" w:rsidR="00ED41C7" w:rsidRPr="006D01CB" w:rsidRDefault="00ED41C7" w:rsidP="006D01CB">
            <w:pPr>
              <w:pStyle w:val="TableBullet"/>
            </w:pPr>
            <w:r w:rsidRPr="006D01CB">
              <w:t>the service concession arrangement (SCA) liability and commitments model is highly complex, involves significant management judgements and is underpinned by various subjective assumptions</w:t>
            </w:r>
          </w:p>
          <w:p w14:paraId="50E66875" w14:textId="7BA7A5EF" w:rsidR="00ED41C7" w:rsidRPr="006D01CB" w:rsidRDefault="00ED41C7" w:rsidP="006D01CB">
            <w:pPr>
              <w:pStyle w:val="TableBullet"/>
            </w:pPr>
            <w:r w:rsidRPr="006D01CB">
              <w:t xml:space="preserve">the application of AASB </w:t>
            </w:r>
            <w:r w:rsidRPr="006D01CB">
              <w:rPr>
                <w:rStyle w:val="ItalicText"/>
              </w:rPr>
              <w:t>1059 Service Concession Arrangements: Grantors</w:t>
            </w:r>
            <w:r w:rsidRPr="006D01CB">
              <w:t xml:space="preserve"> involves significant management judgement, and the accounting and disclosures are complex and require interpretation</w:t>
            </w:r>
          </w:p>
          <w:p w14:paraId="54F003FB" w14:textId="7477B3AA" w:rsidR="00ED41C7" w:rsidRPr="006D01CB" w:rsidRDefault="00ED41C7" w:rsidP="006D01CB">
            <w:pPr>
              <w:pStyle w:val="TableBullet"/>
            </w:pPr>
            <w:r w:rsidRPr="006D01CB">
              <w:t xml:space="preserve">the </w:t>
            </w:r>
            <w:r w:rsidR="004C682B">
              <w:t>service concession arrangement</w:t>
            </w:r>
            <w:r w:rsidRPr="006D01CB">
              <w:t xml:space="preserve"> liability’s carrying value and commitments are sensitive to small changes in the contractual terms and conditions, including refinancing amendments</w:t>
            </w:r>
          </w:p>
          <w:p w14:paraId="0545EE65" w14:textId="154AB320" w:rsidR="00ED41C7" w:rsidRPr="006D01CB" w:rsidRDefault="00ED41C7" w:rsidP="006D01CB">
            <w:pPr>
              <w:pStyle w:val="TableBullet"/>
            </w:pPr>
            <w:r w:rsidRPr="006D01CB">
              <w:t xml:space="preserve">the fair value estimate of the </w:t>
            </w:r>
            <w:r w:rsidR="00DC0A06">
              <w:t>Victorian Desalination Plant</w:t>
            </w:r>
            <w:r w:rsidRPr="006D01CB">
              <w:t xml:space="preserve"> asset is derived using a current replacement cost method</w:t>
            </w:r>
          </w:p>
          <w:p w14:paraId="3377A3E4" w14:textId="7745F2AA" w:rsidR="00ED41C7" w:rsidRPr="006D01CB" w:rsidRDefault="00ED41C7" w:rsidP="006D01CB">
            <w:pPr>
              <w:pStyle w:val="TableBullet"/>
            </w:pPr>
            <w:r w:rsidRPr="006D01CB">
              <w:t>the commitment disclosures involve significant management judgements and estimates, and amendments were required in prior years.</w:t>
            </w:r>
          </w:p>
        </w:tc>
        <w:tc>
          <w:tcPr>
            <w:tcW w:w="2500" w:type="pct"/>
          </w:tcPr>
          <w:p w14:paraId="7A7A6168" w14:textId="77777777" w:rsidR="00ED41C7" w:rsidRPr="006D01CB" w:rsidRDefault="00ED41C7" w:rsidP="006D01CB">
            <w:pPr>
              <w:pStyle w:val="TableBodyText"/>
            </w:pPr>
            <w:r w:rsidRPr="006D01CB">
              <w:t xml:space="preserve">My key procedures included: </w:t>
            </w:r>
          </w:p>
          <w:p w14:paraId="123E23B6" w14:textId="04369E88" w:rsidR="00ED41C7" w:rsidRPr="006D01CB" w:rsidRDefault="00ED41C7" w:rsidP="006D01CB">
            <w:pPr>
              <w:pStyle w:val="TableBullet"/>
            </w:pPr>
            <w:r w:rsidRPr="006D01CB">
              <w:t>reviewing the key contractual changes for the current year</w:t>
            </w:r>
          </w:p>
          <w:p w14:paraId="44D14EC4" w14:textId="0063CB1F" w:rsidR="00ED41C7" w:rsidRPr="006D01CB" w:rsidRDefault="00ED41C7" w:rsidP="006D01CB">
            <w:pPr>
              <w:pStyle w:val="TableBullet"/>
            </w:pPr>
            <w:r w:rsidRPr="006D01CB">
              <w:t xml:space="preserve">reviewing and assessing management’s accounting policy for the application of AASB 1059 and the re-financing adjustments against the requirements of AASB 9 </w:t>
            </w:r>
            <w:r w:rsidRPr="006D01CB">
              <w:rPr>
                <w:rStyle w:val="ItalicText"/>
              </w:rPr>
              <w:t>Financial Instruments</w:t>
            </w:r>
          </w:p>
          <w:p w14:paraId="7B464AEA" w14:textId="09FF893E" w:rsidR="00ED41C7" w:rsidRPr="006D01CB" w:rsidRDefault="00ED41C7" w:rsidP="006D01CB">
            <w:pPr>
              <w:pStyle w:val="TableBullet"/>
            </w:pPr>
            <w:r w:rsidRPr="006D01CB">
              <w:t xml:space="preserve">engaging a subject matter expert to assist in obtaining sufficient, appropriate audit evidence for the </w:t>
            </w:r>
            <w:r w:rsidR="004C682B">
              <w:t>service concession arrangement</w:t>
            </w:r>
            <w:r w:rsidRPr="006D01CB">
              <w:t xml:space="preserve"> liability and commitment disclosures, including the:</w:t>
            </w:r>
          </w:p>
          <w:p w14:paraId="008A6B79" w14:textId="4F514F71" w:rsidR="00ED41C7" w:rsidRPr="006D01CB" w:rsidRDefault="00ED41C7" w:rsidP="006D01CB">
            <w:pPr>
              <w:pStyle w:val="TableBullet2"/>
            </w:pPr>
            <w:r w:rsidRPr="006D01CB">
              <w:t>reasonableness and consistency of the liability model assumptions</w:t>
            </w:r>
          </w:p>
          <w:p w14:paraId="7A79850E" w14:textId="6DDFDA57" w:rsidR="00ED41C7" w:rsidRPr="006D01CB" w:rsidRDefault="00ED41C7" w:rsidP="006D01CB">
            <w:pPr>
              <w:pStyle w:val="TableBullet2"/>
            </w:pPr>
            <w:r w:rsidRPr="006D01CB">
              <w:t>identification of any model or assumption changes</w:t>
            </w:r>
          </w:p>
          <w:p w14:paraId="251C7732" w14:textId="1F6F44A5" w:rsidR="00ED41C7" w:rsidRPr="006D01CB" w:rsidRDefault="00ED41C7" w:rsidP="006D01CB">
            <w:pPr>
              <w:pStyle w:val="TableBullet2"/>
            </w:pPr>
            <w:r w:rsidRPr="006D01CB">
              <w:t>reasonableness of model inputs, with specific reference to underlying data and supporting documentation</w:t>
            </w:r>
          </w:p>
          <w:p w14:paraId="50157721" w14:textId="156E17CE" w:rsidR="00ED41C7" w:rsidRPr="006D01CB" w:rsidRDefault="00ED41C7" w:rsidP="006D01CB">
            <w:pPr>
              <w:pStyle w:val="TableBullet2"/>
            </w:pPr>
            <w:r w:rsidRPr="006D01CB">
              <w:t>model’s computational accuracy</w:t>
            </w:r>
          </w:p>
          <w:p w14:paraId="62880F24" w14:textId="3E78F551" w:rsidR="00ED41C7" w:rsidRPr="006D01CB" w:rsidRDefault="00ED41C7" w:rsidP="006D01CB">
            <w:pPr>
              <w:pStyle w:val="TableBullet2"/>
            </w:pPr>
            <w:r w:rsidRPr="006D01CB">
              <w:t>appropriateness of re-financing adjustments</w:t>
            </w:r>
          </w:p>
          <w:p w14:paraId="2C605731" w14:textId="19AF1C38" w:rsidR="00ED41C7" w:rsidRPr="006D01CB" w:rsidRDefault="00ED41C7" w:rsidP="006D01CB">
            <w:pPr>
              <w:pStyle w:val="TableBullet2"/>
            </w:pPr>
            <w:r w:rsidRPr="006D01CB">
              <w:t>appropriateness of all related financial report disclosures as required by AASB 1059</w:t>
            </w:r>
          </w:p>
          <w:p w14:paraId="53002343" w14:textId="75583680" w:rsidR="00ED41C7" w:rsidRPr="006D01CB" w:rsidRDefault="00ED41C7" w:rsidP="006D01CB">
            <w:pPr>
              <w:pStyle w:val="TableBullet"/>
            </w:pPr>
            <w:r w:rsidRPr="006D01CB">
              <w:t xml:space="preserve">engaging a subject matter expert to review and assess the approach used by the corporation in determining the current replacement cost of the </w:t>
            </w:r>
            <w:r w:rsidR="00DC0A06">
              <w:t>Victorian Desalination Plant</w:t>
            </w:r>
            <w:r w:rsidRPr="006D01CB">
              <w:t xml:space="preserve"> asset, including the appropriateness and reasonableness of the assumptions</w:t>
            </w:r>
          </w:p>
          <w:p w14:paraId="636F2B95" w14:textId="5EFA8087" w:rsidR="00ED41C7" w:rsidRPr="006D01CB" w:rsidRDefault="00ED41C7" w:rsidP="006D01CB">
            <w:pPr>
              <w:pStyle w:val="TableBullet"/>
            </w:pPr>
            <w:r w:rsidRPr="006D01CB">
              <w:t>evaluating both the subject matter expert's reports, including assessing it for consistency with other audit</w:t>
            </w:r>
            <w:r w:rsidR="0064324D" w:rsidRPr="006D01CB">
              <w:t xml:space="preserve"> </w:t>
            </w:r>
            <w:r w:rsidRPr="006D01CB">
              <w:t>evidence obtained, and the relevance and</w:t>
            </w:r>
            <w:r w:rsidR="0064324D" w:rsidRPr="006D01CB">
              <w:t xml:space="preserve"> </w:t>
            </w:r>
            <w:r w:rsidRPr="006D01CB">
              <w:t>reasonableness of their workings and concluding the</w:t>
            </w:r>
            <w:r w:rsidR="0064324D" w:rsidRPr="006D01CB">
              <w:t xml:space="preserve"> </w:t>
            </w:r>
            <w:r w:rsidRPr="006D01CB">
              <w:t>work was adequate for the purposes of our audit</w:t>
            </w:r>
          </w:p>
          <w:p w14:paraId="0FD72CAF" w14:textId="10776FE0" w:rsidR="00ED41C7" w:rsidRPr="006D01CB" w:rsidRDefault="00ED41C7" w:rsidP="006D01CB">
            <w:pPr>
              <w:pStyle w:val="TableBullet"/>
              <w:rPr>
                <w:szCs w:val="20"/>
              </w:rPr>
            </w:pPr>
            <w:r w:rsidRPr="006D01CB">
              <w:t xml:space="preserve">obtaining the corporation's representation from </w:t>
            </w:r>
            <w:r w:rsidR="0030196D">
              <w:t>Department of Environment, Land, Water and Planning</w:t>
            </w:r>
            <w:r w:rsidR="0064324D" w:rsidRPr="006D01CB">
              <w:t xml:space="preserve"> </w:t>
            </w:r>
            <w:r w:rsidRPr="006D01CB">
              <w:t>relating to the underlying data for the accounting and</w:t>
            </w:r>
            <w:r w:rsidR="0064324D" w:rsidRPr="006D01CB">
              <w:t xml:space="preserve"> </w:t>
            </w:r>
            <w:r w:rsidRPr="006D01CB">
              <w:t>disclosures.</w:t>
            </w:r>
          </w:p>
        </w:tc>
      </w:tr>
    </w:tbl>
    <w:p w14:paraId="050C43BE" w14:textId="77777777" w:rsidR="0064324D" w:rsidRDefault="0064324D" w:rsidP="0064324D">
      <w:pPr>
        <w:pStyle w:val="BodyTextBold"/>
      </w:pPr>
      <w:r>
        <w:t xml:space="preserve">The Fair Value Estimate of Infrastructure Assets </w:t>
      </w:r>
    </w:p>
    <w:p w14:paraId="5A14D7D1" w14:textId="428F7CC1" w:rsidR="00675B24" w:rsidRDefault="0064324D" w:rsidP="0064324D">
      <w:pPr>
        <w:pStyle w:val="BodyText"/>
      </w:pPr>
      <w:r>
        <w:t>Note 4.1 – Land, Buildings, Infrastructure, Plant and Equipment</w:t>
      </w:r>
    </w:p>
    <w:tbl>
      <w:tblPr>
        <w:tblStyle w:val="TableGrid"/>
        <w:tblW w:w="5000" w:type="pct"/>
        <w:tblLook w:val="04A0" w:firstRow="1" w:lastRow="0" w:firstColumn="1" w:lastColumn="0" w:noHBand="0" w:noVBand="1"/>
      </w:tblPr>
      <w:tblGrid>
        <w:gridCol w:w="4815"/>
        <w:gridCol w:w="4816"/>
      </w:tblGrid>
      <w:tr w:rsidR="0064324D" w:rsidRPr="006D01CB" w14:paraId="29DA8E81"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2500" w:type="pct"/>
            <w:vAlign w:val="bottom"/>
          </w:tcPr>
          <w:p w14:paraId="4806B89D" w14:textId="77777777" w:rsidR="0064324D" w:rsidRPr="006D01CB" w:rsidRDefault="0064324D" w:rsidP="002D2C34">
            <w:bookmarkStart w:id="1251" w:name="ColumnTitle_109"/>
            <w:r w:rsidRPr="006D01CB">
              <w:t>Key audit matter</w:t>
            </w:r>
          </w:p>
        </w:tc>
        <w:tc>
          <w:tcPr>
            <w:tcW w:w="2500" w:type="pct"/>
            <w:vAlign w:val="bottom"/>
          </w:tcPr>
          <w:p w14:paraId="44E54024" w14:textId="77777777" w:rsidR="0064324D" w:rsidRPr="006D01CB" w:rsidRDefault="0064324D" w:rsidP="002D2C34">
            <w:r w:rsidRPr="006D01CB">
              <w:t>How I addressed the matter</w:t>
            </w:r>
          </w:p>
        </w:tc>
      </w:tr>
      <w:bookmarkEnd w:id="1251"/>
      <w:tr w:rsidR="0064324D" w:rsidRPr="00ED41C7" w14:paraId="6E090D3C" w14:textId="77777777" w:rsidTr="00C778D6">
        <w:tc>
          <w:tcPr>
            <w:tcW w:w="2500" w:type="pct"/>
          </w:tcPr>
          <w:p w14:paraId="5ED7B6C6" w14:textId="0E64F4B0" w:rsidR="0064324D" w:rsidRPr="006D01CB" w:rsidRDefault="0064324D" w:rsidP="006D01CB">
            <w:pPr>
              <w:pStyle w:val="TableBodyText"/>
              <w:rPr>
                <w:rStyle w:val="Bold"/>
              </w:rPr>
            </w:pPr>
            <w:r w:rsidRPr="006D01CB">
              <w:rPr>
                <w:rStyle w:val="Bold"/>
              </w:rPr>
              <w:t>Fair value estimate of Infrastructure assets: $8.942 billion.</w:t>
            </w:r>
          </w:p>
          <w:p w14:paraId="148BB8E7" w14:textId="520BC25A" w:rsidR="0064324D" w:rsidRDefault="0064324D" w:rsidP="006D01CB">
            <w:pPr>
              <w:pStyle w:val="TableBodyText"/>
            </w:pPr>
            <w:r>
              <w:t>I considered this to be a key audit matter because:</w:t>
            </w:r>
          </w:p>
          <w:p w14:paraId="11EC38B8" w14:textId="571493A2" w:rsidR="0064324D" w:rsidRDefault="0064324D" w:rsidP="006D01CB">
            <w:pPr>
              <w:pStyle w:val="TableBullet"/>
            </w:pPr>
            <w:r>
              <w:t>infrastructure assets are financially significant to the corporation</w:t>
            </w:r>
          </w:p>
          <w:p w14:paraId="0472F201" w14:textId="03874DD7" w:rsidR="0064324D" w:rsidRDefault="0064324D" w:rsidP="006D01CB">
            <w:pPr>
              <w:pStyle w:val="TableBullet"/>
            </w:pPr>
            <w:r>
              <w:t>the fair value estimate is derived from an income-based valuation approach that uses a discounted cashflow (DCF) model</w:t>
            </w:r>
          </w:p>
          <w:p w14:paraId="3FB2E3E2" w14:textId="2AC077B1" w:rsidR="0064324D" w:rsidRDefault="0064324D" w:rsidP="006D01CB">
            <w:pPr>
              <w:pStyle w:val="TableBullet"/>
            </w:pPr>
            <w:r>
              <w:t>the fair value estimate relies on management’s use of an external valuation expert</w:t>
            </w:r>
          </w:p>
          <w:p w14:paraId="14E5815F" w14:textId="04B769B1" w:rsidR="0064324D" w:rsidRDefault="0064324D" w:rsidP="006D01CB">
            <w:pPr>
              <w:pStyle w:val="TableBullet"/>
            </w:pPr>
            <w:r>
              <w:lastRenderedPageBreak/>
              <w:t>the DCF model is highly complex and involves significant management judgements, underpinned by various subjective assumptions</w:t>
            </w:r>
          </w:p>
          <w:p w14:paraId="44B960E3" w14:textId="6B4DCD0D" w:rsidR="0064324D" w:rsidRDefault="0064324D" w:rsidP="006D01CB">
            <w:pPr>
              <w:pStyle w:val="TableBullet"/>
            </w:pPr>
            <w:r>
              <w:t xml:space="preserve">the calculated value is sensitive to small changes in key assumptions used in the </w:t>
            </w:r>
            <w:r w:rsidR="004C682B">
              <w:t>Discounted Cashflow</w:t>
            </w:r>
            <w:r>
              <w:t xml:space="preserve"> model</w:t>
            </w:r>
          </w:p>
          <w:p w14:paraId="44FA5ADF" w14:textId="3388ACC0" w:rsidR="0064324D" w:rsidRDefault="0064324D" w:rsidP="006D01CB">
            <w:pPr>
              <w:pStyle w:val="TableBullet"/>
            </w:pPr>
            <w:r>
              <w:t>the model's forecast period is long, and includes a terminal value, which increases the difficulty in accurately estimating the fair value</w:t>
            </w:r>
          </w:p>
          <w:p w14:paraId="11DEC758" w14:textId="3B45B199" w:rsidR="0064324D" w:rsidRPr="00ED41C7" w:rsidRDefault="0064324D" w:rsidP="006D01CB">
            <w:pPr>
              <w:pStyle w:val="TableBullet"/>
            </w:pPr>
            <w:r>
              <w:t xml:space="preserve">accounting standard AASB 13 </w:t>
            </w:r>
            <w:r w:rsidRPr="0064324D">
              <w:rPr>
                <w:rStyle w:val="ItalicText"/>
              </w:rPr>
              <w:t>Fair Value Measurement</w:t>
            </w:r>
            <w:r>
              <w:t xml:space="preserve"> (AASB 13) and the Assistant Treasurer issued Financial Reporting Direction 103I </w:t>
            </w:r>
            <w:r w:rsidRPr="0064324D">
              <w:rPr>
                <w:rStyle w:val="ItalicText"/>
              </w:rPr>
              <w:t>Non-financial physical assets</w:t>
            </w:r>
            <w:r>
              <w:t xml:space="preserve"> (FRD 103I) both require extensive financial report disclosures.</w:t>
            </w:r>
          </w:p>
        </w:tc>
        <w:tc>
          <w:tcPr>
            <w:tcW w:w="2500" w:type="pct"/>
          </w:tcPr>
          <w:p w14:paraId="3F5E3CF1" w14:textId="77777777" w:rsidR="0064324D" w:rsidRDefault="0064324D" w:rsidP="006D01CB">
            <w:pPr>
              <w:pStyle w:val="TableBodyText"/>
            </w:pPr>
            <w:r>
              <w:lastRenderedPageBreak/>
              <w:t xml:space="preserve">My key procedures included: </w:t>
            </w:r>
          </w:p>
          <w:p w14:paraId="5549427C" w14:textId="56D7138E" w:rsidR="0064324D" w:rsidRDefault="0064324D" w:rsidP="006D01CB">
            <w:pPr>
              <w:pStyle w:val="TableBullet"/>
            </w:pPr>
            <w:r>
              <w:t>obtaining an understanding of management's approach to estimating the fair value of infrastructure</w:t>
            </w:r>
          </w:p>
          <w:p w14:paraId="44653F35" w14:textId="36278135" w:rsidR="0064324D" w:rsidRDefault="0064324D" w:rsidP="006D01CB">
            <w:pPr>
              <w:pStyle w:val="TableBullet"/>
            </w:pPr>
            <w:r>
              <w:t>assessing the competence and capability of management's expert engaged to assist with the valuation process</w:t>
            </w:r>
          </w:p>
          <w:p w14:paraId="3480782F" w14:textId="5715B553" w:rsidR="0064324D" w:rsidRDefault="0064324D" w:rsidP="006D01CB">
            <w:pPr>
              <w:pStyle w:val="TableBullet"/>
            </w:pPr>
            <w:r>
              <w:t>engaging a subject matter expert to assist us in obtaining sufficient appropriate audit evidence, including:</w:t>
            </w:r>
          </w:p>
          <w:p w14:paraId="7C3F8B21" w14:textId="0650E5EE" w:rsidR="0064324D" w:rsidRDefault="0064324D" w:rsidP="006D01CB">
            <w:pPr>
              <w:pStyle w:val="TableBullet2"/>
            </w:pPr>
            <w:r>
              <w:t>the appropriateness of using an income-based valuation approach</w:t>
            </w:r>
          </w:p>
          <w:p w14:paraId="0FC53A6F" w14:textId="4A94994C" w:rsidR="0064324D" w:rsidRDefault="0064324D" w:rsidP="006D01CB">
            <w:pPr>
              <w:pStyle w:val="TableBullet2"/>
            </w:pPr>
            <w:r>
              <w:t xml:space="preserve">the reasonableness and consistency of all the assumptions used in the </w:t>
            </w:r>
            <w:r w:rsidR="004C682B">
              <w:t>Discounted Cashflow</w:t>
            </w:r>
            <w:r>
              <w:t xml:space="preserve"> model</w:t>
            </w:r>
          </w:p>
          <w:p w14:paraId="115D8953" w14:textId="75288821" w:rsidR="0064324D" w:rsidRDefault="0064324D" w:rsidP="006D01CB">
            <w:pPr>
              <w:pStyle w:val="TableBullet2"/>
            </w:pPr>
            <w:r>
              <w:lastRenderedPageBreak/>
              <w:t xml:space="preserve">identification of any changes to the </w:t>
            </w:r>
            <w:r w:rsidR="004C682B">
              <w:t>Discounted Cashflow</w:t>
            </w:r>
            <w:r>
              <w:t xml:space="preserve"> model and/or assumptions</w:t>
            </w:r>
          </w:p>
          <w:p w14:paraId="3B184A80" w14:textId="2AA5052C" w:rsidR="0064324D" w:rsidRDefault="0064324D" w:rsidP="006D01CB">
            <w:pPr>
              <w:pStyle w:val="TableBullet2"/>
            </w:pPr>
            <w:r>
              <w:t>the reasonableness of all inputs used in the model, with specific reference to underlying data and supporting documentation</w:t>
            </w:r>
          </w:p>
          <w:p w14:paraId="2DEED463" w14:textId="7ADCC5B0" w:rsidR="0064324D" w:rsidRDefault="0064324D" w:rsidP="006D01CB">
            <w:pPr>
              <w:pStyle w:val="TableBullet2"/>
            </w:pPr>
            <w:r>
              <w:t xml:space="preserve">the </w:t>
            </w:r>
            <w:r w:rsidR="004C682B">
              <w:t>Discounted Cashflow</w:t>
            </w:r>
            <w:r>
              <w:t xml:space="preserve"> model’s computational accuracy</w:t>
            </w:r>
          </w:p>
          <w:p w14:paraId="58BA37F6" w14:textId="78D5B45C" w:rsidR="0064324D" w:rsidRDefault="0064324D" w:rsidP="006D01CB">
            <w:pPr>
              <w:pStyle w:val="TableBullet2"/>
            </w:pPr>
            <w:r>
              <w:t>the appropriateness of all infrastructure asset related financial report disclosures with regard to AASB 13 and FRD 103I, including the significant observable and unobservable inputs utilised in the model and the sensitivity analysis.</w:t>
            </w:r>
          </w:p>
          <w:p w14:paraId="5B6C8A78" w14:textId="2B4E0706" w:rsidR="0064324D" w:rsidRPr="00ED41C7" w:rsidRDefault="0064324D" w:rsidP="006D01CB">
            <w:pPr>
              <w:pStyle w:val="TableBullet"/>
            </w:pPr>
            <w:r>
              <w:t>evaluating our subject matter expert's workings and concluding the work was adequate for the purposes of our audit.</w:t>
            </w:r>
          </w:p>
        </w:tc>
      </w:tr>
    </w:tbl>
    <w:p w14:paraId="0E2E44B3" w14:textId="7607357B" w:rsidR="00675B24" w:rsidRDefault="0064324D" w:rsidP="0064324D">
      <w:pPr>
        <w:pStyle w:val="BodyTextBold"/>
      </w:pPr>
      <w:r>
        <w:lastRenderedPageBreak/>
        <w:t>Board’s responsibilities for the financial report</w:t>
      </w:r>
    </w:p>
    <w:p w14:paraId="38FADABF" w14:textId="690E3B62" w:rsidR="0064324D" w:rsidRDefault="0064324D" w:rsidP="0064324D">
      <w:pPr>
        <w:pStyle w:val="BodyText"/>
      </w:pPr>
      <w:r>
        <w:t xml:space="preserve">The Board of the corporation is responsible for the preparation and fair presentation of the financial report in accordance with Australian Accounting Standards and the </w:t>
      </w:r>
      <w:r w:rsidRPr="0064324D">
        <w:rPr>
          <w:rStyle w:val="ItalicText"/>
        </w:rPr>
        <w:t>Financial Management Act 1994</w:t>
      </w:r>
      <w:r>
        <w:t>, and for such internal control as the Board determines is necessary to enable the preparation and fair presentation of a financial report that is free from material misstatement, whether due to fraud or error.</w:t>
      </w:r>
    </w:p>
    <w:p w14:paraId="5BE4842C" w14:textId="266B0B92" w:rsidR="00675B24" w:rsidRDefault="0064324D" w:rsidP="0064324D">
      <w:pPr>
        <w:pStyle w:val="BodyText"/>
      </w:pPr>
      <w:r>
        <w:t>In preparing the financial report, the Board is responsible for assessing the corporation’s ability to continue as a going concern, disclosing, as applicable, matters related to going concern and using the going concern basis of accounting unless it is inappropriate to do so.</w:t>
      </w:r>
    </w:p>
    <w:p w14:paraId="73A7A532" w14:textId="71D72322" w:rsidR="0064324D" w:rsidRDefault="0064324D" w:rsidP="0064324D">
      <w:pPr>
        <w:pStyle w:val="BodyTextBold"/>
      </w:pPr>
      <w:r>
        <w:t>Auditor’s responsibilities for the audit of the financial report</w:t>
      </w:r>
    </w:p>
    <w:p w14:paraId="00CE8F7F" w14:textId="5DBED6F4" w:rsidR="0064324D" w:rsidRDefault="0064324D" w:rsidP="0064324D">
      <w:pPr>
        <w:pStyle w:val="BodyText"/>
      </w:pPr>
      <w:r>
        <w:t xml:space="preserve">As required by the </w:t>
      </w:r>
      <w:r w:rsidRPr="0064324D">
        <w:rPr>
          <w:rStyle w:val="ItalicText"/>
        </w:rPr>
        <w:t>Audit Act 1994</w:t>
      </w:r>
      <w:r>
        <w:t>, my responsibility is to express an opinion on the financial report</w:t>
      </w:r>
      <w:r w:rsidR="00005D4D">
        <w:t xml:space="preserve"> </w:t>
      </w:r>
      <w:r>
        <w:t>based on the audit. My objectives for the audit are to obtain reasonable assurance about whether</w:t>
      </w:r>
      <w:r w:rsidR="00005D4D">
        <w:t xml:space="preserve"> </w:t>
      </w:r>
      <w:r>
        <w:t>the financial report as a whole is free from material misstatement, whether due to fraud or error,</w:t>
      </w:r>
      <w:r w:rsidR="00005D4D">
        <w:t xml:space="preserve"> </w:t>
      </w:r>
      <w:r>
        <w:t>and to issue an auditor’s report that includes my opinion. Reasonable assurance is a high level of</w:t>
      </w:r>
      <w:r w:rsidR="00005D4D">
        <w:t xml:space="preserve"> </w:t>
      </w:r>
      <w:r>
        <w:t>assurance but is not a guarantee that an audit conducted in accordance with the Australian</w:t>
      </w:r>
      <w:r w:rsidR="00005D4D">
        <w:t xml:space="preserve"> </w:t>
      </w:r>
      <w:r>
        <w:t>Auditing Standards will always detect a material misstatement when it exists. Misstatements can</w:t>
      </w:r>
      <w:r w:rsidR="00005D4D">
        <w:t xml:space="preserve"> </w:t>
      </w:r>
      <w:r>
        <w:t>arise from fraud or error and are considered material if, individually or in the aggregate, they could</w:t>
      </w:r>
      <w:r w:rsidR="00005D4D">
        <w:t xml:space="preserve"> </w:t>
      </w:r>
      <w:r>
        <w:t>reasonably be expected to influence the economic decisions of users taken on the basis of this</w:t>
      </w:r>
      <w:r w:rsidR="00005D4D">
        <w:t xml:space="preserve"> </w:t>
      </w:r>
      <w:r>
        <w:t>financial report.</w:t>
      </w:r>
    </w:p>
    <w:p w14:paraId="0008D960" w14:textId="5B75F39B" w:rsidR="0064324D" w:rsidRDefault="0064324D" w:rsidP="0064324D">
      <w:pPr>
        <w:pStyle w:val="BodyText"/>
      </w:pPr>
      <w:r>
        <w:t>As part of an audit in accordance with the Australian Auditing Standards, I exercise professional</w:t>
      </w:r>
      <w:r w:rsidR="00005D4D">
        <w:t xml:space="preserve"> </w:t>
      </w:r>
      <w:r>
        <w:t>judgement and maintain professional scepticism throughout the audit. I also:</w:t>
      </w:r>
    </w:p>
    <w:p w14:paraId="330D11EE" w14:textId="646B5CF1" w:rsidR="0064324D" w:rsidRDefault="0064324D" w:rsidP="00C778D6">
      <w:pPr>
        <w:pStyle w:val="ListBullet"/>
      </w:pPr>
      <w:r>
        <w:t>identify and assess the risks of material misstatement of the financial report, whether due to</w:t>
      </w:r>
      <w:r w:rsidR="00005D4D">
        <w:t xml:space="preserve"> </w:t>
      </w:r>
      <w:r>
        <w:t>fraud or error, design and perform audit procedures responsive to those risks, and obtain</w:t>
      </w:r>
      <w:r w:rsidR="00005D4D">
        <w:t xml:space="preserve"> </w:t>
      </w:r>
      <w:r>
        <w:t>audit evidence that is sufficient and appropriate to provide a basis for our opinion. The risk</w:t>
      </w:r>
      <w:r w:rsidR="00005D4D">
        <w:t xml:space="preserve"> </w:t>
      </w:r>
      <w:r>
        <w:t>of not detecting a material misstatement resulting from fraud is higher than for one resulting</w:t>
      </w:r>
      <w:r w:rsidR="00005D4D">
        <w:t xml:space="preserve"> </w:t>
      </w:r>
      <w:r>
        <w:t>from error, as fraud may involve collusion, forgery, intentional omissions,</w:t>
      </w:r>
      <w:r w:rsidR="00005D4D">
        <w:t xml:space="preserve"> </w:t>
      </w:r>
      <w:r>
        <w:t>misrepresentations, or the override of internal control.</w:t>
      </w:r>
    </w:p>
    <w:p w14:paraId="7F03DEE8" w14:textId="6585F4C4" w:rsidR="0064324D" w:rsidRDefault="00005D4D" w:rsidP="00C778D6">
      <w:pPr>
        <w:pStyle w:val="ListBullet"/>
      </w:pPr>
      <w:r>
        <w:t>o</w:t>
      </w:r>
      <w:r w:rsidR="0064324D">
        <w:t>btain an understanding of internal control relevant to the audit in order to design audit</w:t>
      </w:r>
      <w:r>
        <w:t xml:space="preserve"> </w:t>
      </w:r>
      <w:r w:rsidR="0064324D">
        <w:t>procedures that are appropriate in the circumstances, but not for the purpose of expressing</w:t>
      </w:r>
      <w:r>
        <w:t xml:space="preserve"> </w:t>
      </w:r>
      <w:r w:rsidR="0064324D">
        <w:t>an opinion on the effectiveness of the corporation’s internal control</w:t>
      </w:r>
    </w:p>
    <w:p w14:paraId="3246C8E7" w14:textId="7D11F3B5" w:rsidR="0064324D" w:rsidRDefault="00005D4D" w:rsidP="00C778D6">
      <w:pPr>
        <w:pStyle w:val="ListBullet"/>
      </w:pPr>
      <w:r>
        <w:t>e</w:t>
      </w:r>
      <w:r w:rsidR="0064324D">
        <w:t>valuate the appropriateness of accounting policies used and the reasonableness of</w:t>
      </w:r>
      <w:r>
        <w:t xml:space="preserve"> </w:t>
      </w:r>
      <w:r w:rsidR="0064324D">
        <w:t>accounting estimates and related disclosures made by the Board</w:t>
      </w:r>
    </w:p>
    <w:p w14:paraId="34BBBD87" w14:textId="7DA74B26" w:rsidR="0064324D" w:rsidRDefault="00005D4D" w:rsidP="00E757F8">
      <w:pPr>
        <w:pStyle w:val="ListBullet"/>
        <w:keepLines/>
      </w:pPr>
      <w:r>
        <w:lastRenderedPageBreak/>
        <w:t>c</w:t>
      </w:r>
      <w:r w:rsidR="0064324D">
        <w:t>onclude on the appropriateness of the Board’s use of the going concern basis of accounting</w:t>
      </w:r>
      <w:r>
        <w:t xml:space="preserve"> </w:t>
      </w:r>
      <w:r w:rsidR="0064324D">
        <w:t>and, based on the audit evidence obtained, whether a material uncertainty exists related to</w:t>
      </w:r>
      <w:r>
        <w:t xml:space="preserve"> </w:t>
      </w:r>
      <w:r w:rsidR="0064324D">
        <w:t>events or conditions that may cast significant doubt on the corporation’s ability to continue</w:t>
      </w:r>
      <w:r>
        <w:t xml:space="preserve"> </w:t>
      </w:r>
      <w:r w:rsidR="0064324D">
        <w:t>as a going concern. If I conclude that a material uncertainty exists, I am required to draw</w:t>
      </w:r>
      <w:r>
        <w:t xml:space="preserve"> </w:t>
      </w:r>
      <w:r w:rsidR="0064324D">
        <w:t>attention in my auditor’s report to the related disclosures in the financial report or, if such</w:t>
      </w:r>
      <w:r>
        <w:t xml:space="preserve"> </w:t>
      </w:r>
      <w:r w:rsidR="0064324D">
        <w:t>disclosures are inadequate, to modify my opinion. My conclusions are based on the audit</w:t>
      </w:r>
      <w:r>
        <w:t xml:space="preserve"> </w:t>
      </w:r>
      <w:r w:rsidR="0064324D">
        <w:t>evidence obtained up to the date of my auditor’s report. However, future events or</w:t>
      </w:r>
      <w:r>
        <w:t xml:space="preserve"> </w:t>
      </w:r>
      <w:r w:rsidR="0064324D">
        <w:t>conditions may cause the corporation to cease to continue as a going concern.</w:t>
      </w:r>
    </w:p>
    <w:p w14:paraId="0A377736" w14:textId="16350CB7" w:rsidR="0064324D" w:rsidRDefault="00005D4D" w:rsidP="00C778D6">
      <w:pPr>
        <w:pStyle w:val="ListBullet"/>
      </w:pPr>
      <w:r>
        <w:t>e</w:t>
      </w:r>
      <w:r w:rsidR="0064324D">
        <w:t>valuate the overall presentation, structure and content of the financial report, including the</w:t>
      </w:r>
      <w:r>
        <w:t xml:space="preserve"> </w:t>
      </w:r>
      <w:r w:rsidR="0064324D">
        <w:t>disclosures, and whether the financial report represents the underlying transactions and</w:t>
      </w:r>
      <w:r>
        <w:t xml:space="preserve"> </w:t>
      </w:r>
      <w:r w:rsidR="0064324D">
        <w:t>events in a manner that achieves fair presentation.</w:t>
      </w:r>
    </w:p>
    <w:p w14:paraId="28B571DD" w14:textId="377F15B8" w:rsidR="0064324D" w:rsidRDefault="0064324D" w:rsidP="0064324D">
      <w:pPr>
        <w:pStyle w:val="BodyText"/>
      </w:pPr>
      <w:r>
        <w:t>I communicate with the Board regarding, among other matters, the planned scope and timing of</w:t>
      </w:r>
      <w:r w:rsidR="00005D4D">
        <w:t xml:space="preserve"> </w:t>
      </w:r>
      <w:r>
        <w:t>the audit and significant audit findings, including any significant deficiencies in internal control that</w:t>
      </w:r>
      <w:r w:rsidR="00005D4D">
        <w:t xml:space="preserve"> </w:t>
      </w:r>
      <w:r>
        <w:t>I identify during my audit. From the matters communicated with the Board, I determine those</w:t>
      </w:r>
      <w:r w:rsidR="00005D4D">
        <w:t xml:space="preserve"> </w:t>
      </w:r>
      <w:r>
        <w:t>matters that were of most significance in the audit of the financial report of the current period and</w:t>
      </w:r>
      <w:r w:rsidR="00005D4D">
        <w:t xml:space="preserve"> </w:t>
      </w:r>
      <w:r>
        <w:t>are therefore key audit matters. I describe these matters in the auditor’s report unless law or</w:t>
      </w:r>
      <w:r w:rsidR="00005D4D">
        <w:t xml:space="preserve"> </w:t>
      </w:r>
      <w:r>
        <w:t>regulation precludes public disclosure about the matter or when, in extremely rare circumstances, I</w:t>
      </w:r>
      <w:r w:rsidR="00005D4D">
        <w:t xml:space="preserve"> </w:t>
      </w:r>
      <w:r>
        <w:t>determine that a matter should not be communicated in the auditor’s report because the adverse</w:t>
      </w:r>
      <w:r w:rsidR="00005D4D">
        <w:t xml:space="preserve"> </w:t>
      </w:r>
      <w:r>
        <w:t>consequences of doing so would reasonably be expected to outweigh the public interest benefits of</w:t>
      </w:r>
      <w:r w:rsidR="00005D4D">
        <w:t xml:space="preserve"> </w:t>
      </w:r>
      <w:r>
        <w:t>such communication.</w:t>
      </w:r>
    </w:p>
    <w:p w14:paraId="050B1E36" w14:textId="2F485E18" w:rsidR="00005D4D" w:rsidRDefault="00005D4D" w:rsidP="00005D4D">
      <w:r>
        <w:t>Melbourne</w:t>
      </w:r>
    </w:p>
    <w:p w14:paraId="1692B824" w14:textId="77777777" w:rsidR="00005D4D" w:rsidRDefault="00005D4D" w:rsidP="00005D4D">
      <w:r>
        <w:t xml:space="preserve">2 </w:t>
      </w:r>
      <w:r w:rsidRPr="00005D4D">
        <w:t>September</w:t>
      </w:r>
      <w:r>
        <w:t xml:space="preserve"> 2021</w:t>
      </w:r>
    </w:p>
    <w:p w14:paraId="6E0D9074" w14:textId="77777777" w:rsidR="00005D4D" w:rsidRDefault="00005D4D" w:rsidP="00005D4D">
      <w:pPr>
        <w:spacing w:before="120"/>
      </w:pPr>
      <w:r w:rsidRPr="00005D4D">
        <w:t>Paul</w:t>
      </w:r>
      <w:r>
        <w:t xml:space="preserve"> Martin</w:t>
      </w:r>
    </w:p>
    <w:p w14:paraId="2170FFE6" w14:textId="196BA250" w:rsidR="00005D4D" w:rsidRDefault="00005D4D" w:rsidP="00005D4D">
      <w:r>
        <w:t xml:space="preserve">as delegate for </w:t>
      </w:r>
      <w:r w:rsidRPr="00005D4D">
        <w:t>the</w:t>
      </w:r>
      <w:r>
        <w:t xml:space="preserve"> Auditor-General of Victoria</w:t>
      </w:r>
    </w:p>
    <w:p w14:paraId="72833270" w14:textId="10DA8798" w:rsidR="00005D4D" w:rsidRDefault="00005D4D" w:rsidP="00005D4D">
      <w:pPr>
        <w:pStyle w:val="Heading1"/>
      </w:pPr>
      <w:bookmarkStart w:id="1252" w:name="_Ref89718080"/>
      <w:bookmarkStart w:id="1253" w:name="_Toc89723159"/>
      <w:bookmarkStart w:id="1254" w:name="_Toc89723249"/>
      <w:bookmarkStart w:id="1255" w:name="_Toc89723309"/>
      <w:bookmarkStart w:id="1256" w:name="_Toc89860575"/>
      <w:bookmarkStart w:id="1257" w:name="_Toc89860719"/>
      <w:bookmarkStart w:id="1258" w:name="_Toc90326103"/>
      <w:bookmarkStart w:id="1259" w:name="_Toc93659509"/>
      <w:r>
        <w:lastRenderedPageBreak/>
        <w:t>Performance Reporting</w:t>
      </w:r>
      <w:bookmarkEnd w:id="1252"/>
      <w:bookmarkEnd w:id="1253"/>
      <w:bookmarkEnd w:id="1254"/>
      <w:bookmarkEnd w:id="1255"/>
      <w:bookmarkEnd w:id="1256"/>
      <w:bookmarkEnd w:id="1257"/>
      <w:bookmarkEnd w:id="1258"/>
      <w:bookmarkEnd w:id="1259"/>
    </w:p>
    <w:p w14:paraId="2A908207" w14:textId="6A6A9565" w:rsidR="00005D4D" w:rsidRDefault="00005D4D" w:rsidP="00005D4D">
      <w:pPr>
        <w:pStyle w:val="Heading2"/>
      </w:pPr>
      <w:bookmarkStart w:id="1260" w:name="_Toc89723160"/>
      <w:bookmarkStart w:id="1261" w:name="_Toc89723250"/>
      <w:bookmarkStart w:id="1262" w:name="_Toc89723310"/>
      <w:bookmarkStart w:id="1263" w:name="_Toc89860576"/>
      <w:bookmarkStart w:id="1264" w:name="_Toc89860720"/>
      <w:bookmarkStart w:id="1265" w:name="_Toc90326104"/>
      <w:bookmarkStart w:id="1266" w:name="_Toc93659510"/>
      <w:r>
        <w:t>Contents</w:t>
      </w:r>
      <w:bookmarkEnd w:id="1260"/>
      <w:bookmarkEnd w:id="1261"/>
      <w:bookmarkEnd w:id="1262"/>
      <w:bookmarkEnd w:id="1263"/>
      <w:bookmarkEnd w:id="1264"/>
      <w:bookmarkEnd w:id="1265"/>
      <w:bookmarkEnd w:id="1266"/>
    </w:p>
    <w:p w14:paraId="56363B23" w14:textId="496FF7A4" w:rsidR="00DD30CD" w:rsidRPr="00E44390" w:rsidRDefault="00DD30CD" w:rsidP="00DD30CD">
      <w:pPr>
        <w:tabs>
          <w:tab w:val="left" w:pos="4872"/>
        </w:tabs>
        <w:spacing w:before="40" w:after="40"/>
        <w:rPr>
          <w:color w:val="0000FF"/>
          <w:u w:val="single"/>
        </w:rPr>
      </w:pPr>
      <w:bookmarkStart w:id="1267" w:name="ColumnTitle_110"/>
      <w:r w:rsidRPr="00E44390">
        <w:t>Performance Report</w:t>
      </w:r>
      <w:r>
        <w:tab/>
      </w:r>
      <w:r w:rsidRPr="00E44390">
        <w:rPr>
          <w:color w:val="0000FF"/>
          <w:u w:val="single"/>
        </w:rPr>
        <w:fldChar w:fldCharType="begin"/>
      </w:r>
      <w:r w:rsidRPr="00E44390">
        <w:rPr>
          <w:color w:val="0000FF"/>
          <w:u w:val="single"/>
        </w:rPr>
        <w:instrText xml:space="preserve"> PAGEREF _Ref89842831 \h </w:instrText>
      </w:r>
      <w:r w:rsidRPr="00E44390">
        <w:rPr>
          <w:color w:val="0000FF"/>
          <w:u w:val="single"/>
        </w:rPr>
      </w:r>
      <w:r w:rsidRPr="00E44390">
        <w:rPr>
          <w:color w:val="0000FF"/>
          <w:u w:val="single"/>
        </w:rPr>
        <w:fldChar w:fldCharType="separate"/>
      </w:r>
      <w:r w:rsidR="00472151">
        <w:rPr>
          <w:noProof/>
          <w:color w:val="0000FF"/>
          <w:u w:val="single"/>
        </w:rPr>
        <w:t>93</w:t>
      </w:r>
      <w:r w:rsidRPr="00E44390">
        <w:rPr>
          <w:color w:val="0000FF"/>
          <w:u w:val="single"/>
        </w:rPr>
        <w:fldChar w:fldCharType="end"/>
      </w:r>
    </w:p>
    <w:bookmarkEnd w:id="1267"/>
    <w:p w14:paraId="79878D18" w14:textId="21B43C35" w:rsidR="00DD30CD" w:rsidRPr="00E44390" w:rsidRDefault="00DD30CD" w:rsidP="00DD30CD">
      <w:pPr>
        <w:tabs>
          <w:tab w:val="left" w:pos="4872"/>
        </w:tabs>
        <w:spacing w:before="40" w:after="40"/>
        <w:rPr>
          <w:u w:val="single"/>
        </w:rPr>
      </w:pPr>
      <w:r w:rsidRPr="00E44390">
        <w:t>Certification of Performance Report for 2020-21</w:t>
      </w:r>
      <w:r>
        <w:tab/>
      </w:r>
      <w:r w:rsidRPr="00E44390">
        <w:rPr>
          <w:color w:val="0000FF"/>
          <w:u w:val="single"/>
        </w:rPr>
        <w:fldChar w:fldCharType="begin"/>
      </w:r>
      <w:r w:rsidRPr="00E44390">
        <w:rPr>
          <w:color w:val="0000FF"/>
          <w:u w:val="single"/>
        </w:rPr>
        <w:instrText xml:space="preserve"> PAGEREF _Ref89842862 \h </w:instrText>
      </w:r>
      <w:r w:rsidRPr="00E44390">
        <w:rPr>
          <w:color w:val="0000FF"/>
          <w:u w:val="single"/>
        </w:rPr>
      </w:r>
      <w:r w:rsidRPr="00E44390">
        <w:rPr>
          <w:color w:val="0000FF"/>
          <w:u w:val="single"/>
        </w:rPr>
        <w:fldChar w:fldCharType="separate"/>
      </w:r>
      <w:r w:rsidR="00472151">
        <w:rPr>
          <w:noProof/>
          <w:color w:val="0000FF"/>
          <w:u w:val="single"/>
        </w:rPr>
        <w:t>93</w:t>
      </w:r>
      <w:r w:rsidRPr="00E44390">
        <w:rPr>
          <w:color w:val="0000FF"/>
          <w:u w:val="single"/>
        </w:rPr>
        <w:fldChar w:fldCharType="end"/>
      </w:r>
    </w:p>
    <w:p w14:paraId="603CDAB0" w14:textId="50F9F7A0" w:rsidR="00DD30CD" w:rsidRPr="00E44390" w:rsidRDefault="00DD30CD" w:rsidP="00DD30CD">
      <w:pPr>
        <w:tabs>
          <w:tab w:val="left" w:pos="4872"/>
        </w:tabs>
        <w:spacing w:before="40" w:after="40"/>
        <w:rPr>
          <w:color w:val="0000FF"/>
          <w:u w:val="single"/>
        </w:rPr>
      </w:pPr>
      <w:r w:rsidRPr="00E44390">
        <w:t>Auditor-General's Report</w:t>
      </w:r>
      <w:r w:rsidRPr="00E44390">
        <w:tab/>
      </w:r>
      <w:r w:rsidRPr="00E44390">
        <w:rPr>
          <w:color w:val="0000FF"/>
          <w:u w:val="single"/>
        </w:rPr>
        <w:fldChar w:fldCharType="begin"/>
      </w:r>
      <w:r w:rsidRPr="00E44390">
        <w:rPr>
          <w:color w:val="0000FF"/>
          <w:u w:val="single"/>
        </w:rPr>
        <w:instrText xml:space="preserve"> PAGEREF _Ref89842869 \h </w:instrText>
      </w:r>
      <w:r w:rsidRPr="00E44390">
        <w:rPr>
          <w:color w:val="0000FF"/>
          <w:u w:val="single"/>
        </w:rPr>
      </w:r>
      <w:r w:rsidRPr="00E44390">
        <w:rPr>
          <w:color w:val="0000FF"/>
          <w:u w:val="single"/>
        </w:rPr>
        <w:fldChar w:fldCharType="separate"/>
      </w:r>
      <w:r w:rsidR="00472151">
        <w:rPr>
          <w:noProof/>
          <w:color w:val="0000FF"/>
          <w:u w:val="single"/>
        </w:rPr>
        <w:t>93</w:t>
      </w:r>
      <w:r w:rsidRPr="00E44390">
        <w:rPr>
          <w:color w:val="0000FF"/>
          <w:u w:val="single"/>
        </w:rPr>
        <w:fldChar w:fldCharType="end"/>
      </w:r>
    </w:p>
    <w:p w14:paraId="5B65ECC5" w14:textId="00042FC7" w:rsidR="00005D4D" w:rsidRDefault="00005D4D" w:rsidP="00DD30CD">
      <w:pPr>
        <w:spacing w:before="360" w:after="40"/>
      </w:pPr>
      <w:bookmarkStart w:id="1268" w:name="_Toc89723161"/>
      <w:bookmarkStart w:id="1269" w:name="_Toc89723251"/>
      <w:bookmarkStart w:id="1270" w:name="_Toc89723311"/>
      <w:bookmarkStart w:id="1271" w:name="_Ref89806313"/>
      <w:bookmarkStart w:id="1272" w:name="_Ref89811616"/>
      <w:bookmarkStart w:id="1273" w:name="_Ref89842799"/>
      <w:bookmarkStart w:id="1274" w:name="_Ref89842831"/>
      <w:r>
        <w:t>Performance Report</w:t>
      </w:r>
      <w:bookmarkEnd w:id="1268"/>
      <w:bookmarkEnd w:id="1269"/>
      <w:bookmarkEnd w:id="1270"/>
      <w:bookmarkEnd w:id="1271"/>
      <w:bookmarkEnd w:id="1272"/>
      <w:bookmarkEnd w:id="1273"/>
      <w:bookmarkEnd w:id="1274"/>
    </w:p>
    <w:p w14:paraId="03D143D5" w14:textId="70392717" w:rsidR="0064324D" w:rsidRDefault="00005D4D" w:rsidP="00005D4D">
      <w:pPr>
        <w:pStyle w:val="Heading3"/>
      </w:pPr>
      <w:bookmarkStart w:id="1275" w:name="_Toc89723162"/>
      <w:bookmarkStart w:id="1276" w:name="_Toc90326105"/>
      <w:bookmarkStart w:id="1277" w:name="_Toc93659511"/>
      <w:r>
        <w:t>Financial Performance Indicators</w:t>
      </w:r>
      <w:bookmarkEnd w:id="1275"/>
      <w:bookmarkEnd w:id="1276"/>
      <w:bookmarkEnd w:id="1277"/>
    </w:p>
    <w:tbl>
      <w:tblPr>
        <w:tblStyle w:val="TableGrid"/>
        <w:tblW w:w="5000" w:type="pct"/>
        <w:tblLook w:val="04A0" w:firstRow="1" w:lastRow="0" w:firstColumn="1" w:lastColumn="0" w:noHBand="0" w:noVBand="1"/>
      </w:tblPr>
      <w:tblGrid>
        <w:gridCol w:w="852"/>
        <w:gridCol w:w="2697"/>
        <w:gridCol w:w="851"/>
        <w:gridCol w:w="849"/>
        <w:gridCol w:w="851"/>
        <w:gridCol w:w="1133"/>
        <w:gridCol w:w="709"/>
        <w:gridCol w:w="994"/>
        <w:gridCol w:w="695"/>
      </w:tblGrid>
      <w:tr w:rsidR="009D0A78" w:rsidRPr="007E1EE3" w14:paraId="55E94E49" w14:textId="77777777" w:rsidTr="00A54B77">
        <w:trPr>
          <w:cnfStyle w:val="100000000000" w:firstRow="1" w:lastRow="0" w:firstColumn="0" w:lastColumn="0" w:oddVBand="0" w:evenVBand="0" w:oddHBand="0" w:evenHBand="0" w:firstRowFirstColumn="0" w:firstRowLastColumn="0" w:lastRowFirstColumn="0" w:lastRowLastColumn="0"/>
          <w:trHeight w:val="20"/>
          <w:tblHeader/>
        </w:trPr>
        <w:tc>
          <w:tcPr>
            <w:tcW w:w="442" w:type="pct"/>
            <w:vAlign w:val="bottom"/>
          </w:tcPr>
          <w:p w14:paraId="5F4AFB92" w14:textId="0E947EEA" w:rsidR="00150950" w:rsidRPr="007E1EE3" w:rsidRDefault="009D0A78" w:rsidP="00322C1C">
            <w:pPr>
              <w:rPr>
                <w:b w:val="0"/>
              </w:rPr>
            </w:pPr>
            <w:bookmarkStart w:id="1278" w:name="ColumnTitle_111"/>
            <w:r w:rsidRPr="007E1EE3">
              <w:t xml:space="preserve">KPI Number </w:t>
            </w:r>
            <w:hyperlink w:anchor="Note1PerfNotes" w:history="1">
              <w:r w:rsidR="00D76D04" w:rsidRPr="007E1EE3">
                <w:rPr>
                  <w:rStyle w:val="Hyperlink"/>
                </w:rPr>
                <w:t>refer note 1</w:t>
              </w:r>
            </w:hyperlink>
          </w:p>
        </w:tc>
        <w:tc>
          <w:tcPr>
            <w:tcW w:w="1400" w:type="pct"/>
            <w:vAlign w:val="bottom"/>
          </w:tcPr>
          <w:p w14:paraId="5AA2072C" w14:textId="1A44B985" w:rsidR="009D0A78" w:rsidRPr="007E1EE3" w:rsidRDefault="009D0A78" w:rsidP="00322C1C">
            <w:r w:rsidRPr="007E1EE3">
              <w:t>Key Performance Indicator</w:t>
            </w:r>
          </w:p>
        </w:tc>
        <w:tc>
          <w:tcPr>
            <w:tcW w:w="442" w:type="pct"/>
            <w:vAlign w:val="bottom"/>
          </w:tcPr>
          <w:p w14:paraId="14FA1BD9" w14:textId="03CA8E36" w:rsidR="009D0A78" w:rsidRPr="007E1EE3" w:rsidRDefault="009D0A78" w:rsidP="00322C1C">
            <w:r w:rsidRPr="007E1EE3">
              <w:t>2019-20 Result</w:t>
            </w:r>
          </w:p>
        </w:tc>
        <w:tc>
          <w:tcPr>
            <w:tcW w:w="441" w:type="pct"/>
            <w:vAlign w:val="bottom"/>
          </w:tcPr>
          <w:p w14:paraId="5A0B06C8" w14:textId="5AA64912" w:rsidR="009D0A78" w:rsidRPr="007E1EE3" w:rsidRDefault="009D0A78" w:rsidP="00322C1C">
            <w:r w:rsidRPr="007E1EE3">
              <w:t>2020-21 Result</w:t>
            </w:r>
          </w:p>
        </w:tc>
        <w:tc>
          <w:tcPr>
            <w:tcW w:w="442" w:type="pct"/>
            <w:vAlign w:val="bottom"/>
          </w:tcPr>
          <w:p w14:paraId="74101446" w14:textId="035BAC55" w:rsidR="009D0A78" w:rsidRPr="007E1EE3" w:rsidRDefault="009D0A78" w:rsidP="00322C1C">
            <w:r w:rsidRPr="007E1EE3">
              <w:t>2020-21 Target</w:t>
            </w:r>
          </w:p>
        </w:tc>
        <w:tc>
          <w:tcPr>
            <w:tcW w:w="588" w:type="pct"/>
            <w:vAlign w:val="bottom"/>
          </w:tcPr>
          <w:p w14:paraId="27E6B7AB" w14:textId="6D92751E" w:rsidR="009D0A78" w:rsidRPr="007E1EE3" w:rsidRDefault="009D0A78" w:rsidP="00322C1C">
            <w:r w:rsidRPr="007E1EE3">
              <w:t>Variance to prior year</w:t>
            </w:r>
          </w:p>
        </w:tc>
        <w:tc>
          <w:tcPr>
            <w:tcW w:w="368" w:type="pct"/>
            <w:vAlign w:val="bottom"/>
          </w:tcPr>
          <w:p w14:paraId="5920E6DF" w14:textId="6F3DE1B7" w:rsidR="009D0A78" w:rsidRPr="007E1EE3" w:rsidRDefault="009D0A78" w:rsidP="00322C1C">
            <w:r w:rsidRPr="007E1EE3">
              <w:t>Notes</w:t>
            </w:r>
          </w:p>
        </w:tc>
        <w:tc>
          <w:tcPr>
            <w:tcW w:w="516" w:type="pct"/>
            <w:vAlign w:val="bottom"/>
          </w:tcPr>
          <w:p w14:paraId="5E45EB5A" w14:textId="14E3B637" w:rsidR="009D0A78" w:rsidRPr="007E1EE3" w:rsidRDefault="009D0A78" w:rsidP="00322C1C">
            <w:r w:rsidRPr="007E1EE3">
              <w:t>Variance to target</w:t>
            </w:r>
          </w:p>
        </w:tc>
        <w:tc>
          <w:tcPr>
            <w:tcW w:w="361" w:type="pct"/>
            <w:vAlign w:val="bottom"/>
          </w:tcPr>
          <w:p w14:paraId="3B62BC94" w14:textId="53EDAB9D" w:rsidR="009D0A78" w:rsidRPr="007E1EE3" w:rsidRDefault="009D0A78" w:rsidP="00322C1C">
            <w:r w:rsidRPr="007E1EE3">
              <w:t>Notes</w:t>
            </w:r>
          </w:p>
        </w:tc>
      </w:tr>
      <w:bookmarkEnd w:id="1278"/>
      <w:tr w:rsidR="009D0A78" w:rsidRPr="007E1EE3" w14:paraId="096F7515" w14:textId="77777777" w:rsidTr="0005664E">
        <w:trPr>
          <w:trHeight w:val="20"/>
        </w:trPr>
        <w:tc>
          <w:tcPr>
            <w:tcW w:w="442" w:type="pct"/>
          </w:tcPr>
          <w:p w14:paraId="4AB4D467" w14:textId="77777777" w:rsidR="009D0A78" w:rsidRPr="007E1EE3" w:rsidRDefault="009D0A78" w:rsidP="00322C1C">
            <w:pPr>
              <w:pStyle w:val="TableBodyText"/>
              <w:rPr>
                <w:szCs w:val="20"/>
              </w:rPr>
            </w:pPr>
            <w:r w:rsidRPr="007E1EE3">
              <w:rPr>
                <w:szCs w:val="20"/>
              </w:rPr>
              <w:t>F1</w:t>
            </w:r>
          </w:p>
        </w:tc>
        <w:tc>
          <w:tcPr>
            <w:tcW w:w="1400" w:type="pct"/>
          </w:tcPr>
          <w:p w14:paraId="16455846" w14:textId="77777777" w:rsidR="009D0A78" w:rsidRPr="007E1EE3" w:rsidRDefault="009D0A78" w:rsidP="00322C1C">
            <w:pPr>
              <w:pStyle w:val="TableBodyText"/>
              <w:rPr>
                <w:rStyle w:val="Bold"/>
                <w:szCs w:val="20"/>
              </w:rPr>
            </w:pPr>
            <w:r w:rsidRPr="007E1EE3">
              <w:rPr>
                <w:rStyle w:val="Bold"/>
                <w:szCs w:val="20"/>
              </w:rPr>
              <w:t>Cash Interest Cover</w:t>
            </w:r>
          </w:p>
          <w:p w14:paraId="7D583BA2" w14:textId="77777777" w:rsidR="009D0A78" w:rsidRPr="007E1EE3" w:rsidRDefault="009D0A78" w:rsidP="00322C1C">
            <w:pPr>
              <w:pStyle w:val="TableBodyText"/>
              <w:rPr>
                <w:szCs w:val="20"/>
              </w:rPr>
            </w:pPr>
            <w:r w:rsidRPr="007E1EE3">
              <w:rPr>
                <w:szCs w:val="20"/>
              </w:rPr>
              <w:t>Net operating cash flows before net interest and tax/net interest payments</w:t>
            </w:r>
          </w:p>
        </w:tc>
        <w:tc>
          <w:tcPr>
            <w:tcW w:w="442" w:type="pct"/>
          </w:tcPr>
          <w:p w14:paraId="78999AD2" w14:textId="77777777" w:rsidR="009D0A78" w:rsidRPr="007E1EE3" w:rsidRDefault="009D0A78" w:rsidP="00322C1C">
            <w:pPr>
              <w:pStyle w:val="TableBodyText"/>
              <w:rPr>
                <w:szCs w:val="20"/>
              </w:rPr>
            </w:pPr>
            <w:r w:rsidRPr="007E1EE3">
              <w:rPr>
                <w:szCs w:val="20"/>
              </w:rPr>
              <w:t>2.2</w:t>
            </w:r>
          </w:p>
        </w:tc>
        <w:tc>
          <w:tcPr>
            <w:tcW w:w="441" w:type="pct"/>
          </w:tcPr>
          <w:p w14:paraId="5D7A0D63" w14:textId="77777777" w:rsidR="009D0A78" w:rsidRPr="007E1EE3" w:rsidRDefault="009D0A78" w:rsidP="00322C1C">
            <w:pPr>
              <w:pStyle w:val="TableBodyText"/>
              <w:rPr>
                <w:szCs w:val="20"/>
              </w:rPr>
            </w:pPr>
            <w:r w:rsidRPr="007E1EE3">
              <w:rPr>
                <w:szCs w:val="20"/>
              </w:rPr>
              <w:t>2.2</w:t>
            </w:r>
          </w:p>
        </w:tc>
        <w:tc>
          <w:tcPr>
            <w:tcW w:w="442" w:type="pct"/>
          </w:tcPr>
          <w:p w14:paraId="5DB2942D" w14:textId="77777777" w:rsidR="009D0A78" w:rsidRPr="007E1EE3" w:rsidRDefault="009D0A78" w:rsidP="00322C1C">
            <w:pPr>
              <w:pStyle w:val="TableBodyText"/>
              <w:rPr>
                <w:szCs w:val="20"/>
              </w:rPr>
            </w:pPr>
            <w:r w:rsidRPr="007E1EE3">
              <w:rPr>
                <w:szCs w:val="20"/>
              </w:rPr>
              <w:t>2.0</w:t>
            </w:r>
          </w:p>
        </w:tc>
        <w:tc>
          <w:tcPr>
            <w:tcW w:w="588" w:type="pct"/>
          </w:tcPr>
          <w:p w14:paraId="45314F57" w14:textId="77777777" w:rsidR="009D0A78" w:rsidRPr="007E1EE3" w:rsidRDefault="009D0A78" w:rsidP="00322C1C">
            <w:pPr>
              <w:pStyle w:val="TableBodyText"/>
              <w:rPr>
                <w:szCs w:val="20"/>
              </w:rPr>
            </w:pPr>
            <w:r w:rsidRPr="007E1EE3">
              <w:rPr>
                <w:szCs w:val="20"/>
              </w:rPr>
              <w:t>0.0%</w:t>
            </w:r>
          </w:p>
        </w:tc>
        <w:tc>
          <w:tcPr>
            <w:tcW w:w="368" w:type="pct"/>
          </w:tcPr>
          <w:p w14:paraId="0FBDA4FC" w14:textId="28D64DCC" w:rsidR="009D0A78" w:rsidRPr="007E1EE3" w:rsidRDefault="009D0A78" w:rsidP="00322C1C">
            <w:pPr>
              <w:pStyle w:val="TableBodyText"/>
              <w:rPr>
                <w:szCs w:val="20"/>
              </w:rPr>
            </w:pPr>
            <w:r w:rsidRPr="007E1EE3">
              <w:rPr>
                <w:szCs w:val="20"/>
              </w:rPr>
              <w:t>N/A</w:t>
            </w:r>
          </w:p>
        </w:tc>
        <w:tc>
          <w:tcPr>
            <w:tcW w:w="516" w:type="pct"/>
          </w:tcPr>
          <w:p w14:paraId="1A35033E" w14:textId="77777777" w:rsidR="009D0A78" w:rsidRPr="007E1EE3" w:rsidRDefault="009D0A78" w:rsidP="00322C1C">
            <w:pPr>
              <w:pStyle w:val="TableBodyText"/>
              <w:rPr>
                <w:szCs w:val="20"/>
              </w:rPr>
            </w:pPr>
            <w:r w:rsidRPr="007E1EE3">
              <w:rPr>
                <w:szCs w:val="20"/>
              </w:rPr>
              <w:t>10.0%</w:t>
            </w:r>
          </w:p>
        </w:tc>
        <w:tc>
          <w:tcPr>
            <w:tcW w:w="361" w:type="pct"/>
          </w:tcPr>
          <w:p w14:paraId="09D347A0" w14:textId="71D5932C" w:rsidR="00150950" w:rsidRPr="007E1EE3" w:rsidRDefault="00926282" w:rsidP="00322C1C">
            <w:pPr>
              <w:pStyle w:val="TableBodyText"/>
              <w:rPr>
                <w:color w:val="0000FF"/>
                <w:szCs w:val="20"/>
                <w:u w:val="single"/>
              </w:rPr>
            </w:pPr>
            <w:hyperlink w:anchor="Note2PerfNotes" w:history="1">
              <w:r w:rsidR="00D76D04" w:rsidRPr="007E1EE3">
                <w:rPr>
                  <w:rStyle w:val="Hyperlink"/>
                  <w:szCs w:val="20"/>
                </w:rPr>
                <w:t>refer note 2</w:t>
              </w:r>
            </w:hyperlink>
          </w:p>
        </w:tc>
      </w:tr>
      <w:tr w:rsidR="009D0A78" w:rsidRPr="007E1EE3" w14:paraId="781F0299" w14:textId="77777777" w:rsidTr="0005664E">
        <w:trPr>
          <w:trHeight w:val="20"/>
        </w:trPr>
        <w:tc>
          <w:tcPr>
            <w:tcW w:w="442" w:type="pct"/>
          </w:tcPr>
          <w:p w14:paraId="13EB63B3" w14:textId="77777777" w:rsidR="009D0A78" w:rsidRPr="007E1EE3" w:rsidRDefault="009D0A78" w:rsidP="00322C1C">
            <w:pPr>
              <w:pStyle w:val="TableBodyText"/>
              <w:rPr>
                <w:szCs w:val="20"/>
              </w:rPr>
            </w:pPr>
            <w:r w:rsidRPr="007E1EE3">
              <w:rPr>
                <w:szCs w:val="20"/>
              </w:rPr>
              <w:t>F2</w:t>
            </w:r>
          </w:p>
        </w:tc>
        <w:tc>
          <w:tcPr>
            <w:tcW w:w="1400" w:type="pct"/>
          </w:tcPr>
          <w:p w14:paraId="632EE24E" w14:textId="77777777" w:rsidR="009D0A78" w:rsidRPr="007E1EE3" w:rsidRDefault="009D0A78" w:rsidP="00322C1C">
            <w:pPr>
              <w:pStyle w:val="TableBodyText"/>
              <w:rPr>
                <w:rStyle w:val="Bold"/>
                <w:szCs w:val="20"/>
              </w:rPr>
            </w:pPr>
            <w:r w:rsidRPr="007E1EE3">
              <w:rPr>
                <w:rStyle w:val="Bold"/>
                <w:szCs w:val="20"/>
              </w:rPr>
              <w:t>Gearing Ratio</w:t>
            </w:r>
          </w:p>
          <w:p w14:paraId="485C7EED" w14:textId="29062D57" w:rsidR="009D0A78" w:rsidRPr="007E1EE3" w:rsidRDefault="009D0A78" w:rsidP="00322C1C">
            <w:pPr>
              <w:pStyle w:val="TableBodyText"/>
              <w:rPr>
                <w:szCs w:val="20"/>
              </w:rPr>
            </w:pPr>
            <w:r w:rsidRPr="007E1EE3">
              <w:rPr>
                <w:szCs w:val="20"/>
              </w:rPr>
              <w:t>Total debt (including service concession liabilities and leases)/total assets * 100</w:t>
            </w:r>
          </w:p>
        </w:tc>
        <w:tc>
          <w:tcPr>
            <w:tcW w:w="442" w:type="pct"/>
          </w:tcPr>
          <w:p w14:paraId="1F7E2D15" w14:textId="09E996F0" w:rsidR="009D0A78" w:rsidRPr="007E1EE3" w:rsidRDefault="009D0A78" w:rsidP="00322C1C">
            <w:pPr>
              <w:pStyle w:val="TableBodyText"/>
              <w:rPr>
                <w:szCs w:val="20"/>
              </w:rPr>
            </w:pPr>
            <w:r w:rsidRPr="007E1EE3">
              <w:rPr>
                <w:szCs w:val="20"/>
              </w:rPr>
              <w:t>50.8%</w:t>
            </w:r>
          </w:p>
        </w:tc>
        <w:tc>
          <w:tcPr>
            <w:tcW w:w="441" w:type="pct"/>
          </w:tcPr>
          <w:p w14:paraId="46943015" w14:textId="4CE33AD6" w:rsidR="009D0A78" w:rsidRPr="007E1EE3" w:rsidRDefault="009D0A78" w:rsidP="00322C1C">
            <w:pPr>
              <w:pStyle w:val="TableBodyText"/>
              <w:rPr>
                <w:szCs w:val="20"/>
              </w:rPr>
            </w:pPr>
            <w:r w:rsidRPr="007E1EE3">
              <w:rPr>
                <w:szCs w:val="20"/>
              </w:rPr>
              <w:t>48.1%</w:t>
            </w:r>
          </w:p>
        </w:tc>
        <w:tc>
          <w:tcPr>
            <w:tcW w:w="442" w:type="pct"/>
          </w:tcPr>
          <w:p w14:paraId="3E056AF9" w14:textId="27CCF752" w:rsidR="009D0A78" w:rsidRPr="007E1EE3" w:rsidRDefault="009D0A78" w:rsidP="00322C1C">
            <w:pPr>
              <w:pStyle w:val="TableBodyText"/>
              <w:rPr>
                <w:szCs w:val="20"/>
              </w:rPr>
            </w:pPr>
            <w:r w:rsidRPr="007E1EE3">
              <w:rPr>
                <w:szCs w:val="20"/>
              </w:rPr>
              <w:t>51.3%</w:t>
            </w:r>
          </w:p>
        </w:tc>
        <w:tc>
          <w:tcPr>
            <w:tcW w:w="588" w:type="pct"/>
          </w:tcPr>
          <w:p w14:paraId="70E5A806" w14:textId="7C838A15" w:rsidR="009D0A78" w:rsidRPr="007E1EE3" w:rsidRDefault="009D0A78" w:rsidP="00322C1C">
            <w:pPr>
              <w:pStyle w:val="TableBodyText"/>
              <w:rPr>
                <w:szCs w:val="20"/>
              </w:rPr>
            </w:pPr>
            <w:r w:rsidRPr="007E1EE3">
              <w:rPr>
                <w:szCs w:val="20"/>
              </w:rPr>
              <w:t>5.3%</w:t>
            </w:r>
          </w:p>
        </w:tc>
        <w:tc>
          <w:tcPr>
            <w:tcW w:w="368" w:type="pct"/>
          </w:tcPr>
          <w:p w14:paraId="356BD8A7" w14:textId="4C14D175" w:rsidR="009D0A78" w:rsidRPr="007E1EE3" w:rsidRDefault="009D0A78" w:rsidP="00322C1C">
            <w:pPr>
              <w:pStyle w:val="TableBodyText"/>
              <w:rPr>
                <w:szCs w:val="20"/>
              </w:rPr>
            </w:pPr>
            <w:r w:rsidRPr="007E1EE3">
              <w:rPr>
                <w:szCs w:val="20"/>
              </w:rPr>
              <w:t>N/A</w:t>
            </w:r>
          </w:p>
        </w:tc>
        <w:tc>
          <w:tcPr>
            <w:tcW w:w="516" w:type="pct"/>
          </w:tcPr>
          <w:p w14:paraId="05635CDB" w14:textId="1B218CC9" w:rsidR="009D0A78" w:rsidRPr="007E1EE3" w:rsidRDefault="009D0A78" w:rsidP="00322C1C">
            <w:pPr>
              <w:pStyle w:val="TableBodyText"/>
              <w:rPr>
                <w:szCs w:val="20"/>
              </w:rPr>
            </w:pPr>
            <w:r w:rsidRPr="007E1EE3">
              <w:rPr>
                <w:szCs w:val="20"/>
              </w:rPr>
              <w:t>6.2%</w:t>
            </w:r>
          </w:p>
        </w:tc>
        <w:tc>
          <w:tcPr>
            <w:tcW w:w="361" w:type="pct"/>
          </w:tcPr>
          <w:p w14:paraId="4FEDFD66" w14:textId="7FC049EA" w:rsidR="009D0A78" w:rsidRPr="007E1EE3" w:rsidRDefault="009D0A78" w:rsidP="00322C1C">
            <w:pPr>
              <w:pStyle w:val="TableBodyText"/>
              <w:rPr>
                <w:szCs w:val="20"/>
              </w:rPr>
            </w:pPr>
            <w:r w:rsidRPr="007E1EE3">
              <w:rPr>
                <w:szCs w:val="20"/>
              </w:rPr>
              <w:t>N/A</w:t>
            </w:r>
          </w:p>
        </w:tc>
      </w:tr>
      <w:tr w:rsidR="009D0A78" w:rsidRPr="007E1EE3" w14:paraId="3D185618" w14:textId="77777777" w:rsidTr="0005664E">
        <w:trPr>
          <w:trHeight w:val="20"/>
        </w:trPr>
        <w:tc>
          <w:tcPr>
            <w:tcW w:w="442" w:type="pct"/>
          </w:tcPr>
          <w:p w14:paraId="1455B5E4" w14:textId="77777777" w:rsidR="009D0A78" w:rsidRPr="007E1EE3" w:rsidRDefault="009D0A78" w:rsidP="00322C1C">
            <w:pPr>
              <w:pStyle w:val="TableBodyText"/>
              <w:rPr>
                <w:szCs w:val="20"/>
              </w:rPr>
            </w:pPr>
            <w:r w:rsidRPr="007E1EE3">
              <w:rPr>
                <w:szCs w:val="20"/>
              </w:rPr>
              <w:t>F3</w:t>
            </w:r>
          </w:p>
        </w:tc>
        <w:tc>
          <w:tcPr>
            <w:tcW w:w="1400" w:type="pct"/>
          </w:tcPr>
          <w:p w14:paraId="372F9E7B" w14:textId="77777777" w:rsidR="009D0A78" w:rsidRPr="007E1EE3" w:rsidRDefault="009D0A78" w:rsidP="00322C1C">
            <w:pPr>
              <w:pStyle w:val="TableBodyText"/>
              <w:rPr>
                <w:rStyle w:val="Bold"/>
                <w:szCs w:val="20"/>
              </w:rPr>
            </w:pPr>
            <w:r w:rsidRPr="007E1EE3">
              <w:rPr>
                <w:rStyle w:val="Bold"/>
                <w:szCs w:val="20"/>
              </w:rPr>
              <w:t>Internal Financing Ratio</w:t>
            </w:r>
          </w:p>
          <w:p w14:paraId="7700AA51" w14:textId="0A1B0D23" w:rsidR="009D0A78" w:rsidRPr="007E1EE3" w:rsidRDefault="009D0A78" w:rsidP="00322C1C">
            <w:pPr>
              <w:pStyle w:val="TableBodyText"/>
              <w:rPr>
                <w:szCs w:val="20"/>
              </w:rPr>
            </w:pPr>
            <w:r w:rsidRPr="007E1EE3">
              <w:rPr>
                <w:szCs w:val="20"/>
              </w:rPr>
              <w:t>Net operating cash flow less dividends/net capital expenditure * 100</w:t>
            </w:r>
          </w:p>
        </w:tc>
        <w:tc>
          <w:tcPr>
            <w:tcW w:w="442" w:type="pct"/>
          </w:tcPr>
          <w:p w14:paraId="6611B830" w14:textId="77777777" w:rsidR="009D0A78" w:rsidRPr="007E1EE3" w:rsidRDefault="009D0A78" w:rsidP="00322C1C">
            <w:pPr>
              <w:pStyle w:val="TableBodyText"/>
              <w:rPr>
                <w:szCs w:val="20"/>
              </w:rPr>
            </w:pPr>
            <w:r w:rsidRPr="007E1EE3">
              <w:rPr>
                <w:szCs w:val="20"/>
              </w:rPr>
              <w:t>98.0%</w:t>
            </w:r>
          </w:p>
        </w:tc>
        <w:tc>
          <w:tcPr>
            <w:tcW w:w="441" w:type="pct"/>
          </w:tcPr>
          <w:p w14:paraId="11BB762B" w14:textId="77777777" w:rsidR="009D0A78" w:rsidRPr="007E1EE3" w:rsidRDefault="009D0A78" w:rsidP="00322C1C">
            <w:pPr>
              <w:pStyle w:val="TableBodyText"/>
              <w:rPr>
                <w:szCs w:val="20"/>
              </w:rPr>
            </w:pPr>
            <w:r w:rsidRPr="007E1EE3">
              <w:rPr>
                <w:szCs w:val="20"/>
              </w:rPr>
              <w:t>87.2%</w:t>
            </w:r>
          </w:p>
        </w:tc>
        <w:tc>
          <w:tcPr>
            <w:tcW w:w="442" w:type="pct"/>
          </w:tcPr>
          <w:p w14:paraId="5FC29F02" w14:textId="77777777" w:rsidR="009D0A78" w:rsidRPr="007E1EE3" w:rsidRDefault="009D0A78" w:rsidP="00322C1C">
            <w:pPr>
              <w:pStyle w:val="TableBodyText"/>
              <w:rPr>
                <w:szCs w:val="20"/>
              </w:rPr>
            </w:pPr>
            <w:r w:rsidRPr="007E1EE3">
              <w:rPr>
                <w:szCs w:val="20"/>
              </w:rPr>
              <w:t>70.9%</w:t>
            </w:r>
          </w:p>
        </w:tc>
        <w:tc>
          <w:tcPr>
            <w:tcW w:w="588" w:type="pct"/>
          </w:tcPr>
          <w:p w14:paraId="266A002E" w14:textId="77777777" w:rsidR="009D0A78" w:rsidRPr="007E1EE3" w:rsidRDefault="009D0A78" w:rsidP="00322C1C">
            <w:pPr>
              <w:pStyle w:val="TableBodyText"/>
              <w:rPr>
                <w:szCs w:val="20"/>
              </w:rPr>
            </w:pPr>
            <w:r w:rsidRPr="007E1EE3">
              <w:rPr>
                <w:szCs w:val="20"/>
              </w:rPr>
              <w:t>-11.0%</w:t>
            </w:r>
          </w:p>
        </w:tc>
        <w:tc>
          <w:tcPr>
            <w:tcW w:w="368" w:type="pct"/>
          </w:tcPr>
          <w:p w14:paraId="4BBB6ECD" w14:textId="297BF9B8" w:rsidR="00150950" w:rsidRPr="007E1EE3" w:rsidRDefault="00926282" w:rsidP="00322C1C">
            <w:pPr>
              <w:pStyle w:val="TableBodyText"/>
              <w:rPr>
                <w:color w:val="0000FF"/>
                <w:szCs w:val="20"/>
                <w:u w:val="single"/>
              </w:rPr>
            </w:pPr>
            <w:hyperlink w:anchor="Note3PerfNotes" w:history="1">
              <w:r w:rsidR="0005664E" w:rsidRPr="007E1EE3">
                <w:rPr>
                  <w:rStyle w:val="Hyperlink"/>
                  <w:szCs w:val="20"/>
                </w:rPr>
                <w:t>refer note 3</w:t>
              </w:r>
            </w:hyperlink>
          </w:p>
        </w:tc>
        <w:tc>
          <w:tcPr>
            <w:tcW w:w="516" w:type="pct"/>
          </w:tcPr>
          <w:p w14:paraId="0EF663CE" w14:textId="77777777" w:rsidR="009D0A78" w:rsidRPr="007E1EE3" w:rsidRDefault="009D0A78" w:rsidP="00322C1C">
            <w:pPr>
              <w:pStyle w:val="TableBodyText"/>
              <w:rPr>
                <w:szCs w:val="20"/>
              </w:rPr>
            </w:pPr>
            <w:r w:rsidRPr="007E1EE3">
              <w:rPr>
                <w:szCs w:val="20"/>
              </w:rPr>
              <w:t>23.0%</w:t>
            </w:r>
          </w:p>
        </w:tc>
        <w:tc>
          <w:tcPr>
            <w:tcW w:w="361" w:type="pct"/>
          </w:tcPr>
          <w:p w14:paraId="749617B4" w14:textId="1427CFB4" w:rsidR="009D0A78" w:rsidRPr="007E1EE3" w:rsidRDefault="00926282" w:rsidP="00322C1C">
            <w:pPr>
              <w:pStyle w:val="TableBodyText"/>
              <w:rPr>
                <w:szCs w:val="20"/>
              </w:rPr>
            </w:pPr>
            <w:hyperlink w:anchor="Note3PerfNotes" w:history="1">
              <w:r w:rsidR="00D76D04" w:rsidRPr="007E1EE3">
                <w:rPr>
                  <w:rStyle w:val="Hyperlink"/>
                  <w:szCs w:val="20"/>
                </w:rPr>
                <w:t>refer note 3</w:t>
              </w:r>
            </w:hyperlink>
          </w:p>
        </w:tc>
      </w:tr>
      <w:tr w:rsidR="0005664E" w:rsidRPr="007E1EE3" w14:paraId="151DC5F0" w14:textId="77777777" w:rsidTr="0005664E">
        <w:trPr>
          <w:trHeight w:val="20"/>
        </w:trPr>
        <w:tc>
          <w:tcPr>
            <w:tcW w:w="442" w:type="pct"/>
          </w:tcPr>
          <w:p w14:paraId="69AB9A60" w14:textId="77777777" w:rsidR="0005664E" w:rsidRPr="007E1EE3" w:rsidRDefault="0005664E" w:rsidP="0005664E">
            <w:pPr>
              <w:pStyle w:val="TableBodyText"/>
              <w:rPr>
                <w:szCs w:val="20"/>
              </w:rPr>
            </w:pPr>
            <w:r w:rsidRPr="007E1EE3">
              <w:rPr>
                <w:szCs w:val="20"/>
              </w:rPr>
              <w:t>F4</w:t>
            </w:r>
          </w:p>
        </w:tc>
        <w:tc>
          <w:tcPr>
            <w:tcW w:w="1400" w:type="pct"/>
          </w:tcPr>
          <w:p w14:paraId="614CE02D" w14:textId="77777777" w:rsidR="0005664E" w:rsidRPr="007E1EE3" w:rsidRDefault="0005664E" w:rsidP="0005664E">
            <w:pPr>
              <w:pStyle w:val="TableBodyText"/>
              <w:rPr>
                <w:rStyle w:val="Bold"/>
                <w:szCs w:val="20"/>
              </w:rPr>
            </w:pPr>
            <w:r w:rsidRPr="007E1EE3">
              <w:rPr>
                <w:rStyle w:val="Bold"/>
                <w:szCs w:val="20"/>
              </w:rPr>
              <w:t>Current Ratio</w:t>
            </w:r>
          </w:p>
          <w:p w14:paraId="774E55E6" w14:textId="69A2CCAC" w:rsidR="0005664E" w:rsidRPr="007E1EE3" w:rsidRDefault="0005664E" w:rsidP="0005664E">
            <w:pPr>
              <w:pStyle w:val="TableBodyText"/>
              <w:rPr>
                <w:szCs w:val="20"/>
              </w:rPr>
            </w:pPr>
            <w:r w:rsidRPr="007E1EE3">
              <w:rPr>
                <w:szCs w:val="20"/>
              </w:rPr>
              <w:t>Current assets/current liabilities (excluding long-term employee provisions and revenue in advance)</w:t>
            </w:r>
          </w:p>
        </w:tc>
        <w:tc>
          <w:tcPr>
            <w:tcW w:w="442" w:type="pct"/>
          </w:tcPr>
          <w:p w14:paraId="13425085" w14:textId="69CB3081" w:rsidR="0005664E" w:rsidRPr="007E1EE3" w:rsidRDefault="0005664E" w:rsidP="0005664E">
            <w:pPr>
              <w:pStyle w:val="TableBodyText"/>
              <w:rPr>
                <w:szCs w:val="20"/>
              </w:rPr>
            </w:pPr>
            <w:r w:rsidRPr="007E1EE3">
              <w:rPr>
                <w:szCs w:val="20"/>
              </w:rPr>
              <w:t>0.15 times</w:t>
            </w:r>
          </w:p>
        </w:tc>
        <w:tc>
          <w:tcPr>
            <w:tcW w:w="441" w:type="pct"/>
          </w:tcPr>
          <w:p w14:paraId="7217AA72" w14:textId="11BD43CF" w:rsidR="0005664E" w:rsidRPr="007E1EE3" w:rsidRDefault="0005664E" w:rsidP="0005664E">
            <w:pPr>
              <w:pStyle w:val="TableBodyText"/>
              <w:rPr>
                <w:szCs w:val="20"/>
              </w:rPr>
            </w:pPr>
            <w:r w:rsidRPr="007E1EE3">
              <w:rPr>
                <w:szCs w:val="20"/>
              </w:rPr>
              <w:t>0.19 times</w:t>
            </w:r>
          </w:p>
        </w:tc>
        <w:tc>
          <w:tcPr>
            <w:tcW w:w="442" w:type="pct"/>
          </w:tcPr>
          <w:p w14:paraId="10F2D718" w14:textId="6B36D123" w:rsidR="0005664E" w:rsidRPr="007E1EE3" w:rsidRDefault="0005664E" w:rsidP="0005664E">
            <w:pPr>
              <w:pStyle w:val="TableBodyText"/>
              <w:rPr>
                <w:szCs w:val="20"/>
              </w:rPr>
            </w:pPr>
            <w:r w:rsidRPr="007E1EE3">
              <w:rPr>
                <w:szCs w:val="20"/>
              </w:rPr>
              <w:t>0.09 times</w:t>
            </w:r>
          </w:p>
        </w:tc>
        <w:tc>
          <w:tcPr>
            <w:tcW w:w="588" w:type="pct"/>
          </w:tcPr>
          <w:p w14:paraId="4F327AFA" w14:textId="68AF0DE1" w:rsidR="0005664E" w:rsidRPr="007E1EE3" w:rsidRDefault="0005664E" w:rsidP="0005664E">
            <w:pPr>
              <w:pStyle w:val="TableBodyText"/>
              <w:rPr>
                <w:szCs w:val="20"/>
              </w:rPr>
            </w:pPr>
            <w:r w:rsidRPr="007E1EE3">
              <w:rPr>
                <w:szCs w:val="20"/>
              </w:rPr>
              <w:t>26.7%</w:t>
            </w:r>
          </w:p>
        </w:tc>
        <w:tc>
          <w:tcPr>
            <w:tcW w:w="368" w:type="pct"/>
          </w:tcPr>
          <w:p w14:paraId="5EA498B1" w14:textId="5657E749" w:rsidR="0005664E" w:rsidRPr="007E1EE3" w:rsidRDefault="00926282" w:rsidP="0005664E">
            <w:pPr>
              <w:pStyle w:val="TableBodyText"/>
              <w:rPr>
                <w:szCs w:val="20"/>
              </w:rPr>
            </w:pPr>
            <w:hyperlink w:anchor="Note4PerfNotes" w:history="1">
              <w:r w:rsidR="0005664E" w:rsidRPr="007E1EE3">
                <w:rPr>
                  <w:rStyle w:val="Hyperlink"/>
                  <w:szCs w:val="20"/>
                </w:rPr>
                <w:t>refer note 4</w:t>
              </w:r>
            </w:hyperlink>
          </w:p>
        </w:tc>
        <w:tc>
          <w:tcPr>
            <w:tcW w:w="516" w:type="pct"/>
          </w:tcPr>
          <w:p w14:paraId="6B82B044" w14:textId="1459F15C" w:rsidR="0005664E" w:rsidRPr="007E1EE3" w:rsidRDefault="0005664E" w:rsidP="0005664E">
            <w:pPr>
              <w:pStyle w:val="TableBodyText"/>
              <w:rPr>
                <w:szCs w:val="20"/>
              </w:rPr>
            </w:pPr>
            <w:r w:rsidRPr="007E1EE3">
              <w:rPr>
                <w:szCs w:val="20"/>
              </w:rPr>
              <w:t>111.1%</w:t>
            </w:r>
          </w:p>
        </w:tc>
        <w:tc>
          <w:tcPr>
            <w:tcW w:w="361" w:type="pct"/>
          </w:tcPr>
          <w:p w14:paraId="0FB1051C" w14:textId="0550AC85" w:rsidR="0005664E" w:rsidRPr="007E1EE3" w:rsidRDefault="00926282" w:rsidP="0005664E">
            <w:pPr>
              <w:pStyle w:val="TableBodyText"/>
              <w:rPr>
                <w:szCs w:val="20"/>
              </w:rPr>
            </w:pPr>
            <w:hyperlink w:anchor="Note4PerfNotes" w:history="1">
              <w:r w:rsidR="0005664E" w:rsidRPr="007E1EE3">
                <w:rPr>
                  <w:rStyle w:val="Hyperlink"/>
                  <w:szCs w:val="20"/>
                </w:rPr>
                <w:t>refer note 4</w:t>
              </w:r>
            </w:hyperlink>
          </w:p>
        </w:tc>
      </w:tr>
      <w:tr w:rsidR="0005664E" w:rsidRPr="007E1EE3" w14:paraId="6920F125" w14:textId="77777777" w:rsidTr="0005664E">
        <w:trPr>
          <w:trHeight w:val="20"/>
        </w:trPr>
        <w:tc>
          <w:tcPr>
            <w:tcW w:w="442" w:type="pct"/>
          </w:tcPr>
          <w:p w14:paraId="4DFEAFA0" w14:textId="77777777" w:rsidR="0005664E" w:rsidRPr="007E1EE3" w:rsidRDefault="0005664E" w:rsidP="0005664E">
            <w:pPr>
              <w:pStyle w:val="TableBodyText"/>
              <w:rPr>
                <w:szCs w:val="20"/>
              </w:rPr>
            </w:pPr>
            <w:r w:rsidRPr="007E1EE3">
              <w:rPr>
                <w:szCs w:val="20"/>
              </w:rPr>
              <w:t>F5</w:t>
            </w:r>
          </w:p>
        </w:tc>
        <w:tc>
          <w:tcPr>
            <w:tcW w:w="1400" w:type="pct"/>
          </w:tcPr>
          <w:p w14:paraId="3EA46A43" w14:textId="77777777" w:rsidR="0005664E" w:rsidRPr="007E1EE3" w:rsidRDefault="0005664E" w:rsidP="0005664E">
            <w:pPr>
              <w:pStyle w:val="TableBodyText"/>
              <w:rPr>
                <w:rStyle w:val="Bold"/>
                <w:szCs w:val="20"/>
              </w:rPr>
            </w:pPr>
            <w:r w:rsidRPr="007E1EE3">
              <w:rPr>
                <w:rStyle w:val="Bold"/>
                <w:szCs w:val="20"/>
              </w:rPr>
              <w:t>Return on Assets</w:t>
            </w:r>
          </w:p>
          <w:p w14:paraId="7E50F2FE" w14:textId="5275D58F" w:rsidR="0005664E" w:rsidRPr="007E1EE3" w:rsidRDefault="0005664E" w:rsidP="0005664E">
            <w:pPr>
              <w:pStyle w:val="TableBodyText"/>
              <w:rPr>
                <w:szCs w:val="20"/>
              </w:rPr>
            </w:pPr>
            <w:r w:rsidRPr="007E1EE3">
              <w:rPr>
                <w:szCs w:val="20"/>
              </w:rPr>
              <w:t>Earnings before net interest and tax/average assets * 100</w:t>
            </w:r>
          </w:p>
        </w:tc>
        <w:tc>
          <w:tcPr>
            <w:tcW w:w="442" w:type="pct"/>
          </w:tcPr>
          <w:p w14:paraId="3BA22B8F" w14:textId="77777777" w:rsidR="0005664E" w:rsidRPr="007E1EE3" w:rsidRDefault="0005664E" w:rsidP="0005664E">
            <w:pPr>
              <w:pStyle w:val="TableBodyText"/>
              <w:rPr>
                <w:szCs w:val="20"/>
              </w:rPr>
            </w:pPr>
            <w:r w:rsidRPr="007E1EE3">
              <w:rPr>
                <w:szCs w:val="20"/>
              </w:rPr>
              <w:t>6.0%</w:t>
            </w:r>
          </w:p>
        </w:tc>
        <w:tc>
          <w:tcPr>
            <w:tcW w:w="441" w:type="pct"/>
          </w:tcPr>
          <w:p w14:paraId="2D97694E" w14:textId="77777777" w:rsidR="0005664E" w:rsidRPr="007E1EE3" w:rsidRDefault="0005664E" w:rsidP="0005664E">
            <w:pPr>
              <w:pStyle w:val="TableBodyText"/>
              <w:rPr>
                <w:szCs w:val="20"/>
              </w:rPr>
            </w:pPr>
            <w:r w:rsidRPr="007E1EE3">
              <w:rPr>
                <w:szCs w:val="20"/>
              </w:rPr>
              <w:t>5.5%</w:t>
            </w:r>
          </w:p>
        </w:tc>
        <w:tc>
          <w:tcPr>
            <w:tcW w:w="442" w:type="pct"/>
          </w:tcPr>
          <w:p w14:paraId="44E7D049" w14:textId="77777777" w:rsidR="0005664E" w:rsidRPr="007E1EE3" w:rsidRDefault="0005664E" w:rsidP="0005664E">
            <w:pPr>
              <w:pStyle w:val="TableBodyText"/>
              <w:rPr>
                <w:szCs w:val="20"/>
              </w:rPr>
            </w:pPr>
            <w:r w:rsidRPr="007E1EE3">
              <w:rPr>
                <w:szCs w:val="20"/>
              </w:rPr>
              <w:t>4.9%</w:t>
            </w:r>
          </w:p>
        </w:tc>
        <w:tc>
          <w:tcPr>
            <w:tcW w:w="588" w:type="pct"/>
          </w:tcPr>
          <w:p w14:paraId="70B0586D" w14:textId="77777777" w:rsidR="0005664E" w:rsidRPr="007E1EE3" w:rsidRDefault="0005664E" w:rsidP="0005664E">
            <w:pPr>
              <w:pStyle w:val="TableBodyText"/>
              <w:rPr>
                <w:szCs w:val="20"/>
              </w:rPr>
            </w:pPr>
            <w:r w:rsidRPr="007E1EE3">
              <w:rPr>
                <w:szCs w:val="20"/>
              </w:rPr>
              <w:t>-8.3%</w:t>
            </w:r>
          </w:p>
        </w:tc>
        <w:tc>
          <w:tcPr>
            <w:tcW w:w="368" w:type="pct"/>
          </w:tcPr>
          <w:p w14:paraId="383D50F3" w14:textId="4A58F223" w:rsidR="0005664E" w:rsidRPr="007E1EE3" w:rsidRDefault="00150950" w:rsidP="0005664E">
            <w:pPr>
              <w:pStyle w:val="TableBodyText"/>
              <w:rPr>
                <w:szCs w:val="20"/>
              </w:rPr>
            </w:pPr>
            <w:r w:rsidRPr="007E1EE3">
              <w:rPr>
                <w:szCs w:val="20"/>
              </w:rPr>
              <w:t>N/A</w:t>
            </w:r>
          </w:p>
        </w:tc>
        <w:tc>
          <w:tcPr>
            <w:tcW w:w="516" w:type="pct"/>
          </w:tcPr>
          <w:p w14:paraId="08EA7B04" w14:textId="77777777" w:rsidR="0005664E" w:rsidRPr="007E1EE3" w:rsidRDefault="0005664E" w:rsidP="0005664E">
            <w:pPr>
              <w:pStyle w:val="TableBodyText"/>
              <w:rPr>
                <w:szCs w:val="20"/>
              </w:rPr>
            </w:pPr>
            <w:r w:rsidRPr="007E1EE3">
              <w:rPr>
                <w:szCs w:val="20"/>
              </w:rPr>
              <w:t>12.2%</w:t>
            </w:r>
          </w:p>
        </w:tc>
        <w:tc>
          <w:tcPr>
            <w:tcW w:w="361" w:type="pct"/>
          </w:tcPr>
          <w:p w14:paraId="3A54FAA9" w14:textId="02F72B5C" w:rsidR="0005664E" w:rsidRPr="007E1EE3" w:rsidRDefault="00926282" w:rsidP="0005664E">
            <w:pPr>
              <w:pStyle w:val="TableBodyText"/>
              <w:rPr>
                <w:szCs w:val="20"/>
              </w:rPr>
            </w:pPr>
            <w:hyperlink w:anchor="Note5PerfNotes" w:history="1">
              <w:r w:rsidR="0005664E" w:rsidRPr="007E1EE3">
                <w:rPr>
                  <w:rStyle w:val="Hyperlink"/>
                  <w:szCs w:val="20"/>
                </w:rPr>
                <w:t>refer note 5</w:t>
              </w:r>
            </w:hyperlink>
          </w:p>
        </w:tc>
      </w:tr>
      <w:tr w:rsidR="00150950" w:rsidRPr="007E1EE3" w14:paraId="0E4B0894" w14:textId="77777777" w:rsidTr="009D0A78">
        <w:trPr>
          <w:trHeight w:val="20"/>
        </w:trPr>
        <w:tc>
          <w:tcPr>
            <w:tcW w:w="442" w:type="pct"/>
          </w:tcPr>
          <w:p w14:paraId="2FD00AC9" w14:textId="77777777" w:rsidR="00150950" w:rsidRPr="007E1EE3" w:rsidRDefault="00150950" w:rsidP="00150950">
            <w:pPr>
              <w:pStyle w:val="TableBodyText"/>
              <w:rPr>
                <w:szCs w:val="20"/>
              </w:rPr>
            </w:pPr>
            <w:r w:rsidRPr="007E1EE3">
              <w:rPr>
                <w:szCs w:val="20"/>
              </w:rPr>
              <w:t>F6</w:t>
            </w:r>
          </w:p>
        </w:tc>
        <w:tc>
          <w:tcPr>
            <w:tcW w:w="1400" w:type="pct"/>
          </w:tcPr>
          <w:p w14:paraId="5B3A7B8A" w14:textId="77777777" w:rsidR="00150950" w:rsidRPr="007E1EE3" w:rsidRDefault="00150950" w:rsidP="00150950">
            <w:pPr>
              <w:pStyle w:val="TableBodyText"/>
              <w:rPr>
                <w:rStyle w:val="Bold"/>
                <w:szCs w:val="20"/>
              </w:rPr>
            </w:pPr>
            <w:r w:rsidRPr="007E1EE3">
              <w:rPr>
                <w:rStyle w:val="Bold"/>
                <w:szCs w:val="20"/>
              </w:rPr>
              <w:t>Return on Equity</w:t>
            </w:r>
          </w:p>
          <w:p w14:paraId="0257A951" w14:textId="7A3841C2" w:rsidR="00150950" w:rsidRPr="007E1EE3" w:rsidRDefault="00150950" w:rsidP="00150950">
            <w:pPr>
              <w:pStyle w:val="TableBodyText"/>
              <w:rPr>
                <w:szCs w:val="20"/>
              </w:rPr>
            </w:pPr>
            <w:r w:rsidRPr="007E1EE3">
              <w:rPr>
                <w:szCs w:val="20"/>
              </w:rPr>
              <w:t>Net profit after tax/average total equity * 100</w:t>
            </w:r>
          </w:p>
        </w:tc>
        <w:tc>
          <w:tcPr>
            <w:tcW w:w="442" w:type="pct"/>
          </w:tcPr>
          <w:p w14:paraId="312C24C1" w14:textId="77777777" w:rsidR="00150950" w:rsidRPr="007E1EE3" w:rsidRDefault="00150950" w:rsidP="00150950">
            <w:pPr>
              <w:pStyle w:val="TableBodyText"/>
              <w:rPr>
                <w:szCs w:val="20"/>
              </w:rPr>
            </w:pPr>
            <w:r w:rsidRPr="007E1EE3">
              <w:rPr>
                <w:szCs w:val="20"/>
              </w:rPr>
              <w:t>3.5%</w:t>
            </w:r>
          </w:p>
        </w:tc>
        <w:tc>
          <w:tcPr>
            <w:tcW w:w="441" w:type="pct"/>
          </w:tcPr>
          <w:p w14:paraId="339352A7" w14:textId="77777777" w:rsidR="00150950" w:rsidRPr="007E1EE3" w:rsidRDefault="00150950" w:rsidP="00150950">
            <w:pPr>
              <w:pStyle w:val="TableBodyText"/>
              <w:rPr>
                <w:szCs w:val="20"/>
              </w:rPr>
            </w:pPr>
            <w:r w:rsidRPr="007E1EE3">
              <w:rPr>
                <w:szCs w:val="20"/>
              </w:rPr>
              <w:t>3.1%</w:t>
            </w:r>
          </w:p>
        </w:tc>
        <w:tc>
          <w:tcPr>
            <w:tcW w:w="442" w:type="pct"/>
          </w:tcPr>
          <w:p w14:paraId="3F4897E6" w14:textId="77777777" w:rsidR="00150950" w:rsidRPr="007E1EE3" w:rsidRDefault="00150950" w:rsidP="00150950">
            <w:pPr>
              <w:pStyle w:val="TableBodyText"/>
              <w:rPr>
                <w:szCs w:val="20"/>
              </w:rPr>
            </w:pPr>
            <w:r w:rsidRPr="007E1EE3">
              <w:rPr>
                <w:szCs w:val="20"/>
              </w:rPr>
              <w:t>1.7%</w:t>
            </w:r>
          </w:p>
        </w:tc>
        <w:tc>
          <w:tcPr>
            <w:tcW w:w="588" w:type="pct"/>
          </w:tcPr>
          <w:p w14:paraId="29A6F0FB" w14:textId="77777777" w:rsidR="00150950" w:rsidRPr="007E1EE3" w:rsidRDefault="00150950" w:rsidP="00150950">
            <w:pPr>
              <w:pStyle w:val="TableBodyText"/>
              <w:rPr>
                <w:szCs w:val="20"/>
              </w:rPr>
            </w:pPr>
            <w:r w:rsidRPr="007E1EE3">
              <w:rPr>
                <w:szCs w:val="20"/>
              </w:rPr>
              <w:t>-11.4%</w:t>
            </w:r>
          </w:p>
        </w:tc>
        <w:tc>
          <w:tcPr>
            <w:tcW w:w="368" w:type="pct"/>
          </w:tcPr>
          <w:p w14:paraId="44744884" w14:textId="5F470F02" w:rsidR="00150950" w:rsidRPr="007E1EE3" w:rsidRDefault="00926282" w:rsidP="00150950">
            <w:pPr>
              <w:pStyle w:val="TableBodyText"/>
              <w:rPr>
                <w:szCs w:val="20"/>
              </w:rPr>
            </w:pPr>
            <w:hyperlink w:anchor="Note6PerfNotes" w:history="1">
              <w:r w:rsidR="00150950" w:rsidRPr="007E1EE3">
                <w:rPr>
                  <w:rStyle w:val="Hyperlink"/>
                  <w:szCs w:val="20"/>
                </w:rPr>
                <w:t>refer note 6</w:t>
              </w:r>
            </w:hyperlink>
          </w:p>
        </w:tc>
        <w:tc>
          <w:tcPr>
            <w:tcW w:w="516" w:type="pct"/>
          </w:tcPr>
          <w:p w14:paraId="77A18ACA" w14:textId="77777777" w:rsidR="00150950" w:rsidRPr="007E1EE3" w:rsidRDefault="00150950" w:rsidP="00150950">
            <w:pPr>
              <w:pStyle w:val="TableBodyText"/>
              <w:rPr>
                <w:szCs w:val="20"/>
              </w:rPr>
            </w:pPr>
            <w:r w:rsidRPr="007E1EE3">
              <w:rPr>
                <w:szCs w:val="20"/>
              </w:rPr>
              <w:t>82.4%</w:t>
            </w:r>
          </w:p>
        </w:tc>
        <w:tc>
          <w:tcPr>
            <w:tcW w:w="361" w:type="pct"/>
          </w:tcPr>
          <w:p w14:paraId="2A36AB01" w14:textId="4417AE79" w:rsidR="00150950" w:rsidRPr="007E1EE3" w:rsidRDefault="00926282" w:rsidP="00150950">
            <w:pPr>
              <w:pStyle w:val="TableBodyText"/>
              <w:rPr>
                <w:szCs w:val="20"/>
              </w:rPr>
            </w:pPr>
            <w:hyperlink w:anchor="Note6PerfNotes" w:history="1">
              <w:r w:rsidR="00150950" w:rsidRPr="007E1EE3">
                <w:rPr>
                  <w:rStyle w:val="Hyperlink"/>
                  <w:szCs w:val="20"/>
                </w:rPr>
                <w:t>refer note 6</w:t>
              </w:r>
            </w:hyperlink>
          </w:p>
        </w:tc>
      </w:tr>
      <w:tr w:rsidR="00150950" w:rsidRPr="007E1EE3" w14:paraId="7FE5BA43" w14:textId="77777777" w:rsidTr="009D0A78">
        <w:trPr>
          <w:trHeight w:val="20"/>
        </w:trPr>
        <w:tc>
          <w:tcPr>
            <w:tcW w:w="442" w:type="pct"/>
          </w:tcPr>
          <w:p w14:paraId="1ADB246B" w14:textId="480A7599" w:rsidR="00150950" w:rsidRPr="007E1EE3" w:rsidRDefault="00150950" w:rsidP="00150950">
            <w:pPr>
              <w:pStyle w:val="TableBodyText"/>
              <w:rPr>
                <w:szCs w:val="20"/>
              </w:rPr>
            </w:pPr>
            <w:r w:rsidRPr="007E1EE3">
              <w:rPr>
                <w:szCs w:val="20"/>
              </w:rPr>
              <w:t>F7</w:t>
            </w:r>
          </w:p>
        </w:tc>
        <w:tc>
          <w:tcPr>
            <w:tcW w:w="1400" w:type="pct"/>
          </w:tcPr>
          <w:p w14:paraId="600D1EFF" w14:textId="14387D3C" w:rsidR="00150950" w:rsidRPr="007E1EE3" w:rsidRDefault="00DC0A06" w:rsidP="00150950">
            <w:pPr>
              <w:pStyle w:val="TableBodyText"/>
              <w:rPr>
                <w:rStyle w:val="Bold"/>
                <w:szCs w:val="20"/>
              </w:rPr>
            </w:pPr>
            <w:r>
              <w:rPr>
                <w:rStyle w:val="Bold"/>
                <w:szCs w:val="20"/>
              </w:rPr>
              <w:t>Earnings before interest, tax and depreciation/amortisation</w:t>
            </w:r>
            <w:r w:rsidR="00150950" w:rsidRPr="007E1EE3">
              <w:rPr>
                <w:rStyle w:val="Bold"/>
                <w:szCs w:val="20"/>
              </w:rPr>
              <w:t xml:space="preserve"> Margin</w:t>
            </w:r>
          </w:p>
          <w:p w14:paraId="6410CACD" w14:textId="06338D26" w:rsidR="00150950" w:rsidRPr="007E1EE3" w:rsidRDefault="00150950" w:rsidP="00150950">
            <w:pPr>
              <w:pStyle w:val="TableBodyText"/>
              <w:rPr>
                <w:szCs w:val="20"/>
              </w:rPr>
            </w:pPr>
            <w:r w:rsidRPr="007E1EE3">
              <w:rPr>
                <w:szCs w:val="20"/>
              </w:rPr>
              <w:t>Earnings before interest, Tax, Depreciation and Amortisation/total revenue * 100</w:t>
            </w:r>
          </w:p>
        </w:tc>
        <w:tc>
          <w:tcPr>
            <w:tcW w:w="442" w:type="pct"/>
          </w:tcPr>
          <w:p w14:paraId="73410192" w14:textId="71AD7268" w:rsidR="00150950" w:rsidRPr="007E1EE3" w:rsidRDefault="00150950" w:rsidP="00150950">
            <w:pPr>
              <w:pStyle w:val="TableBodyText"/>
              <w:rPr>
                <w:szCs w:val="20"/>
              </w:rPr>
            </w:pPr>
            <w:r w:rsidRPr="007E1EE3">
              <w:rPr>
                <w:szCs w:val="20"/>
              </w:rPr>
              <w:t>68.1%</w:t>
            </w:r>
          </w:p>
        </w:tc>
        <w:tc>
          <w:tcPr>
            <w:tcW w:w="441" w:type="pct"/>
          </w:tcPr>
          <w:p w14:paraId="1FE63BD9" w14:textId="0731ADE2" w:rsidR="00150950" w:rsidRPr="007E1EE3" w:rsidRDefault="00150950" w:rsidP="00150950">
            <w:pPr>
              <w:pStyle w:val="TableBodyText"/>
              <w:rPr>
                <w:szCs w:val="20"/>
              </w:rPr>
            </w:pPr>
            <w:r w:rsidRPr="007E1EE3">
              <w:rPr>
                <w:szCs w:val="20"/>
              </w:rPr>
              <w:t>66.2%</w:t>
            </w:r>
          </w:p>
        </w:tc>
        <w:tc>
          <w:tcPr>
            <w:tcW w:w="442" w:type="pct"/>
          </w:tcPr>
          <w:p w14:paraId="5E92A668" w14:textId="1C34CD92" w:rsidR="00150950" w:rsidRPr="007E1EE3" w:rsidRDefault="00150950" w:rsidP="00150950">
            <w:pPr>
              <w:pStyle w:val="TableBodyText"/>
              <w:rPr>
                <w:szCs w:val="20"/>
              </w:rPr>
            </w:pPr>
            <w:r w:rsidRPr="007E1EE3">
              <w:rPr>
                <w:szCs w:val="20"/>
              </w:rPr>
              <w:t>66.3%</w:t>
            </w:r>
          </w:p>
        </w:tc>
        <w:tc>
          <w:tcPr>
            <w:tcW w:w="588" w:type="pct"/>
          </w:tcPr>
          <w:p w14:paraId="3B06D4EC" w14:textId="46D30B7E" w:rsidR="00150950" w:rsidRPr="007E1EE3" w:rsidRDefault="00150950" w:rsidP="00150950">
            <w:pPr>
              <w:pStyle w:val="TableBodyText"/>
              <w:rPr>
                <w:szCs w:val="20"/>
              </w:rPr>
            </w:pPr>
            <w:r w:rsidRPr="007E1EE3">
              <w:rPr>
                <w:szCs w:val="20"/>
              </w:rPr>
              <w:t>-2.8%</w:t>
            </w:r>
          </w:p>
        </w:tc>
        <w:tc>
          <w:tcPr>
            <w:tcW w:w="368" w:type="pct"/>
          </w:tcPr>
          <w:p w14:paraId="10234637" w14:textId="13B445A5" w:rsidR="00150950" w:rsidRPr="007E1EE3" w:rsidRDefault="00150950" w:rsidP="00150950">
            <w:pPr>
              <w:pStyle w:val="TableBodyText"/>
              <w:rPr>
                <w:szCs w:val="20"/>
              </w:rPr>
            </w:pPr>
            <w:r w:rsidRPr="007E1EE3">
              <w:rPr>
                <w:szCs w:val="20"/>
              </w:rPr>
              <w:t>N/A</w:t>
            </w:r>
          </w:p>
        </w:tc>
        <w:tc>
          <w:tcPr>
            <w:tcW w:w="516" w:type="pct"/>
          </w:tcPr>
          <w:p w14:paraId="344975B6" w14:textId="3E7AE467" w:rsidR="00150950" w:rsidRPr="007E1EE3" w:rsidRDefault="00150950" w:rsidP="00150950">
            <w:pPr>
              <w:pStyle w:val="TableBodyText"/>
              <w:rPr>
                <w:szCs w:val="20"/>
              </w:rPr>
            </w:pPr>
            <w:r w:rsidRPr="007E1EE3">
              <w:rPr>
                <w:szCs w:val="20"/>
              </w:rPr>
              <w:t>-0.2%</w:t>
            </w:r>
          </w:p>
        </w:tc>
        <w:tc>
          <w:tcPr>
            <w:tcW w:w="361" w:type="pct"/>
          </w:tcPr>
          <w:p w14:paraId="013596C5" w14:textId="74E786BB" w:rsidR="00150950" w:rsidRPr="007E1EE3" w:rsidRDefault="00150950" w:rsidP="00150950">
            <w:pPr>
              <w:pStyle w:val="TableBodyText"/>
              <w:rPr>
                <w:szCs w:val="20"/>
              </w:rPr>
            </w:pPr>
            <w:r w:rsidRPr="007E1EE3">
              <w:rPr>
                <w:szCs w:val="20"/>
              </w:rPr>
              <w:t>N/A</w:t>
            </w:r>
          </w:p>
        </w:tc>
      </w:tr>
    </w:tbl>
    <w:p w14:paraId="219B150E" w14:textId="52C9B74B" w:rsidR="00BF32D7" w:rsidRDefault="00BF32D7" w:rsidP="007E1EE3">
      <w:pPr>
        <w:pStyle w:val="BodyText"/>
        <w:keepNext/>
        <w:rPr>
          <w:rStyle w:val="Bold"/>
        </w:rPr>
      </w:pPr>
      <w:bookmarkStart w:id="1279" w:name="Note6PerfNotes"/>
      <w:r w:rsidRPr="006B7011">
        <w:rPr>
          <w:rStyle w:val="Bold"/>
        </w:rPr>
        <w:t>Notes – to Performance Report:</w:t>
      </w:r>
    </w:p>
    <w:p w14:paraId="55838ABF" w14:textId="75432CC5" w:rsidR="00BF32D7" w:rsidRDefault="00150950" w:rsidP="00BF32D7">
      <w:pPr>
        <w:pStyle w:val="BodyText"/>
      </w:pPr>
      <w:bookmarkStart w:id="1280" w:name="Note1PerfNotes"/>
      <w:r>
        <w:t xml:space="preserve">1: </w:t>
      </w:r>
      <w:bookmarkEnd w:id="1280"/>
      <w:r w:rsidR="00BF32D7">
        <w:t xml:space="preserve">Performance indicators as mandated in Ministerial Reporting Direction 01 - Performance Reporting (MRD 01) have been marked with their MRD 01 reference numbers. As required by MRD 01 any variances to </w:t>
      </w:r>
      <w:r w:rsidR="00BF32D7">
        <w:lastRenderedPageBreak/>
        <w:t>target or last year of more than 10% for financial performance indicators and 5% for non financial performance indicators have been further explained within these notes.</w:t>
      </w:r>
    </w:p>
    <w:p w14:paraId="326E9C9D" w14:textId="70AB242E" w:rsidR="00BF32D7" w:rsidRDefault="00150950" w:rsidP="00BF32D7">
      <w:pPr>
        <w:pStyle w:val="BodyText"/>
      </w:pPr>
      <w:bookmarkStart w:id="1281" w:name="Note2PerfNotes"/>
      <w:r>
        <w:t>2</w:t>
      </w:r>
      <w:bookmarkEnd w:id="1281"/>
      <w:r>
        <w:t>:</w:t>
      </w:r>
      <w:r w:rsidR="00BF32D7">
        <w:t xml:space="preserve"> The 2020-21 result for Cash Interest Cover is favourable to target mainly due to higher than target receipts from customers ($73.6 million) due to higher cash receipts from developer contributions ($61.9 million) and government grants ($10.9 million).</w:t>
      </w:r>
    </w:p>
    <w:p w14:paraId="587AFF50" w14:textId="03725F8F" w:rsidR="00BF32D7" w:rsidRDefault="00150950" w:rsidP="00BF32D7">
      <w:pPr>
        <w:pStyle w:val="BodyText"/>
      </w:pPr>
      <w:bookmarkStart w:id="1282" w:name="Note3PerfNotes"/>
      <w:r>
        <w:t>3:</w:t>
      </w:r>
      <w:r w:rsidR="00BF32D7">
        <w:t xml:space="preserve"> </w:t>
      </w:r>
      <w:bookmarkEnd w:id="1282"/>
      <w:r w:rsidR="00BF32D7">
        <w:t>The 2020-21 result for the Internal Financing Ratio is unfavourable compared to last year mainly due to payments for increased capital program ($115.4 million) and higher payments to suppliers ($21.3 million), partially offset by lower income tax paid ($22.4 million) and financing costs ($30.5 million).</w:t>
      </w:r>
    </w:p>
    <w:p w14:paraId="01A17675" w14:textId="77777777" w:rsidR="00BF32D7" w:rsidRDefault="00BF32D7" w:rsidP="00BF32D7">
      <w:pPr>
        <w:pStyle w:val="BodyText"/>
      </w:pPr>
      <w:r>
        <w:t>The 2020-21 result for Internal Financial Ratio is above the target range and in line with business expectations. It is anticipated that future year-on-year variances will fluctuate in line with expected revenue and the capital expenditure profile.</w:t>
      </w:r>
    </w:p>
    <w:p w14:paraId="2A4A2A8A" w14:textId="208D1C35" w:rsidR="00BF32D7" w:rsidRDefault="00150950" w:rsidP="00BF32D7">
      <w:pPr>
        <w:pStyle w:val="BodyText"/>
      </w:pPr>
      <w:bookmarkStart w:id="1283" w:name="Note4PerfNotes"/>
      <w:r>
        <w:t>4:</w:t>
      </w:r>
      <w:r w:rsidR="00BF32D7">
        <w:t xml:space="preserve"> </w:t>
      </w:r>
      <w:bookmarkEnd w:id="1283"/>
      <w:r w:rsidR="00BF32D7">
        <w:t>The 2020-21 result for the Current Ratio is favourable to last year due to lower current interest bearing liabilities either refinanced or repaid during the year ($239.3 million) partially offset by higher payables ($52.9M).</w:t>
      </w:r>
    </w:p>
    <w:p w14:paraId="7A4EC746" w14:textId="77777777" w:rsidR="00BF32D7" w:rsidRDefault="00BF32D7" w:rsidP="00BF32D7">
      <w:pPr>
        <w:pStyle w:val="BodyText"/>
      </w:pPr>
      <w:r>
        <w:t>The 2020-21 result for the Current Ratio is favourable to target due to lower trade and other receivables ($43.2 million), lower interest bearing liabilities ($190.7 million) partially offset by higher trade and other payables ($69.4 million).</w:t>
      </w:r>
    </w:p>
    <w:p w14:paraId="3B3FB749" w14:textId="3D2B2AB1" w:rsidR="00BF32D7" w:rsidRDefault="00150950" w:rsidP="00BF32D7">
      <w:pPr>
        <w:pStyle w:val="BodyText"/>
      </w:pPr>
      <w:bookmarkStart w:id="1284" w:name="Note5PerfNotes"/>
      <w:r>
        <w:t>5:</w:t>
      </w:r>
      <w:r w:rsidR="00BF32D7">
        <w:t xml:space="preserve"> </w:t>
      </w:r>
      <w:bookmarkEnd w:id="1284"/>
      <w:r w:rsidR="00BF32D7">
        <w:t>The 2020-21 result for Return on Assets is favourable to target due to higher earnings before net interest and tax during the year ($115.4 million) compared to target. Improved performance is mainly due to higher revenue from developer contributions and contributed assets ($65.2 million) and net gain on revaluation of non-financial assets ($39.2 million).</w:t>
      </w:r>
    </w:p>
    <w:p w14:paraId="226E034A" w14:textId="2F121C80" w:rsidR="00D76D04" w:rsidRDefault="00150950" w:rsidP="00D76D04">
      <w:pPr>
        <w:pStyle w:val="BodyText"/>
      </w:pPr>
      <w:r>
        <w:t>6:</w:t>
      </w:r>
      <w:bookmarkEnd w:id="1279"/>
      <w:r w:rsidR="00D76D04">
        <w:t xml:space="preserve"> The 2020-21 result for Return on Equity is unfavourable to last year due to current year increase in asset revaluation reserve ($640.3 million) resulting from asset revaluations.</w:t>
      </w:r>
    </w:p>
    <w:p w14:paraId="2FA7F5DF" w14:textId="532F01D8" w:rsidR="00675B24" w:rsidRDefault="00D76D04" w:rsidP="00D76D04">
      <w:pPr>
        <w:pStyle w:val="BodyText"/>
      </w:pPr>
      <w:r>
        <w:t>The 2020-21 result for Return on Equity is favourable to target mainly due to higher net profit after tax ($91.0 million) partially offset by higher equity resulting from asset revaluations and retained profits. Improved net profit after tax is mainly due to higher revenue from developer contributions and contributed assets ($65.2 million) and net gain on revaluation of non-financial assets ($39.2 million).</w:t>
      </w:r>
    </w:p>
    <w:p w14:paraId="2A74B22C" w14:textId="77777777" w:rsidR="00BF32D7" w:rsidRPr="007E1EE3" w:rsidRDefault="00BF32D7" w:rsidP="007E1EE3">
      <w:pPr>
        <w:pStyle w:val="Heading3"/>
        <w:rPr>
          <w:sz w:val="20"/>
          <w:szCs w:val="20"/>
        </w:rPr>
      </w:pPr>
      <w:bookmarkStart w:id="1285" w:name="_Toc89723163"/>
      <w:bookmarkStart w:id="1286" w:name="_Ref89797616"/>
      <w:bookmarkStart w:id="1287" w:name="_Ref89800049"/>
      <w:bookmarkStart w:id="1288" w:name="_Toc90326106"/>
      <w:bookmarkStart w:id="1289" w:name="Watersewerageandotherservice"/>
      <w:bookmarkStart w:id="1290" w:name="_Toc93659512"/>
      <w:r w:rsidRPr="007E1EE3">
        <w:rPr>
          <w:sz w:val="20"/>
          <w:szCs w:val="20"/>
        </w:rPr>
        <w:t>Water, sewerage and other service performance indicators</w:t>
      </w:r>
      <w:bookmarkEnd w:id="1285"/>
      <w:bookmarkEnd w:id="1286"/>
      <w:bookmarkEnd w:id="1287"/>
      <w:bookmarkEnd w:id="1288"/>
      <w:bookmarkEnd w:id="1290"/>
    </w:p>
    <w:tbl>
      <w:tblPr>
        <w:tblStyle w:val="TableGrid"/>
        <w:tblW w:w="5000" w:type="pct"/>
        <w:tblLook w:val="04A0" w:firstRow="1" w:lastRow="0" w:firstColumn="1" w:lastColumn="0" w:noHBand="0" w:noVBand="1"/>
      </w:tblPr>
      <w:tblGrid>
        <w:gridCol w:w="870"/>
        <w:gridCol w:w="2532"/>
        <w:gridCol w:w="1002"/>
        <w:gridCol w:w="927"/>
        <w:gridCol w:w="859"/>
        <w:gridCol w:w="1133"/>
        <w:gridCol w:w="690"/>
        <w:gridCol w:w="948"/>
        <w:gridCol w:w="670"/>
      </w:tblGrid>
      <w:tr w:rsidR="00BF32D7" w:rsidRPr="007E1EE3" w14:paraId="5D87D190" w14:textId="77777777" w:rsidTr="00A54B77">
        <w:trPr>
          <w:cnfStyle w:val="100000000000" w:firstRow="1" w:lastRow="0" w:firstColumn="0" w:lastColumn="0" w:oddVBand="0" w:evenVBand="0" w:oddHBand="0" w:evenHBand="0" w:firstRowFirstColumn="0" w:firstRowLastColumn="0" w:lastRowFirstColumn="0" w:lastRowLastColumn="0"/>
          <w:trHeight w:val="20"/>
          <w:tblHeader/>
        </w:trPr>
        <w:tc>
          <w:tcPr>
            <w:tcW w:w="452" w:type="pct"/>
            <w:vAlign w:val="bottom"/>
          </w:tcPr>
          <w:p w14:paraId="6B5D107D" w14:textId="5B8D3444" w:rsidR="00BF32D7" w:rsidRPr="007E1EE3" w:rsidRDefault="00BF32D7" w:rsidP="007E1EE3">
            <w:pPr>
              <w:keepNext/>
              <w:keepLines/>
            </w:pPr>
            <w:bookmarkStart w:id="1291" w:name="ColumnTitle_112"/>
            <w:bookmarkEnd w:id="1289"/>
            <w:r w:rsidRPr="007E1EE3">
              <w:t>KPI Number</w:t>
            </w:r>
            <w:r w:rsidR="00E67BBC" w:rsidRPr="007E1EE3">
              <w:t xml:space="preserve"> </w:t>
            </w:r>
            <w:hyperlink w:anchor="Note1WaterNotes" w:history="1">
              <w:r w:rsidR="00E67BBC" w:rsidRPr="007E1EE3">
                <w:rPr>
                  <w:rStyle w:val="Hyperlink"/>
                </w:rPr>
                <w:t>refer note 1</w:t>
              </w:r>
            </w:hyperlink>
          </w:p>
        </w:tc>
        <w:tc>
          <w:tcPr>
            <w:tcW w:w="1315" w:type="pct"/>
            <w:vAlign w:val="bottom"/>
          </w:tcPr>
          <w:p w14:paraId="6C4E805F" w14:textId="4A06FFA0" w:rsidR="00BF32D7" w:rsidRPr="007E1EE3" w:rsidRDefault="00BF32D7" w:rsidP="007E1EE3">
            <w:pPr>
              <w:keepNext/>
              <w:keepLines/>
            </w:pPr>
            <w:r w:rsidRPr="007E1EE3">
              <w:t>Key Performance Indicator</w:t>
            </w:r>
          </w:p>
        </w:tc>
        <w:tc>
          <w:tcPr>
            <w:tcW w:w="520" w:type="pct"/>
            <w:vAlign w:val="bottom"/>
          </w:tcPr>
          <w:p w14:paraId="1A9FAB2F" w14:textId="4C1812A7" w:rsidR="00BF32D7" w:rsidRPr="007E1EE3" w:rsidRDefault="00BF32D7" w:rsidP="005C434E">
            <w:pPr>
              <w:keepNext/>
              <w:keepLines/>
              <w:jc w:val="right"/>
            </w:pPr>
            <w:r w:rsidRPr="007E1EE3">
              <w:t>2019-20 Result</w:t>
            </w:r>
          </w:p>
        </w:tc>
        <w:tc>
          <w:tcPr>
            <w:tcW w:w="481" w:type="pct"/>
            <w:vAlign w:val="bottom"/>
          </w:tcPr>
          <w:p w14:paraId="7A76E87C" w14:textId="2DE4FAD1" w:rsidR="00BF32D7" w:rsidRPr="007E1EE3" w:rsidRDefault="00BF32D7" w:rsidP="005C434E">
            <w:pPr>
              <w:keepNext/>
              <w:keepLines/>
              <w:jc w:val="right"/>
            </w:pPr>
            <w:r w:rsidRPr="007E1EE3">
              <w:t>2020-21 Result</w:t>
            </w:r>
          </w:p>
        </w:tc>
        <w:tc>
          <w:tcPr>
            <w:tcW w:w="446" w:type="pct"/>
            <w:vAlign w:val="bottom"/>
          </w:tcPr>
          <w:p w14:paraId="3EC1E903" w14:textId="27AC6D50" w:rsidR="00BF32D7" w:rsidRPr="007E1EE3" w:rsidRDefault="00BF32D7" w:rsidP="005C434E">
            <w:pPr>
              <w:keepNext/>
              <w:keepLines/>
              <w:jc w:val="right"/>
            </w:pPr>
            <w:r w:rsidRPr="007E1EE3">
              <w:t>2020-21 Target</w:t>
            </w:r>
          </w:p>
        </w:tc>
        <w:tc>
          <w:tcPr>
            <w:tcW w:w="588" w:type="pct"/>
            <w:vAlign w:val="bottom"/>
          </w:tcPr>
          <w:p w14:paraId="3014FD9E" w14:textId="3429A119" w:rsidR="00BF32D7" w:rsidRPr="007E1EE3" w:rsidRDefault="00BF32D7" w:rsidP="005C434E">
            <w:pPr>
              <w:keepNext/>
              <w:keepLines/>
              <w:jc w:val="right"/>
            </w:pPr>
            <w:r w:rsidRPr="007E1EE3">
              <w:t>Variance to prior year</w:t>
            </w:r>
          </w:p>
        </w:tc>
        <w:tc>
          <w:tcPr>
            <w:tcW w:w="358" w:type="pct"/>
            <w:vAlign w:val="bottom"/>
          </w:tcPr>
          <w:p w14:paraId="305274F6" w14:textId="760FDF15" w:rsidR="00BF32D7" w:rsidRPr="007E1EE3" w:rsidRDefault="00BF32D7" w:rsidP="005C434E">
            <w:pPr>
              <w:keepNext/>
              <w:keepLines/>
              <w:jc w:val="right"/>
            </w:pPr>
            <w:r w:rsidRPr="007E1EE3">
              <w:t>Notes</w:t>
            </w:r>
          </w:p>
        </w:tc>
        <w:tc>
          <w:tcPr>
            <w:tcW w:w="492" w:type="pct"/>
            <w:vAlign w:val="bottom"/>
          </w:tcPr>
          <w:p w14:paraId="665DBDAF" w14:textId="0CBD6FE8" w:rsidR="00BF32D7" w:rsidRPr="007E1EE3" w:rsidRDefault="00BF32D7" w:rsidP="005C434E">
            <w:pPr>
              <w:keepNext/>
              <w:keepLines/>
              <w:jc w:val="right"/>
            </w:pPr>
            <w:r w:rsidRPr="007E1EE3">
              <w:t>Variance to target</w:t>
            </w:r>
          </w:p>
        </w:tc>
        <w:tc>
          <w:tcPr>
            <w:tcW w:w="348" w:type="pct"/>
            <w:vAlign w:val="bottom"/>
          </w:tcPr>
          <w:p w14:paraId="3542C4E2" w14:textId="51071DBE" w:rsidR="00BF32D7" w:rsidRPr="007E1EE3" w:rsidRDefault="00BF32D7" w:rsidP="007E1EE3">
            <w:pPr>
              <w:keepNext/>
              <w:keepLines/>
            </w:pPr>
            <w:r w:rsidRPr="007E1EE3">
              <w:t>Notes</w:t>
            </w:r>
          </w:p>
        </w:tc>
      </w:tr>
      <w:bookmarkEnd w:id="1291"/>
      <w:tr w:rsidR="00BF32D7" w:rsidRPr="007E1EE3" w14:paraId="334C8AD6" w14:textId="77777777" w:rsidTr="005C434E">
        <w:trPr>
          <w:trHeight w:val="20"/>
        </w:trPr>
        <w:tc>
          <w:tcPr>
            <w:tcW w:w="452" w:type="pct"/>
          </w:tcPr>
          <w:p w14:paraId="1E16A2D6" w14:textId="77777777" w:rsidR="00BF32D7" w:rsidRPr="007E1EE3" w:rsidRDefault="00BF32D7" w:rsidP="007E1EE3">
            <w:pPr>
              <w:pStyle w:val="TableBodyText"/>
              <w:keepNext/>
              <w:keepLines/>
              <w:rPr>
                <w:szCs w:val="20"/>
              </w:rPr>
            </w:pPr>
            <w:r w:rsidRPr="007E1EE3">
              <w:rPr>
                <w:szCs w:val="20"/>
              </w:rPr>
              <w:t>WQ1</w:t>
            </w:r>
          </w:p>
        </w:tc>
        <w:tc>
          <w:tcPr>
            <w:tcW w:w="1315" w:type="pct"/>
          </w:tcPr>
          <w:p w14:paraId="4531D6D3" w14:textId="77777777" w:rsidR="00BF32D7" w:rsidRPr="007E1EE3" w:rsidRDefault="00BF32D7" w:rsidP="007E1EE3">
            <w:pPr>
              <w:pStyle w:val="TableBodyText"/>
              <w:keepNext/>
              <w:keepLines/>
              <w:rPr>
                <w:rStyle w:val="Bold"/>
                <w:szCs w:val="20"/>
              </w:rPr>
            </w:pPr>
            <w:r w:rsidRPr="007E1EE3">
              <w:rPr>
                <w:rStyle w:val="Bold"/>
                <w:szCs w:val="20"/>
              </w:rPr>
              <w:t>Water Quality</w:t>
            </w:r>
          </w:p>
          <w:p w14:paraId="327ED5FD" w14:textId="7C64650E" w:rsidR="00BF32D7" w:rsidRPr="007E1EE3" w:rsidRDefault="00BF32D7" w:rsidP="007E1EE3">
            <w:pPr>
              <w:pStyle w:val="TableBodyText"/>
              <w:keepNext/>
              <w:keepLines/>
              <w:rPr>
                <w:szCs w:val="20"/>
              </w:rPr>
            </w:pPr>
            <w:r w:rsidRPr="007E1EE3">
              <w:rPr>
                <w:szCs w:val="20"/>
              </w:rPr>
              <w:t>Compliance with Bulk Water Service Agreement</w:t>
            </w:r>
          </w:p>
          <w:p w14:paraId="6571A97B" w14:textId="43E7BD36" w:rsidR="00BF32D7" w:rsidRPr="007E1EE3" w:rsidRDefault="00BF32D7" w:rsidP="007E1EE3">
            <w:pPr>
              <w:pStyle w:val="TableBodyText"/>
              <w:keepNext/>
              <w:keepLines/>
              <w:rPr>
                <w:szCs w:val="20"/>
              </w:rPr>
            </w:pPr>
            <w:r w:rsidRPr="007E1EE3">
              <w:rPr>
                <w:szCs w:val="20"/>
              </w:rPr>
              <w:t xml:space="preserve">(BWSA): Microbiological Standards — </w:t>
            </w:r>
            <w:r w:rsidRPr="007E1EE3">
              <w:rPr>
                <w:rStyle w:val="ItalicText"/>
                <w:szCs w:val="20"/>
              </w:rPr>
              <w:t>E. coli</w:t>
            </w:r>
          </w:p>
        </w:tc>
        <w:tc>
          <w:tcPr>
            <w:tcW w:w="520" w:type="pct"/>
          </w:tcPr>
          <w:p w14:paraId="547FC74C" w14:textId="3EECAEAE" w:rsidR="00BF32D7" w:rsidRPr="007E1EE3" w:rsidRDefault="00BF32D7" w:rsidP="005C434E">
            <w:pPr>
              <w:pStyle w:val="TableBodyText"/>
              <w:keepNext/>
              <w:keepLines/>
              <w:jc w:val="right"/>
              <w:rPr>
                <w:szCs w:val="20"/>
              </w:rPr>
            </w:pPr>
            <w:r w:rsidRPr="007E1EE3">
              <w:rPr>
                <w:szCs w:val="20"/>
              </w:rPr>
              <w:t>100.0%</w:t>
            </w:r>
          </w:p>
        </w:tc>
        <w:tc>
          <w:tcPr>
            <w:tcW w:w="481" w:type="pct"/>
          </w:tcPr>
          <w:p w14:paraId="450D92DD" w14:textId="61F5B35D" w:rsidR="00BF32D7" w:rsidRPr="007E1EE3" w:rsidRDefault="00BF32D7" w:rsidP="005C434E">
            <w:pPr>
              <w:pStyle w:val="TableBodyText"/>
              <w:keepNext/>
              <w:keepLines/>
              <w:jc w:val="right"/>
              <w:rPr>
                <w:szCs w:val="20"/>
              </w:rPr>
            </w:pPr>
            <w:r w:rsidRPr="007E1EE3">
              <w:rPr>
                <w:szCs w:val="20"/>
              </w:rPr>
              <w:t>100.0%</w:t>
            </w:r>
          </w:p>
        </w:tc>
        <w:tc>
          <w:tcPr>
            <w:tcW w:w="446" w:type="pct"/>
          </w:tcPr>
          <w:p w14:paraId="34C80379" w14:textId="07C543C8" w:rsidR="00BF32D7" w:rsidRPr="007E1EE3" w:rsidRDefault="00BF32D7" w:rsidP="005C434E">
            <w:pPr>
              <w:pStyle w:val="TableBodyText"/>
              <w:keepNext/>
              <w:keepLines/>
              <w:jc w:val="right"/>
              <w:rPr>
                <w:szCs w:val="20"/>
              </w:rPr>
            </w:pPr>
            <w:r w:rsidRPr="007E1EE3">
              <w:rPr>
                <w:szCs w:val="20"/>
              </w:rPr>
              <w:t>100.0%</w:t>
            </w:r>
          </w:p>
        </w:tc>
        <w:tc>
          <w:tcPr>
            <w:tcW w:w="588" w:type="pct"/>
          </w:tcPr>
          <w:p w14:paraId="783A14F7" w14:textId="172222B3" w:rsidR="00BF32D7" w:rsidRPr="007E1EE3" w:rsidRDefault="00BF32D7" w:rsidP="005C434E">
            <w:pPr>
              <w:pStyle w:val="TableBodyText"/>
              <w:keepNext/>
              <w:keepLines/>
              <w:jc w:val="right"/>
              <w:rPr>
                <w:szCs w:val="20"/>
              </w:rPr>
            </w:pPr>
            <w:r w:rsidRPr="007E1EE3">
              <w:rPr>
                <w:szCs w:val="20"/>
              </w:rPr>
              <w:t>0.0%</w:t>
            </w:r>
          </w:p>
        </w:tc>
        <w:tc>
          <w:tcPr>
            <w:tcW w:w="358" w:type="pct"/>
          </w:tcPr>
          <w:p w14:paraId="67434A07" w14:textId="392199D3" w:rsidR="00BF32D7" w:rsidRPr="007E1EE3" w:rsidRDefault="00BF32D7" w:rsidP="005C434E">
            <w:pPr>
              <w:pStyle w:val="TableBodyText"/>
              <w:keepNext/>
              <w:keepLines/>
              <w:jc w:val="right"/>
              <w:rPr>
                <w:szCs w:val="20"/>
              </w:rPr>
            </w:pPr>
            <w:r w:rsidRPr="007E1EE3">
              <w:rPr>
                <w:szCs w:val="20"/>
              </w:rPr>
              <w:t>N/A</w:t>
            </w:r>
          </w:p>
        </w:tc>
        <w:tc>
          <w:tcPr>
            <w:tcW w:w="492" w:type="pct"/>
          </w:tcPr>
          <w:p w14:paraId="1B7BE9F4" w14:textId="5D492D8E" w:rsidR="00BF32D7" w:rsidRPr="007E1EE3" w:rsidRDefault="00BF32D7" w:rsidP="005C434E">
            <w:pPr>
              <w:pStyle w:val="TableBodyText"/>
              <w:keepNext/>
              <w:keepLines/>
              <w:jc w:val="right"/>
              <w:rPr>
                <w:szCs w:val="20"/>
              </w:rPr>
            </w:pPr>
            <w:r w:rsidRPr="007E1EE3">
              <w:rPr>
                <w:szCs w:val="20"/>
              </w:rPr>
              <w:t>0.0%</w:t>
            </w:r>
          </w:p>
        </w:tc>
        <w:tc>
          <w:tcPr>
            <w:tcW w:w="348" w:type="pct"/>
          </w:tcPr>
          <w:p w14:paraId="7BCAEF55" w14:textId="3BEE5BC3" w:rsidR="00BF32D7" w:rsidRPr="007E1EE3" w:rsidRDefault="00BF32D7" w:rsidP="007E1EE3">
            <w:pPr>
              <w:pStyle w:val="TableBodyText"/>
              <w:keepNext/>
              <w:keepLines/>
              <w:rPr>
                <w:szCs w:val="20"/>
              </w:rPr>
            </w:pPr>
            <w:r w:rsidRPr="007E1EE3">
              <w:rPr>
                <w:szCs w:val="20"/>
              </w:rPr>
              <w:t>N/A</w:t>
            </w:r>
          </w:p>
        </w:tc>
      </w:tr>
      <w:tr w:rsidR="00BF32D7" w:rsidRPr="007E1EE3" w14:paraId="3C98D996" w14:textId="77777777" w:rsidTr="005C434E">
        <w:trPr>
          <w:trHeight w:val="20"/>
        </w:trPr>
        <w:tc>
          <w:tcPr>
            <w:tcW w:w="452" w:type="pct"/>
          </w:tcPr>
          <w:p w14:paraId="6F9B77C6" w14:textId="77777777" w:rsidR="00BF32D7" w:rsidRPr="007E1EE3" w:rsidRDefault="00BF32D7" w:rsidP="007E1EE3">
            <w:pPr>
              <w:pStyle w:val="TableBodyText"/>
              <w:keepNext/>
              <w:keepLines/>
              <w:rPr>
                <w:szCs w:val="20"/>
              </w:rPr>
            </w:pPr>
            <w:r w:rsidRPr="007E1EE3">
              <w:rPr>
                <w:szCs w:val="20"/>
              </w:rPr>
              <w:t>WQ2</w:t>
            </w:r>
          </w:p>
        </w:tc>
        <w:tc>
          <w:tcPr>
            <w:tcW w:w="1315" w:type="pct"/>
          </w:tcPr>
          <w:p w14:paraId="0209C79C" w14:textId="77777777" w:rsidR="00BF32D7" w:rsidRPr="007E1EE3" w:rsidRDefault="00BF32D7" w:rsidP="007E1EE3">
            <w:pPr>
              <w:pStyle w:val="TableBodyText"/>
              <w:keepNext/>
              <w:keepLines/>
              <w:rPr>
                <w:rStyle w:val="Bold"/>
                <w:szCs w:val="20"/>
              </w:rPr>
            </w:pPr>
            <w:r w:rsidRPr="007E1EE3">
              <w:rPr>
                <w:rStyle w:val="Bold"/>
                <w:szCs w:val="20"/>
              </w:rPr>
              <w:t>Water Quality</w:t>
            </w:r>
          </w:p>
          <w:p w14:paraId="3A4EDF44" w14:textId="7A687420" w:rsidR="00BF32D7" w:rsidRPr="007E1EE3" w:rsidRDefault="00BF32D7" w:rsidP="007E1EE3">
            <w:pPr>
              <w:pStyle w:val="TableBodyText"/>
              <w:keepNext/>
              <w:keepLines/>
              <w:rPr>
                <w:szCs w:val="20"/>
              </w:rPr>
            </w:pPr>
            <w:r w:rsidRPr="007E1EE3">
              <w:rPr>
                <w:szCs w:val="20"/>
              </w:rPr>
              <w:t>Compliance with BWSA: Aesthetics — Turbidity</w:t>
            </w:r>
          </w:p>
        </w:tc>
        <w:tc>
          <w:tcPr>
            <w:tcW w:w="520" w:type="pct"/>
          </w:tcPr>
          <w:p w14:paraId="7ED802C0" w14:textId="0EB16E3F" w:rsidR="00BF32D7" w:rsidRPr="007E1EE3" w:rsidRDefault="00BF32D7" w:rsidP="005C434E">
            <w:pPr>
              <w:pStyle w:val="TableBodyText"/>
              <w:keepNext/>
              <w:keepLines/>
              <w:jc w:val="right"/>
              <w:rPr>
                <w:szCs w:val="20"/>
              </w:rPr>
            </w:pPr>
            <w:r w:rsidRPr="007E1EE3">
              <w:rPr>
                <w:szCs w:val="20"/>
              </w:rPr>
              <w:t>97.9%</w:t>
            </w:r>
          </w:p>
        </w:tc>
        <w:tc>
          <w:tcPr>
            <w:tcW w:w="481" w:type="pct"/>
          </w:tcPr>
          <w:p w14:paraId="3FEE71CB" w14:textId="4CFBEE99" w:rsidR="00BF32D7" w:rsidRPr="007E1EE3" w:rsidRDefault="00BF32D7" w:rsidP="005C434E">
            <w:pPr>
              <w:pStyle w:val="TableBodyText"/>
              <w:keepNext/>
              <w:keepLines/>
              <w:jc w:val="right"/>
              <w:rPr>
                <w:szCs w:val="20"/>
              </w:rPr>
            </w:pPr>
            <w:r w:rsidRPr="007E1EE3">
              <w:rPr>
                <w:szCs w:val="20"/>
              </w:rPr>
              <w:t>94.7%</w:t>
            </w:r>
          </w:p>
        </w:tc>
        <w:tc>
          <w:tcPr>
            <w:tcW w:w="446" w:type="pct"/>
          </w:tcPr>
          <w:p w14:paraId="39903DE8" w14:textId="4E43A08D" w:rsidR="00BF32D7" w:rsidRPr="007E1EE3" w:rsidRDefault="00BF32D7" w:rsidP="005C434E">
            <w:pPr>
              <w:pStyle w:val="TableBodyText"/>
              <w:keepNext/>
              <w:keepLines/>
              <w:jc w:val="right"/>
              <w:rPr>
                <w:szCs w:val="20"/>
              </w:rPr>
            </w:pPr>
            <w:r w:rsidRPr="007E1EE3">
              <w:rPr>
                <w:szCs w:val="20"/>
              </w:rPr>
              <w:t>91.5%</w:t>
            </w:r>
          </w:p>
        </w:tc>
        <w:tc>
          <w:tcPr>
            <w:tcW w:w="588" w:type="pct"/>
          </w:tcPr>
          <w:p w14:paraId="6DA3B9DB" w14:textId="4F185180" w:rsidR="00BF32D7" w:rsidRPr="007E1EE3" w:rsidRDefault="00BF32D7" w:rsidP="005C434E">
            <w:pPr>
              <w:pStyle w:val="TableBodyText"/>
              <w:keepNext/>
              <w:keepLines/>
              <w:jc w:val="right"/>
              <w:rPr>
                <w:szCs w:val="20"/>
              </w:rPr>
            </w:pPr>
            <w:r w:rsidRPr="007E1EE3">
              <w:rPr>
                <w:szCs w:val="20"/>
              </w:rPr>
              <w:t>-3.3%</w:t>
            </w:r>
          </w:p>
        </w:tc>
        <w:tc>
          <w:tcPr>
            <w:tcW w:w="358" w:type="pct"/>
          </w:tcPr>
          <w:p w14:paraId="3D1DF8D3" w14:textId="47C13B3B" w:rsidR="00BF32D7" w:rsidRPr="007E1EE3" w:rsidRDefault="00BF32D7" w:rsidP="005C434E">
            <w:pPr>
              <w:pStyle w:val="TableBodyText"/>
              <w:keepNext/>
              <w:keepLines/>
              <w:jc w:val="right"/>
              <w:rPr>
                <w:szCs w:val="20"/>
              </w:rPr>
            </w:pPr>
            <w:r w:rsidRPr="007E1EE3">
              <w:rPr>
                <w:szCs w:val="20"/>
              </w:rPr>
              <w:t>N/A</w:t>
            </w:r>
          </w:p>
        </w:tc>
        <w:tc>
          <w:tcPr>
            <w:tcW w:w="492" w:type="pct"/>
          </w:tcPr>
          <w:p w14:paraId="41DF90A4" w14:textId="04A85298" w:rsidR="00BF32D7" w:rsidRPr="007E1EE3" w:rsidRDefault="00BF32D7" w:rsidP="005C434E">
            <w:pPr>
              <w:pStyle w:val="TableBodyText"/>
              <w:keepNext/>
              <w:keepLines/>
              <w:jc w:val="right"/>
              <w:rPr>
                <w:szCs w:val="20"/>
              </w:rPr>
            </w:pPr>
            <w:r w:rsidRPr="007E1EE3">
              <w:rPr>
                <w:szCs w:val="20"/>
              </w:rPr>
              <w:t>3.5%</w:t>
            </w:r>
          </w:p>
        </w:tc>
        <w:tc>
          <w:tcPr>
            <w:tcW w:w="348" w:type="pct"/>
          </w:tcPr>
          <w:p w14:paraId="38BCC330" w14:textId="6679DEAC" w:rsidR="00BF32D7" w:rsidRPr="007E1EE3" w:rsidRDefault="00BF32D7" w:rsidP="007E1EE3">
            <w:pPr>
              <w:pStyle w:val="TableBodyText"/>
              <w:keepNext/>
              <w:keepLines/>
              <w:rPr>
                <w:szCs w:val="20"/>
              </w:rPr>
            </w:pPr>
            <w:r w:rsidRPr="007E1EE3">
              <w:rPr>
                <w:szCs w:val="20"/>
              </w:rPr>
              <w:t>N/A</w:t>
            </w:r>
          </w:p>
        </w:tc>
      </w:tr>
      <w:tr w:rsidR="00BF32D7" w:rsidRPr="007E1EE3" w14:paraId="7319205D" w14:textId="77777777" w:rsidTr="005C434E">
        <w:trPr>
          <w:trHeight w:val="20"/>
        </w:trPr>
        <w:tc>
          <w:tcPr>
            <w:tcW w:w="452" w:type="pct"/>
          </w:tcPr>
          <w:p w14:paraId="387379D4" w14:textId="77777777" w:rsidR="00BF32D7" w:rsidRPr="007E1EE3" w:rsidRDefault="00BF32D7" w:rsidP="00150950">
            <w:pPr>
              <w:pStyle w:val="TableBodyText"/>
              <w:rPr>
                <w:szCs w:val="20"/>
              </w:rPr>
            </w:pPr>
            <w:r w:rsidRPr="007E1EE3">
              <w:rPr>
                <w:szCs w:val="20"/>
              </w:rPr>
              <w:t>CRM1</w:t>
            </w:r>
          </w:p>
        </w:tc>
        <w:tc>
          <w:tcPr>
            <w:tcW w:w="1315" w:type="pct"/>
          </w:tcPr>
          <w:p w14:paraId="274C681E" w14:textId="77777777" w:rsidR="00BF32D7" w:rsidRPr="007E1EE3" w:rsidRDefault="00BF32D7" w:rsidP="00150950">
            <w:pPr>
              <w:pStyle w:val="TableBodyText"/>
              <w:rPr>
                <w:rStyle w:val="Bold"/>
                <w:szCs w:val="20"/>
              </w:rPr>
            </w:pPr>
            <w:r w:rsidRPr="007E1EE3">
              <w:rPr>
                <w:rStyle w:val="Bold"/>
                <w:szCs w:val="20"/>
              </w:rPr>
              <w:t>Customer Responsiveness</w:t>
            </w:r>
          </w:p>
          <w:p w14:paraId="4115895D" w14:textId="784CDE48" w:rsidR="00BF32D7" w:rsidRPr="007E1EE3" w:rsidRDefault="00BF32D7" w:rsidP="00150950">
            <w:pPr>
              <w:pStyle w:val="TableBodyText"/>
              <w:rPr>
                <w:szCs w:val="20"/>
              </w:rPr>
            </w:pPr>
            <w:r w:rsidRPr="007E1EE3">
              <w:rPr>
                <w:szCs w:val="20"/>
              </w:rPr>
              <w:t>Complaints referred to Energy</w:t>
            </w:r>
            <w:r w:rsidR="00E67BBC" w:rsidRPr="007E1EE3">
              <w:rPr>
                <w:szCs w:val="20"/>
              </w:rPr>
              <w:t xml:space="preserve"> </w:t>
            </w:r>
            <w:r w:rsidRPr="007E1EE3">
              <w:rPr>
                <w:szCs w:val="20"/>
              </w:rPr>
              <w:t xml:space="preserve">and Water Ombudsman Victoria (EWOV) responded </w:t>
            </w:r>
            <w:r w:rsidRPr="007E1EE3">
              <w:rPr>
                <w:szCs w:val="20"/>
              </w:rPr>
              <w:lastRenderedPageBreak/>
              <w:t>to within EWOV established time</w:t>
            </w:r>
          </w:p>
        </w:tc>
        <w:tc>
          <w:tcPr>
            <w:tcW w:w="520" w:type="pct"/>
          </w:tcPr>
          <w:p w14:paraId="72439C55" w14:textId="0968617C" w:rsidR="00BF32D7" w:rsidRPr="007E1EE3" w:rsidRDefault="00BF32D7" w:rsidP="005C434E">
            <w:pPr>
              <w:pStyle w:val="TableBodyText"/>
              <w:jc w:val="right"/>
              <w:rPr>
                <w:szCs w:val="20"/>
              </w:rPr>
            </w:pPr>
            <w:r w:rsidRPr="007E1EE3">
              <w:rPr>
                <w:szCs w:val="20"/>
              </w:rPr>
              <w:lastRenderedPageBreak/>
              <w:t>100.0%</w:t>
            </w:r>
          </w:p>
        </w:tc>
        <w:tc>
          <w:tcPr>
            <w:tcW w:w="481" w:type="pct"/>
          </w:tcPr>
          <w:p w14:paraId="26D16A22" w14:textId="3F2C6584" w:rsidR="00BF32D7" w:rsidRPr="007E1EE3" w:rsidRDefault="00BF32D7" w:rsidP="005C434E">
            <w:pPr>
              <w:pStyle w:val="TableBodyText"/>
              <w:jc w:val="right"/>
              <w:rPr>
                <w:szCs w:val="20"/>
              </w:rPr>
            </w:pPr>
            <w:r w:rsidRPr="007E1EE3">
              <w:rPr>
                <w:szCs w:val="20"/>
              </w:rPr>
              <w:t>100.0%</w:t>
            </w:r>
          </w:p>
        </w:tc>
        <w:tc>
          <w:tcPr>
            <w:tcW w:w="446" w:type="pct"/>
          </w:tcPr>
          <w:p w14:paraId="4AE15A91" w14:textId="0152CEF0" w:rsidR="00BF32D7" w:rsidRPr="007E1EE3" w:rsidRDefault="00BF32D7" w:rsidP="005C434E">
            <w:pPr>
              <w:pStyle w:val="TableBodyText"/>
              <w:jc w:val="right"/>
              <w:rPr>
                <w:szCs w:val="20"/>
              </w:rPr>
            </w:pPr>
            <w:r w:rsidRPr="007E1EE3">
              <w:rPr>
                <w:szCs w:val="20"/>
              </w:rPr>
              <w:t>100.0%</w:t>
            </w:r>
          </w:p>
        </w:tc>
        <w:tc>
          <w:tcPr>
            <w:tcW w:w="588" w:type="pct"/>
          </w:tcPr>
          <w:p w14:paraId="425C39B4" w14:textId="6F06B7FB" w:rsidR="00BF32D7" w:rsidRPr="007E1EE3" w:rsidRDefault="00BF32D7" w:rsidP="005C434E">
            <w:pPr>
              <w:pStyle w:val="TableBodyText"/>
              <w:jc w:val="right"/>
              <w:rPr>
                <w:szCs w:val="20"/>
              </w:rPr>
            </w:pPr>
            <w:r w:rsidRPr="007E1EE3">
              <w:rPr>
                <w:szCs w:val="20"/>
              </w:rPr>
              <w:t>0.0%</w:t>
            </w:r>
          </w:p>
        </w:tc>
        <w:tc>
          <w:tcPr>
            <w:tcW w:w="358" w:type="pct"/>
          </w:tcPr>
          <w:p w14:paraId="671E7DBD" w14:textId="102F8727" w:rsidR="00BF32D7" w:rsidRPr="007E1EE3" w:rsidRDefault="00E67BBC" w:rsidP="005C434E">
            <w:pPr>
              <w:pStyle w:val="TableBodyText"/>
              <w:jc w:val="right"/>
              <w:rPr>
                <w:szCs w:val="20"/>
              </w:rPr>
            </w:pPr>
            <w:r w:rsidRPr="007E1EE3">
              <w:rPr>
                <w:szCs w:val="20"/>
              </w:rPr>
              <w:t>N/A</w:t>
            </w:r>
          </w:p>
        </w:tc>
        <w:tc>
          <w:tcPr>
            <w:tcW w:w="492" w:type="pct"/>
          </w:tcPr>
          <w:p w14:paraId="17CAA337" w14:textId="4AE34CF9" w:rsidR="00BF32D7" w:rsidRPr="007E1EE3" w:rsidRDefault="00BF32D7" w:rsidP="005C434E">
            <w:pPr>
              <w:pStyle w:val="TableBodyText"/>
              <w:jc w:val="right"/>
              <w:rPr>
                <w:szCs w:val="20"/>
              </w:rPr>
            </w:pPr>
            <w:r w:rsidRPr="007E1EE3">
              <w:rPr>
                <w:szCs w:val="20"/>
              </w:rPr>
              <w:t>0.0%</w:t>
            </w:r>
          </w:p>
        </w:tc>
        <w:tc>
          <w:tcPr>
            <w:tcW w:w="348" w:type="pct"/>
          </w:tcPr>
          <w:p w14:paraId="53E42981" w14:textId="069D0859" w:rsidR="00BF32D7" w:rsidRPr="007E1EE3" w:rsidRDefault="00E67BBC" w:rsidP="00150950">
            <w:pPr>
              <w:pStyle w:val="TableBodyText"/>
              <w:rPr>
                <w:szCs w:val="20"/>
              </w:rPr>
            </w:pPr>
            <w:r w:rsidRPr="007E1EE3">
              <w:rPr>
                <w:szCs w:val="20"/>
              </w:rPr>
              <w:t>N/A</w:t>
            </w:r>
          </w:p>
        </w:tc>
      </w:tr>
      <w:tr w:rsidR="00BF32D7" w:rsidRPr="007E1EE3" w14:paraId="6C6C5FE0" w14:textId="77777777" w:rsidTr="005C434E">
        <w:trPr>
          <w:trHeight w:val="20"/>
        </w:trPr>
        <w:tc>
          <w:tcPr>
            <w:tcW w:w="452" w:type="pct"/>
          </w:tcPr>
          <w:p w14:paraId="34A70822" w14:textId="77777777" w:rsidR="00BF32D7" w:rsidRPr="007E1EE3" w:rsidRDefault="00BF32D7" w:rsidP="00E757F8">
            <w:pPr>
              <w:pStyle w:val="TableBodyText"/>
              <w:keepLines/>
              <w:rPr>
                <w:szCs w:val="20"/>
              </w:rPr>
            </w:pPr>
            <w:r w:rsidRPr="007E1EE3">
              <w:rPr>
                <w:szCs w:val="20"/>
              </w:rPr>
              <w:t>EM1</w:t>
            </w:r>
          </w:p>
        </w:tc>
        <w:tc>
          <w:tcPr>
            <w:tcW w:w="1315" w:type="pct"/>
          </w:tcPr>
          <w:p w14:paraId="381FB7AB" w14:textId="51FDA974" w:rsidR="00BF32D7" w:rsidRPr="007E1EE3" w:rsidRDefault="00BF32D7" w:rsidP="00E757F8">
            <w:pPr>
              <w:pStyle w:val="TableBodyText"/>
              <w:keepLines/>
              <w:rPr>
                <w:rStyle w:val="Bold"/>
                <w:szCs w:val="20"/>
              </w:rPr>
            </w:pPr>
            <w:r w:rsidRPr="007E1EE3">
              <w:rPr>
                <w:rStyle w:val="Bold"/>
                <w:szCs w:val="20"/>
              </w:rPr>
              <w:t>Non-Compliance with other Environment Protection Authority Victoria (EPA Victoria) Licence</w:t>
            </w:r>
            <w:r w:rsidR="00E67BBC" w:rsidRPr="007E1EE3">
              <w:rPr>
                <w:rStyle w:val="Bold"/>
                <w:szCs w:val="20"/>
              </w:rPr>
              <w:t xml:space="preserve"> </w:t>
            </w:r>
            <w:r w:rsidRPr="007E1EE3">
              <w:rPr>
                <w:rStyle w:val="Bold"/>
                <w:szCs w:val="20"/>
              </w:rPr>
              <w:t xml:space="preserve">and </w:t>
            </w:r>
            <w:r w:rsidR="00965CBF">
              <w:rPr>
                <w:rStyle w:val="Bold"/>
                <w:szCs w:val="20"/>
              </w:rPr>
              <w:t>State Environment Protection Policy</w:t>
            </w:r>
            <w:r w:rsidRPr="007E1EE3">
              <w:rPr>
                <w:rStyle w:val="Bold"/>
                <w:szCs w:val="20"/>
              </w:rPr>
              <w:t xml:space="preserve"> parameters – Sewerage system failure</w:t>
            </w:r>
          </w:p>
          <w:p w14:paraId="33D5DE2F" w14:textId="77777777" w:rsidR="00BF32D7" w:rsidRPr="007E1EE3" w:rsidRDefault="00BF32D7" w:rsidP="00E757F8">
            <w:pPr>
              <w:pStyle w:val="TableBodyText"/>
              <w:keepLines/>
              <w:rPr>
                <w:szCs w:val="20"/>
              </w:rPr>
            </w:pPr>
            <w:r w:rsidRPr="007E1EE3">
              <w:rPr>
                <w:szCs w:val="20"/>
              </w:rPr>
              <w:t>Zero spills due to sewerage system failure</w:t>
            </w:r>
          </w:p>
        </w:tc>
        <w:tc>
          <w:tcPr>
            <w:tcW w:w="520" w:type="pct"/>
          </w:tcPr>
          <w:p w14:paraId="13816078" w14:textId="77777777" w:rsidR="00BF32D7" w:rsidRPr="007E1EE3" w:rsidRDefault="00BF32D7" w:rsidP="005C434E">
            <w:pPr>
              <w:pStyle w:val="TableBodyText"/>
              <w:keepLines/>
              <w:jc w:val="right"/>
              <w:rPr>
                <w:szCs w:val="20"/>
              </w:rPr>
            </w:pPr>
            <w:r w:rsidRPr="007E1EE3">
              <w:rPr>
                <w:szCs w:val="20"/>
              </w:rPr>
              <w:t>0.0</w:t>
            </w:r>
          </w:p>
        </w:tc>
        <w:tc>
          <w:tcPr>
            <w:tcW w:w="481" w:type="pct"/>
          </w:tcPr>
          <w:p w14:paraId="2F8947DF" w14:textId="77777777" w:rsidR="00BF32D7" w:rsidRPr="007E1EE3" w:rsidRDefault="00BF32D7" w:rsidP="005C434E">
            <w:pPr>
              <w:pStyle w:val="TableBodyText"/>
              <w:keepLines/>
              <w:jc w:val="right"/>
              <w:rPr>
                <w:szCs w:val="20"/>
              </w:rPr>
            </w:pPr>
            <w:r w:rsidRPr="007E1EE3">
              <w:rPr>
                <w:szCs w:val="20"/>
              </w:rPr>
              <w:t>0.0</w:t>
            </w:r>
          </w:p>
        </w:tc>
        <w:tc>
          <w:tcPr>
            <w:tcW w:w="446" w:type="pct"/>
          </w:tcPr>
          <w:p w14:paraId="0B689876" w14:textId="77777777" w:rsidR="00BF32D7" w:rsidRPr="007E1EE3" w:rsidRDefault="00BF32D7" w:rsidP="005C434E">
            <w:pPr>
              <w:pStyle w:val="TableBodyText"/>
              <w:keepLines/>
              <w:jc w:val="right"/>
              <w:rPr>
                <w:szCs w:val="20"/>
              </w:rPr>
            </w:pPr>
            <w:r w:rsidRPr="007E1EE3">
              <w:rPr>
                <w:szCs w:val="20"/>
              </w:rPr>
              <w:t>0.0</w:t>
            </w:r>
          </w:p>
        </w:tc>
        <w:tc>
          <w:tcPr>
            <w:tcW w:w="588" w:type="pct"/>
          </w:tcPr>
          <w:p w14:paraId="7E4799B4" w14:textId="77777777" w:rsidR="00BF32D7" w:rsidRPr="007E1EE3" w:rsidRDefault="00BF32D7" w:rsidP="005C434E">
            <w:pPr>
              <w:pStyle w:val="TableBodyText"/>
              <w:keepLines/>
              <w:jc w:val="right"/>
              <w:rPr>
                <w:szCs w:val="20"/>
              </w:rPr>
            </w:pPr>
            <w:r w:rsidRPr="007E1EE3">
              <w:rPr>
                <w:szCs w:val="20"/>
              </w:rPr>
              <w:t>0.0%</w:t>
            </w:r>
          </w:p>
        </w:tc>
        <w:tc>
          <w:tcPr>
            <w:tcW w:w="358" w:type="pct"/>
          </w:tcPr>
          <w:p w14:paraId="1BE0914B" w14:textId="06F243D0" w:rsidR="00BF32D7" w:rsidRPr="007E1EE3" w:rsidRDefault="00E67BBC" w:rsidP="005C434E">
            <w:pPr>
              <w:pStyle w:val="TableBodyText"/>
              <w:keepLines/>
              <w:jc w:val="right"/>
              <w:rPr>
                <w:szCs w:val="20"/>
              </w:rPr>
            </w:pPr>
            <w:r w:rsidRPr="007E1EE3">
              <w:rPr>
                <w:szCs w:val="20"/>
              </w:rPr>
              <w:t>N/A</w:t>
            </w:r>
          </w:p>
        </w:tc>
        <w:tc>
          <w:tcPr>
            <w:tcW w:w="492" w:type="pct"/>
          </w:tcPr>
          <w:p w14:paraId="218CAFAA" w14:textId="77777777" w:rsidR="00BF32D7" w:rsidRPr="007E1EE3" w:rsidRDefault="00BF32D7" w:rsidP="005C434E">
            <w:pPr>
              <w:pStyle w:val="TableBodyText"/>
              <w:keepLines/>
              <w:jc w:val="right"/>
              <w:rPr>
                <w:szCs w:val="20"/>
              </w:rPr>
            </w:pPr>
            <w:r w:rsidRPr="007E1EE3">
              <w:rPr>
                <w:szCs w:val="20"/>
              </w:rPr>
              <w:t>0.0%</w:t>
            </w:r>
          </w:p>
        </w:tc>
        <w:tc>
          <w:tcPr>
            <w:tcW w:w="348" w:type="pct"/>
          </w:tcPr>
          <w:p w14:paraId="2D3BDBCF" w14:textId="669D4B37" w:rsidR="00BF32D7" w:rsidRPr="007E1EE3" w:rsidRDefault="00E67BBC" w:rsidP="00E757F8">
            <w:pPr>
              <w:pStyle w:val="TableBodyText"/>
              <w:keepLines/>
              <w:rPr>
                <w:szCs w:val="20"/>
              </w:rPr>
            </w:pPr>
            <w:r w:rsidRPr="007E1EE3">
              <w:rPr>
                <w:szCs w:val="20"/>
              </w:rPr>
              <w:t>N/A</w:t>
            </w:r>
          </w:p>
        </w:tc>
      </w:tr>
      <w:tr w:rsidR="00E67BBC" w:rsidRPr="007E1EE3" w14:paraId="6259C29D" w14:textId="77777777" w:rsidTr="005C434E">
        <w:trPr>
          <w:trHeight w:val="20"/>
        </w:trPr>
        <w:tc>
          <w:tcPr>
            <w:tcW w:w="452" w:type="pct"/>
          </w:tcPr>
          <w:p w14:paraId="782739EC" w14:textId="22DD3B12" w:rsidR="00E67BBC" w:rsidRPr="007E1EE3" w:rsidRDefault="00E67BBC" w:rsidP="00150950">
            <w:pPr>
              <w:pStyle w:val="TableBodyText"/>
              <w:rPr>
                <w:szCs w:val="20"/>
              </w:rPr>
            </w:pPr>
            <w:r w:rsidRPr="007E1EE3">
              <w:rPr>
                <w:szCs w:val="20"/>
              </w:rPr>
              <w:t>EM2</w:t>
            </w:r>
          </w:p>
        </w:tc>
        <w:tc>
          <w:tcPr>
            <w:tcW w:w="1315" w:type="pct"/>
          </w:tcPr>
          <w:p w14:paraId="13E614BD" w14:textId="04488414" w:rsidR="00E67BBC" w:rsidRPr="007E1EE3" w:rsidRDefault="00E67BBC" w:rsidP="00150950">
            <w:pPr>
              <w:pStyle w:val="TableBodyText"/>
              <w:rPr>
                <w:rStyle w:val="Bold"/>
                <w:szCs w:val="20"/>
              </w:rPr>
            </w:pPr>
            <w:r w:rsidRPr="007E1EE3">
              <w:rPr>
                <w:rStyle w:val="Bold"/>
                <w:szCs w:val="20"/>
              </w:rPr>
              <w:t>Compliance with EPA Victoria discharge licence requirements</w:t>
            </w:r>
          </w:p>
        </w:tc>
        <w:tc>
          <w:tcPr>
            <w:tcW w:w="520" w:type="pct"/>
          </w:tcPr>
          <w:p w14:paraId="7CB64FD4" w14:textId="22BF71FE" w:rsidR="00E67BBC" w:rsidRPr="007E1EE3" w:rsidRDefault="00E67BBC" w:rsidP="005C434E">
            <w:pPr>
              <w:pStyle w:val="TableBodyText"/>
              <w:jc w:val="right"/>
              <w:rPr>
                <w:szCs w:val="20"/>
              </w:rPr>
            </w:pPr>
            <w:r w:rsidRPr="007E1EE3">
              <w:rPr>
                <w:szCs w:val="20"/>
              </w:rPr>
              <w:t>N/A</w:t>
            </w:r>
          </w:p>
        </w:tc>
        <w:tc>
          <w:tcPr>
            <w:tcW w:w="481" w:type="pct"/>
          </w:tcPr>
          <w:p w14:paraId="7921688E" w14:textId="2584E6B5" w:rsidR="00E67BBC" w:rsidRPr="007E1EE3" w:rsidRDefault="00E67BBC" w:rsidP="005C434E">
            <w:pPr>
              <w:pStyle w:val="TableBodyText"/>
              <w:jc w:val="right"/>
              <w:rPr>
                <w:szCs w:val="20"/>
              </w:rPr>
            </w:pPr>
            <w:r w:rsidRPr="007E1EE3">
              <w:rPr>
                <w:szCs w:val="20"/>
              </w:rPr>
              <w:t>N/A</w:t>
            </w:r>
          </w:p>
        </w:tc>
        <w:tc>
          <w:tcPr>
            <w:tcW w:w="446" w:type="pct"/>
          </w:tcPr>
          <w:p w14:paraId="11B50933" w14:textId="76936187" w:rsidR="00E67BBC" w:rsidRPr="007E1EE3" w:rsidRDefault="00E67BBC" w:rsidP="005C434E">
            <w:pPr>
              <w:pStyle w:val="TableBodyText"/>
              <w:jc w:val="right"/>
              <w:rPr>
                <w:szCs w:val="20"/>
              </w:rPr>
            </w:pPr>
            <w:r w:rsidRPr="007E1EE3">
              <w:rPr>
                <w:szCs w:val="20"/>
              </w:rPr>
              <w:t>N/A</w:t>
            </w:r>
          </w:p>
        </w:tc>
        <w:tc>
          <w:tcPr>
            <w:tcW w:w="588" w:type="pct"/>
          </w:tcPr>
          <w:p w14:paraId="692E9582" w14:textId="0F116597" w:rsidR="00E67BBC" w:rsidRPr="007E1EE3" w:rsidRDefault="00E67BBC" w:rsidP="005C434E">
            <w:pPr>
              <w:pStyle w:val="TableBodyText"/>
              <w:jc w:val="right"/>
              <w:rPr>
                <w:szCs w:val="20"/>
              </w:rPr>
            </w:pPr>
            <w:r w:rsidRPr="007E1EE3">
              <w:rPr>
                <w:szCs w:val="20"/>
              </w:rPr>
              <w:t>N/A</w:t>
            </w:r>
          </w:p>
        </w:tc>
        <w:tc>
          <w:tcPr>
            <w:tcW w:w="358" w:type="pct"/>
          </w:tcPr>
          <w:p w14:paraId="3B2A8DF8" w14:textId="29731AEA" w:rsidR="00E67BBC" w:rsidRPr="007E1EE3" w:rsidRDefault="00E67BBC" w:rsidP="005C434E">
            <w:pPr>
              <w:pStyle w:val="TableBodyText"/>
              <w:jc w:val="right"/>
              <w:rPr>
                <w:szCs w:val="20"/>
              </w:rPr>
            </w:pPr>
            <w:r w:rsidRPr="007E1EE3">
              <w:rPr>
                <w:szCs w:val="20"/>
              </w:rPr>
              <w:t>N/A</w:t>
            </w:r>
          </w:p>
        </w:tc>
        <w:tc>
          <w:tcPr>
            <w:tcW w:w="492" w:type="pct"/>
          </w:tcPr>
          <w:p w14:paraId="6A953297" w14:textId="3FDC3A4E" w:rsidR="00E67BBC" w:rsidRPr="007E1EE3" w:rsidRDefault="00E67BBC" w:rsidP="005C434E">
            <w:pPr>
              <w:pStyle w:val="TableBodyText"/>
              <w:jc w:val="right"/>
              <w:rPr>
                <w:szCs w:val="20"/>
              </w:rPr>
            </w:pPr>
            <w:r w:rsidRPr="007E1EE3">
              <w:rPr>
                <w:szCs w:val="20"/>
              </w:rPr>
              <w:t>N/A</w:t>
            </w:r>
          </w:p>
        </w:tc>
        <w:tc>
          <w:tcPr>
            <w:tcW w:w="348" w:type="pct"/>
          </w:tcPr>
          <w:p w14:paraId="78C2C057" w14:textId="10ECB1A3" w:rsidR="00E67BBC" w:rsidRPr="007E1EE3" w:rsidRDefault="007C7FE1" w:rsidP="00150950">
            <w:pPr>
              <w:pStyle w:val="TableBodyText"/>
              <w:rPr>
                <w:szCs w:val="20"/>
              </w:rPr>
            </w:pPr>
            <w:r w:rsidRPr="007E1EE3">
              <w:rPr>
                <w:szCs w:val="20"/>
              </w:rPr>
              <w:t>N/A</w:t>
            </w:r>
          </w:p>
        </w:tc>
      </w:tr>
      <w:tr w:rsidR="00BF32D7" w:rsidRPr="007E1EE3" w14:paraId="5C2EBF0E" w14:textId="77777777" w:rsidTr="005C434E">
        <w:trPr>
          <w:trHeight w:val="20"/>
        </w:trPr>
        <w:tc>
          <w:tcPr>
            <w:tcW w:w="452" w:type="pct"/>
          </w:tcPr>
          <w:p w14:paraId="4E1DB6A1" w14:textId="77777777" w:rsidR="00BF32D7" w:rsidRPr="007E1EE3" w:rsidRDefault="00BF32D7" w:rsidP="00150950">
            <w:pPr>
              <w:pStyle w:val="TableBodyText"/>
              <w:rPr>
                <w:szCs w:val="20"/>
              </w:rPr>
            </w:pPr>
            <w:r w:rsidRPr="007E1EE3">
              <w:rPr>
                <w:szCs w:val="20"/>
              </w:rPr>
              <w:t>EM2.1</w:t>
            </w:r>
          </w:p>
        </w:tc>
        <w:tc>
          <w:tcPr>
            <w:tcW w:w="1315" w:type="pct"/>
          </w:tcPr>
          <w:p w14:paraId="64F41A93" w14:textId="77777777" w:rsidR="00BF32D7" w:rsidRPr="007E1EE3" w:rsidRDefault="00BF32D7" w:rsidP="00150950">
            <w:pPr>
              <w:pStyle w:val="TableBodyText"/>
              <w:rPr>
                <w:szCs w:val="20"/>
              </w:rPr>
            </w:pPr>
            <w:r w:rsidRPr="007E1EE3">
              <w:rPr>
                <w:szCs w:val="20"/>
              </w:rPr>
              <w:t>Western Treatment Plant (WTP)</w:t>
            </w:r>
          </w:p>
        </w:tc>
        <w:tc>
          <w:tcPr>
            <w:tcW w:w="520" w:type="pct"/>
          </w:tcPr>
          <w:p w14:paraId="03AC5C50" w14:textId="77777777" w:rsidR="00BF32D7" w:rsidRPr="007E1EE3" w:rsidRDefault="00BF32D7" w:rsidP="005C434E">
            <w:pPr>
              <w:pStyle w:val="TableBodyText"/>
              <w:jc w:val="right"/>
              <w:rPr>
                <w:szCs w:val="20"/>
              </w:rPr>
            </w:pPr>
            <w:r w:rsidRPr="007E1EE3">
              <w:rPr>
                <w:szCs w:val="20"/>
              </w:rPr>
              <w:t>100.0%</w:t>
            </w:r>
          </w:p>
        </w:tc>
        <w:tc>
          <w:tcPr>
            <w:tcW w:w="481" w:type="pct"/>
          </w:tcPr>
          <w:p w14:paraId="065E138D" w14:textId="77777777" w:rsidR="00BF32D7" w:rsidRPr="007E1EE3" w:rsidRDefault="00BF32D7" w:rsidP="005C434E">
            <w:pPr>
              <w:pStyle w:val="TableBodyText"/>
              <w:jc w:val="right"/>
              <w:rPr>
                <w:szCs w:val="20"/>
              </w:rPr>
            </w:pPr>
            <w:r w:rsidRPr="007E1EE3">
              <w:rPr>
                <w:szCs w:val="20"/>
              </w:rPr>
              <w:t>100.0%</w:t>
            </w:r>
          </w:p>
        </w:tc>
        <w:tc>
          <w:tcPr>
            <w:tcW w:w="446" w:type="pct"/>
          </w:tcPr>
          <w:p w14:paraId="6220BB52" w14:textId="77777777" w:rsidR="00BF32D7" w:rsidRPr="007E1EE3" w:rsidRDefault="00BF32D7" w:rsidP="005C434E">
            <w:pPr>
              <w:pStyle w:val="TableBodyText"/>
              <w:jc w:val="right"/>
              <w:rPr>
                <w:szCs w:val="20"/>
              </w:rPr>
            </w:pPr>
            <w:r w:rsidRPr="007E1EE3">
              <w:rPr>
                <w:szCs w:val="20"/>
              </w:rPr>
              <w:t>100.0%</w:t>
            </w:r>
          </w:p>
        </w:tc>
        <w:tc>
          <w:tcPr>
            <w:tcW w:w="588" w:type="pct"/>
          </w:tcPr>
          <w:p w14:paraId="1CBF3459" w14:textId="77777777" w:rsidR="00BF32D7" w:rsidRPr="007E1EE3" w:rsidRDefault="00BF32D7" w:rsidP="005C434E">
            <w:pPr>
              <w:pStyle w:val="TableBodyText"/>
              <w:jc w:val="right"/>
              <w:rPr>
                <w:szCs w:val="20"/>
              </w:rPr>
            </w:pPr>
            <w:r w:rsidRPr="007E1EE3">
              <w:rPr>
                <w:szCs w:val="20"/>
              </w:rPr>
              <w:t>0.0%</w:t>
            </w:r>
          </w:p>
        </w:tc>
        <w:tc>
          <w:tcPr>
            <w:tcW w:w="358" w:type="pct"/>
          </w:tcPr>
          <w:p w14:paraId="6E4801F6" w14:textId="12D0F56B" w:rsidR="00BF32D7" w:rsidRPr="007E1EE3" w:rsidRDefault="00E67BBC" w:rsidP="005C434E">
            <w:pPr>
              <w:pStyle w:val="TableBodyText"/>
              <w:jc w:val="right"/>
              <w:rPr>
                <w:szCs w:val="20"/>
              </w:rPr>
            </w:pPr>
            <w:r w:rsidRPr="007E1EE3">
              <w:rPr>
                <w:szCs w:val="20"/>
              </w:rPr>
              <w:t>N/A</w:t>
            </w:r>
          </w:p>
        </w:tc>
        <w:tc>
          <w:tcPr>
            <w:tcW w:w="492" w:type="pct"/>
          </w:tcPr>
          <w:p w14:paraId="5B802D15" w14:textId="77777777" w:rsidR="00BF32D7" w:rsidRPr="007E1EE3" w:rsidRDefault="00BF32D7" w:rsidP="005C434E">
            <w:pPr>
              <w:pStyle w:val="TableBodyText"/>
              <w:jc w:val="right"/>
              <w:rPr>
                <w:szCs w:val="20"/>
              </w:rPr>
            </w:pPr>
            <w:r w:rsidRPr="007E1EE3">
              <w:rPr>
                <w:szCs w:val="20"/>
              </w:rPr>
              <w:t>0.0%</w:t>
            </w:r>
          </w:p>
        </w:tc>
        <w:tc>
          <w:tcPr>
            <w:tcW w:w="348" w:type="pct"/>
          </w:tcPr>
          <w:p w14:paraId="5F4E5C10" w14:textId="007F680C" w:rsidR="00BF32D7" w:rsidRPr="007E1EE3" w:rsidRDefault="00E67BBC" w:rsidP="00150950">
            <w:pPr>
              <w:pStyle w:val="TableBodyText"/>
              <w:rPr>
                <w:szCs w:val="20"/>
              </w:rPr>
            </w:pPr>
            <w:r w:rsidRPr="007E1EE3">
              <w:rPr>
                <w:szCs w:val="20"/>
              </w:rPr>
              <w:t>N/A</w:t>
            </w:r>
          </w:p>
        </w:tc>
      </w:tr>
      <w:tr w:rsidR="00BF32D7" w:rsidRPr="007E1EE3" w14:paraId="6DD243EC" w14:textId="77777777" w:rsidTr="005C434E">
        <w:trPr>
          <w:trHeight w:val="20"/>
        </w:trPr>
        <w:tc>
          <w:tcPr>
            <w:tcW w:w="452" w:type="pct"/>
          </w:tcPr>
          <w:p w14:paraId="086475D9" w14:textId="77777777" w:rsidR="00BF32D7" w:rsidRPr="007E1EE3" w:rsidRDefault="00BF32D7" w:rsidP="00150950">
            <w:pPr>
              <w:pStyle w:val="TableBodyText"/>
              <w:rPr>
                <w:szCs w:val="20"/>
              </w:rPr>
            </w:pPr>
            <w:r w:rsidRPr="007E1EE3">
              <w:rPr>
                <w:szCs w:val="20"/>
              </w:rPr>
              <w:t>EM2.2</w:t>
            </w:r>
          </w:p>
        </w:tc>
        <w:tc>
          <w:tcPr>
            <w:tcW w:w="1315" w:type="pct"/>
          </w:tcPr>
          <w:p w14:paraId="1109BFAE" w14:textId="77777777" w:rsidR="00BF32D7" w:rsidRPr="007E1EE3" w:rsidRDefault="00BF32D7" w:rsidP="00150950">
            <w:pPr>
              <w:pStyle w:val="TableBodyText"/>
              <w:rPr>
                <w:szCs w:val="20"/>
              </w:rPr>
            </w:pPr>
            <w:r w:rsidRPr="007E1EE3">
              <w:rPr>
                <w:szCs w:val="20"/>
              </w:rPr>
              <w:t>Eastern Treatment Plant (ETP)</w:t>
            </w:r>
          </w:p>
        </w:tc>
        <w:tc>
          <w:tcPr>
            <w:tcW w:w="520" w:type="pct"/>
          </w:tcPr>
          <w:p w14:paraId="3E0B3261" w14:textId="77777777" w:rsidR="00BF32D7" w:rsidRPr="007E1EE3" w:rsidRDefault="00BF32D7" w:rsidP="005C434E">
            <w:pPr>
              <w:pStyle w:val="TableBodyText"/>
              <w:jc w:val="right"/>
              <w:rPr>
                <w:szCs w:val="20"/>
              </w:rPr>
            </w:pPr>
            <w:r w:rsidRPr="007E1EE3">
              <w:rPr>
                <w:szCs w:val="20"/>
              </w:rPr>
              <w:t>100.0%</w:t>
            </w:r>
          </w:p>
        </w:tc>
        <w:tc>
          <w:tcPr>
            <w:tcW w:w="481" w:type="pct"/>
          </w:tcPr>
          <w:p w14:paraId="4E98879B" w14:textId="77777777" w:rsidR="00BF32D7" w:rsidRPr="007E1EE3" w:rsidRDefault="00BF32D7" w:rsidP="005C434E">
            <w:pPr>
              <w:pStyle w:val="TableBodyText"/>
              <w:jc w:val="right"/>
              <w:rPr>
                <w:szCs w:val="20"/>
              </w:rPr>
            </w:pPr>
            <w:r w:rsidRPr="007E1EE3">
              <w:rPr>
                <w:szCs w:val="20"/>
              </w:rPr>
              <w:t>100.0%</w:t>
            </w:r>
          </w:p>
        </w:tc>
        <w:tc>
          <w:tcPr>
            <w:tcW w:w="446" w:type="pct"/>
          </w:tcPr>
          <w:p w14:paraId="4C973361" w14:textId="77777777" w:rsidR="00BF32D7" w:rsidRPr="007E1EE3" w:rsidRDefault="00BF32D7" w:rsidP="005C434E">
            <w:pPr>
              <w:pStyle w:val="TableBodyText"/>
              <w:jc w:val="right"/>
              <w:rPr>
                <w:szCs w:val="20"/>
              </w:rPr>
            </w:pPr>
            <w:r w:rsidRPr="007E1EE3">
              <w:rPr>
                <w:szCs w:val="20"/>
              </w:rPr>
              <w:t>100.0%</w:t>
            </w:r>
          </w:p>
        </w:tc>
        <w:tc>
          <w:tcPr>
            <w:tcW w:w="588" w:type="pct"/>
          </w:tcPr>
          <w:p w14:paraId="5F9AE38F" w14:textId="77777777" w:rsidR="00BF32D7" w:rsidRPr="007E1EE3" w:rsidRDefault="00BF32D7" w:rsidP="005C434E">
            <w:pPr>
              <w:pStyle w:val="TableBodyText"/>
              <w:jc w:val="right"/>
              <w:rPr>
                <w:szCs w:val="20"/>
              </w:rPr>
            </w:pPr>
            <w:r w:rsidRPr="007E1EE3">
              <w:rPr>
                <w:szCs w:val="20"/>
              </w:rPr>
              <w:t>0.0%</w:t>
            </w:r>
          </w:p>
        </w:tc>
        <w:tc>
          <w:tcPr>
            <w:tcW w:w="358" w:type="pct"/>
          </w:tcPr>
          <w:p w14:paraId="5418BE30" w14:textId="7F84B8C1" w:rsidR="00BF32D7" w:rsidRPr="007E1EE3" w:rsidRDefault="00E67BBC" w:rsidP="005C434E">
            <w:pPr>
              <w:pStyle w:val="TableBodyText"/>
              <w:jc w:val="right"/>
              <w:rPr>
                <w:szCs w:val="20"/>
              </w:rPr>
            </w:pPr>
            <w:r w:rsidRPr="007E1EE3">
              <w:rPr>
                <w:szCs w:val="20"/>
              </w:rPr>
              <w:t>N/A</w:t>
            </w:r>
          </w:p>
        </w:tc>
        <w:tc>
          <w:tcPr>
            <w:tcW w:w="492" w:type="pct"/>
          </w:tcPr>
          <w:p w14:paraId="54451E17" w14:textId="77777777" w:rsidR="00BF32D7" w:rsidRPr="007E1EE3" w:rsidRDefault="00BF32D7" w:rsidP="005C434E">
            <w:pPr>
              <w:pStyle w:val="TableBodyText"/>
              <w:jc w:val="right"/>
              <w:rPr>
                <w:szCs w:val="20"/>
              </w:rPr>
            </w:pPr>
            <w:r w:rsidRPr="007E1EE3">
              <w:rPr>
                <w:szCs w:val="20"/>
              </w:rPr>
              <w:t>0.0%</w:t>
            </w:r>
          </w:p>
        </w:tc>
        <w:tc>
          <w:tcPr>
            <w:tcW w:w="348" w:type="pct"/>
          </w:tcPr>
          <w:p w14:paraId="7AA02C59" w14:textId="40C236A3" w:rsidR="00BF32D7" w:rsidRPr="007E1EE3" w:rsidRDefault="00E67BBC" w:rsidP="00150950">
            <w:pPr>
              <w:pStyle w:val="TableBodyText"/>
              <w:rPr>
                <w:szCs w:val="20"/>
              </w:rPr>
            </w:pPr>
            <w:r w:rsidRPr="007E1EE3">
              <w:rPr>
                <w:szCs w:val="20"/>
              </w:rPr>
              <w:t>N/A</w:t>
            </w:r>
          </w:p>
        </w:tc>
      </w:tr>
      <w:tr w:rsidR="00BF32D7" w:rsidRPr="007E1EE3" w14:paraId="44065210" w14:textId="77777777" w:rsidTr="005C434E">
        <w:trPr>
          <w:trHeight w:val="20"/>
        </w:trPr>
        <w:tc>
          <w:tcPr>
            <w:tcW w:w="452" w:type="pct"/>
          </w:tcPr>
          <w:p w14:paraId="36849CA9" w14:textId="77777777" w:rsidR="00BF32D7" w:rsidRPr="007E1EE3" w:rsidRDefault="00BF32D7" w:rsidP="00150950">
            <w:pPr>
              <w:pStyle w:val="TableBodyText"/>
              <w:rPr>
                <w:szCs w:val="20"/>
              </w:rPr>
            </w:pPr>
            <w:r w:rsidRPr="007E1EE3">
              <w:rPr>
                <w:szCs w:val="20"/>
              </w:rPr>
              <w:t>E2</w:t>
            </w:r>
          </w:p>
        </w:tc>
        <w:tc>
          <w:tcPr>
            <w:tcW w:w="1315" w:type="pct"/>
          </w:tcPr>
          <w:p w14:paraId="187AD6D7" w14:textId="77777777" w:rsidR="00BF32D7" w:rsidRPr="007E1EE3" w:rsidRDefault="00BF32D7" w:rsidP="00150950">
            <w:pPr>
              <w:pStyle w:val="TableBodyText"/>
              <w:rPr>
                <w:rStyle w:val="Bold"/>
                <w:szCs w:val="20"/>
              </w:rPr>
            </w:pPr>
            <w:r w:rsidRPr="007E1EE3">
              <w:rPr>
                <w:rStyle w:val="Bold"/>
                <w:szCs w:val="20"/>
              </w:rPr>
              <w:t>Total net CO2 emissions</w:t>
            </w:r>
          </w:p>
          <w:p w14:paraId="3B90A89C" w14:textId="77777777" w:rsidR="00BF32D7" w:rsidRPr="007E1EE3" w:rsidRDefault="00BF32D7" w:rsidP="00150950">
            <w:pPr>
              <w:pStyle w:val="TableBodyText"/>
              <w:rPr>
                <w:szCs w:val="20"/>
              </w:rPr>
            </w:pPr>
            <w:r w:rsidRPr="007E1EE3">
              <w:rPr>
                <w:szCs w:val="20"/>
              </w:rPr>
              <w:t>Net tonnes CO2 equivalent</w:t>
            </w:r>
          </w:p>
        </w:tc>
        <w:tc>
          <w:tcPr>
            <w:tcW w:w="520" w:type="pct"/>
          </w:tcPr>
          <w:p w14:paraId="3D345349" w14:textId="77777777" w:rsidR="00BF32D7" w:rsidRPr="007E1EE3" w:rsidRDefault="00BF32D7" w:rsidP="005C434E">
            <w:pPr>
              <w:pStyle w:val="TableBodyText"/>
              <w:jc w:val="right"/>
              <w:rPr>
                <w:szCs w:val="20"/>
              </w:rPr>
            </w:pPr>
            <w:r w:rsidRPr="007E1EE3">
              <w:rPr>
                <w:szCs w:val="20"/>
              </w:rPr>
              <w:t>513,696</w:t>
            </w:r>
          </w:p>
        </w:tc>
        <w:tc>
          <w:tcPr>
            <w:tcW w:w="481" w:type="pct"/>
          </w:tcPr>
          <w:p w14:paraId="149EC48C" w14:textId="77777777" w:rsidR="00BF32D7" w:rsidRPr="007E1EE3" w:rsidRDefault="00BF32D7" w:rsidP="005C434E">
            <w:pPr>
              <w:pStyle w:val="TableBodyText"/>
              <w:jc w:val="right"/>
              <w:rPr>
                <w:szCs w:val="20"/>
              </w:rPr>
            </w:pPr>
            <w:r w:rsidRPr="007E1EE3">
              <w:rPr>
                <w:szCs w:val="20"/>
              </w:rPr>
              <w:t>468,666</w:t>
            </w:r>
          </w:p>
        </w:tc>
        <w:tc>
          <w:tcPr>
            <w:tcW w:w="446" w:type="pct"/>
          </w:tcPr>
          <w:p w14:paraId="1D17E5CA" w14:textId="77777777" w:rsidR="00BF32D7" w:rsidRPr="007E1EE3" w:rsidRDefault="00BF32D7" w:rsidP="005C434E">
            <w:pPr>
              <w:pStyle w:val="TableBodyText"/>
              <w:jc w:val="right"/>
              <w:rPr>
                <w:szCs w:val="20"/>
              </w:rPr>
            </w:pPr>
            <w:r w:rsidRPr="007E1EE3">
              <w:rPr>
                <w:szCs w:val="20"/>
              </w:rPr>
              <w:t>430,000</w:t>
            </w:r>
          </w:p>
        </w:tc>
        <w:tc>
          <w:tcPr>
            <w:tcW w:w="588" w:type="pct"/>
          </w:tcPr>
          <w:p w14:paraId="363077C3" w14:textId="77777777" w:rsidR="00BF32D7" w:rsidRPr="007E1EE3" w:rsidRDefault="00BF32D7" w:rsidP="005C434E">
            <w:pPr>
              <w:pStyle w:val="TableBodyText"/>
              <w:jc w:val="right"/>
              <w:rPr>
                <w:szCs w:val="20"/>
              </w:rPr>
            </w:pPr>
            <w:r w:rsidRPr="007E1EE3">
              <w:rPr>
                <w:szCs w:val="20"/>
              </w:rPr>
              <w:t>8.8%</w:t>
            </w:r>
          </w:p>
        </w:tc>
        <w:tc>
          <w:tcPr>
            <w:tcW w:w="358" w:type="pct"/>
          </w:tcPr>
          <w:p w14:paraId="51CDC2DF" w14:textId="531B0C83" w:rsidR="00BF32D7" w:rsidRPr="007E1EE3" w:rsidRDefault="00926282" w:rsidP="005C434E">
            <w:pPr>
              <w:pStyle w:val="TableBodyText"/>
              <w:jc w:val="right"/>
              <w:rPr>
                <w:szCs w:val="20"/>
              </w:rPr>
            </w:pPr>
            <w:hyperlink w:anchor="Note7WaterNotes" w:history="1">
              <w:r w:rsidR="00150950" w:rsidRPr="007E1EE3">
                <w:rPr>
                  <w:rStyle w:val="Hyperlink"/>
                  <w:szCs w:val="20"/>
                </w:rPr>
                <w:t>refer note 7</w:t>
              </w:r>
            </w:hyperlink>
          </w:p>
        </w:tc>
        <w:tc>
          <w:tcPr>
            <w:tcW w:w="492" w:type="pct"/>
          </w:tcPr>
          <w:p w14:paraId="38321602" w14:textId="77777777" w:rsidR="00BF32D7" w:rsidRPr="007E1EE3" w:rsidRDefault="00BF32D7" w:rsidP="005C434E">
            <w:pPr>
              <w:pStyle w:val="TableBodyText"/>
              <w:jc w:val="right"/>
              <w:rPr>
                <w:szCs w:val="20"/>
              </w:rPr>
            </w:pPr>
            <w:r w:rsidRPr="007E1EE3">
              <w:rPr>
                <w:szCs w:val="20"/>
              </w:rPr>
              <w:t>-9.0%</w:t>
            </w:r>
          </w:p>
        </w:tc>
        <w:tc>
          <w:tcPr>
            <w:tcW w:w="348" w:type="pct"/>
          </w:tcPr>
          <w:p w14:paraId="6577E7D9" w14:textId="4FBBE870" w:rsidR="00BF32D7" w:rsidRPr="007E1EE3" w:rsidRDefault="00926282" w:rsidP="00150950">
            <w:pPr>
              <w:pStyle w:val="TableBodyText"/>
              <w:rPr>
                <w:szCs w:val="20"/>
              </w:rPr>
            </w:pPr>
            <w:hyperlink w:anchor="Note7WaterNotes" w:history="1">
              <w:r w:rsidR="007C7FE1" w:rsidRPr="007E1EE3">
                <w:rPr>
                  <w:rStyle w:val="Hyperlink"/>
                  <w:szCs w:val="20"/>
                </w:rPr>
                <w:t>refer note 7</w:t>
              </w:r>
            </w:hyperlink>
          </w:p>
        </w:tc>
      </w:tr>
      <w:tr w:rsidR="00BF32D7" w:rsidRPr="007E1EE3" w14:paraId="5F2DFCA8" w14:textId="77777777" w:rsidTr="005C434E">
        <w:trPr>
          <w:trHeight w:val="20"/>
        </w:trPr>
        <w:tc>
          <w:tcPr>
            <w:tcW w:w="452" w:type="pct"/>
          </w:tcPr>
          <w:p w14:paraId="41870EAC" w14:textId="77777777" w:rsidR="00BF32D7" w:rsidRPr="007E1EE3" w:rsidRDefault="00BF32D7" w:rsidP="00150950">
            <w:pPr>
              <w:pStyle w:val="TableBodyText"/>
              <w:rPr>
                <w:szCs w:val="20"/>
              </w:rPr>
            </w:pPr>
            <w:r w:rsidRPr="007E1EE3">
              <w:rPr>
                <w:szCs w:val="20"/>
              </w:rPr>
              <w:t>WW1</w:t>
            </w:r>
          </w:p>
        </w:tc>
        <w:tc>
          <w:tcPr>
            <w:tcW w:w="1315" w:type="pct"/>
          </w:tcPr>
          <w:p w14:paraId="754AB4AC" w14:textId="77777777" w:rsidR="00BF32D7" w:rsidRPr="007E1EE3" w:rsidRDefault="00BF32D7" w:rsidP="00150950">
            <w:pPr>
              <w:pStyle w:val="TableBodyText"/>
              <w:rPr>
                <w:rStyle w:val="Bold"/>
                <w:szCs w:val="20"/>
              </w:rPr>
            </w:pPr>
            <w:r w:rsidRPr="007E1EE3">
              <w:rPr>
                <w:rStyle w:val="Bold"/>
                <w:szCs w:val="20"/>
              </w:rPr>
              <w:t>Waterways — Drainage and Flood protection</w:t>
            </w:r>
          </w:p>
          <w:p w14:paraId="60EDBEC2" w14:textId="27F4F472" w:rsidR="00BF32D7" w:rsidRPr="007E1EE3" w:rsidRDefault="00BF32D7" w:rsidP="00150950">
            <w:pPr>
              <w:pStyle w:val="TableBodyText"/>
              <w:rPr>
                <w:szCs w:val="20"/>
              </w:rPr>
            </w:pPr>
            <w:r w:rsidRPr="007E1EE3">
              <w:rPr>
                <w:szCs w:val="20"/>
              </w:rPr>
              <w:t>% reduction in flood effects</w:t>
            </w:r>
            <w:r w:rsidR="00E67BBC" w:rsidRPr="007E1EE3">
              <w:rPr>
                <w:szCs w:val="20"/>
              </w:rPr>
              <w:t xml:space="preserve"> </w:t>
            </w:r>
            <w:r w:rsidRPr="007E1EE3">
              <w:rPr>
                <w:szCs w:val="20"/>
              </w:rPr>
              <w:t>achieved by projects in delivery by</w:t>
            </w:r>
            <w:r w:rsidR="00E67BBC" w:rsidRPr="007E1EE3">
              <w:rPr>
                <w:szCs w:val="20"/>
              </w:rPr>
              <w:t xml:space="preserve"> </w:t>
            </w:r>
            <w:r w:rsidRPr="007E1EE3">
              <w:rPr>
                <w:szCs w:val="20"/>
              </w:rPr>
              <w:t>Melbourne Water</w:t>
            </w:r>
          </w:p>
        </w:tc>
        <w:tc>
          <w:tcPr>
            <w:tcW w:w="520" w:type="pct"/>
          </w:tcPr>
          <w:p w14:paraId="13BCB713" w14:textId="77777777" w:rsidR="00BF32D7" w:rsidRPr="007E1EE3" w:rsidRDefault="00BF32D7" w:rsidP="005C434E">
            <w:pPr>
              <w:pStyle w:val="TableBodyText"/>
              <w:jc w:val="right"/>
              <w:rPr>
                <w:szCs w:val="20"/>
              </w:rPr>
            </w:pPr>
            <w:r w:rsidRPr="007E1EE3">
              <w:rPr>
                <w:szCs w:val="20"/>
              </w:rPr>
              <w:t>2.45%</w:t>
            </w:r>
          </w:p>
        </w:tc>
        <w:tc>
          <w:tcPr>
            <w:tcW w:w="481" w:type="pct"/>
          </w:tcPr>
          <w:p w14:paraId="48C38503" w14:textId="77777777" w:rsidR="00BF32D7" w:rsidRPr="007E1EE3" w:rsidRDefault="00BF32D7" w:rsidP="005C434E">
            <w:pPr>
              <w:pStyle w:val="TableBodyText"/>
              <w:jc w:val="right"/>
              <w:rPr>
                <w:szCs w:val="20"/>
              </w:rPr>
            </w:pPr>
            <w:r w:rsidRPr="007E1EE3">
              <w:rPr>
                <w:szCs w:val="20"/>
              </w:rPr>
              <w:t>2.90%</w:t>
            </w:r>
          </w:p>
        </w:tc>
        <w:tc>
          <w:tcPr>
            <w:tcW w:w="446" w:type="pct"/>
          </w:tcPr>
          <w:p w14:paraId="6E695E77" w14:textId="77777777" w:rsidR="00BF32D7" w:rsidRPr="007E1EE3" w:rsidRDefault="00BF32D7" w:rsidP="005C434E">
            <w:pPr>
              <w:pStyle w:val="TableBodyText"/>
              <w:jc w:val="right"/>
              <w:rPr>
                <w:szCs w:val="20"/>
              </w:rPr>
            </w:pPr>
            <w:r w:rsidRPr="007E1EE3">
              <w:rPr>
                <w:szCs w:val="20"/>
              </w:rPr>
              <w:t>15.00%</w:t>
            </w:r>
          </w:p>
        </w:tc>
        <w:tc>
          <w:tcPr>
            <w:tcW w:w="588" w:type="pct"/>
          </w:tcPr>
          <w:p w14:paraId="016FD215" w14:textId="77777777" w:rsidR="00BF32D7" w:rsidRPr="007E1EE3" w:rsidRDefault="00BF32D7" w:rsidP="005C434E">
            <w:pPr>
              <w:pStyle w:val="TableBodyText"/>
              <w:jc w:val="right"/>
              <w:rPr>
                <w:szCs w:val="20"/>
              </w:rPr>
            </w:pPr>
            <w:r w:rsidRPr="007E1EE3">
              <w:rPr>
                <w:szCs w:val="20"/>
              </w:rPr>
              <w:t>18.4%</w:t>
            </w:r>
          </w:p>
        </w:tc>
        <w:tc>
          <w:tcPr>
            <w:tcW w:w="358" w:type="pct"/>
          </w:tcPr>
          <w:p w14:paraId="09C2293E" w14:textId="76D0EB46" w:rsidR="00BF32D7" w:rsidRPr="007E1EE3" w:rsidRDefault="00926282" w:rsidP="005C434E">
            <w:pPr>
              <w:pStyle w:val="TableBodyText"/>
              <w:jc w:val="right"/>
              <w:rPr>
                <w:szCs w:val="20"/>
              </w:rPr>
            </w:pPr>
            <w:hyperlink w:anchor="Note8WaterNotes" w:history="1">
              <w:r w:rsidR="00150950" w:rsidRPr="007E1EE3">
                <w:rPr>
                  <w:rStyle w:val="Hyperlink"/>
                  <w:szCs w:val="20"/>
                </w:rPr>
                <w:t>refer note 8</w:t>
              </w:r>
            </w:hyperlink>
          </w:p>
        </w:tc>
        <w:tc>
          <w:tcPr>
            <w:tcW w:w="492" w:type="pct"/>
          </w:tcPr>
          <w:p w14:paraId="4B875D25" w14:textId="77777777" w:rsidR="00BF32D7" w:rsidRPr="007E1EE3" w:rsidRDefault="00BF32D7" w:rsidP="005C434E">
            <w:pPr>
              <w:pStyle w:val="TableBodyText"/>
              <w:jc w:val="right"/>
              <w:rPr>
                <w:szCs w:val="20"/>
              </w:rPr>
            </w:pPr>
            <w:r w:rsidRPr="007E1EE3">
              <w:rPr>
                <w:szCs w:val="20"/>
              </w:rPr>
              <w:t>-80.7%</w:t>
            </w:r>
          </w:p>
        </w:tc>
        <w:tc>
          <w:tcPr>
            <w:tcW w:w="348" w:type="pct"/>
          </w:tcPr>
          <w:p w14:paraId="4B463361" w14:textId="47DECD6C" w:rsidR="00BF32D7" w:rsidRPr="007E1EE3" w:rsidRDefault="00926282" w:rsidP="00150950">
            <w:pPr>
              <w:pStyle w:val="TableBodyText"/>
              <w:rPr>
                <w:szCs w:val="20"/>
              </w:rPr>
            </w:pPr>
            <w:hyperlink w:anchor="Note8WaterNotes" w:history="1">
              <w:r w:rsidR="007C7FE1" w:rsidRPr="007E1EE3">
                <w:rPr>
                  <w:rStyle w:val="Hyperlink"/>
                  <w:szCs w:val="20"/>
                </w:rPr>
                <w:t>refer note 8</w:t>
              </w:r>
            </w:hyperlink>
          </w:p>
        </w:tc>
      </w:tr>
      <w:tr w:rsidR="00E67BBC" w:rsidRPr="007E1EE3" w14:paraId="5DE554A6" w14:textId="77777777" w:rsidTr="005C434E">
        <w:trPr>
          <w:trHeight w:val="20"/>
        </w:trPr>
        <w:tc>
          <w:tcPr>
            <w:tcW w:w="452" w:type="pct"/>
          </w:tcPr>
          <w:p w14:paraId="6CF10414" w14:textId="48AADAF1" w:rsidR="00E67BBC" w:rsidRPr="007E1EE3" w:rsidRDefault="00E67BBC" w:rsidP="00150950">
            <w:pPr>
              <w:pStyle w:val="TableBodyText"/>
              <w:rPr>
                <w:szCs w:val="20"/>
              </w:rPr>
            </w:pPr>
            <w:r w:rsidRPr="007E1EE3">
              <w:rPr>
                <w:szCs w:val="20"/>
              </w:rPr>
              <w:t>WW2</w:t>
            </w:r>
          </w:p>
        </w:tc>
        <w:tc>
          <w:tcPr>
            <w:tcW w:w="1315" w:type="pct"/>
          </w:tcPr>
          <w:p w14:paraId="74961C2E" w14:textId="77777777" w:rsidR="00E67BBC" w:rsidRPr="007E1EE3" w:rsidRDefault="00E67BBC" w:rsidP="00150950">
            <w:pPr>
              <w:pStyle w:val="TableBodyText"/>
              <w:rPr>
                <w:rStyle w:val="Bold"/>
                <w:szCs w:val="20"/>
              </w:rPr>
            </w:pPr>
            <w:r w:rsidRPr="007E1EE3">
              <w:rPr>
                <w:rStyle w:val="Bold"/>
                <w:szCs w:val="20"/>
              </w:rPr>
              <w:t>Waterways condition</w:t>
            </w:r>
          </w:p>
          <w:p w14:paraId="753677A9" w14:textId="6110C125" w:rsidR="00E67BBC" w:rsidRPr="007E1EE3" w:rsidRDefault="00E67BBC" w:rsidP="00150950">
            <w:pPr>
              <w:pStyle w:val="TableBodyText"/>
              <w:rPr>
                <w:szCs w:val="20"/>
              </w:rPr>
            </w:pPr>
            <w:r w:rsidRPr="007E1EE3">
              <w:rPr>
                <w:szCs w:val="20"/>
              </w:rPr>
              <w:t>Waterways that have undergone active management will be maintained or improved against an established baseline</w:t>
            </w:r>
          </w:p>
        </w:tc>
        <w:tc>
          <w:tcPr>
            <w:tcW w:w="520" w:type="pct"/>
          </w:tcPr>
          <w:p w14:paraId="45998D19" w14:textId="7B537945" w:rsidR="00E67BBC" w:rsidRPr="007E1EE3" w:rsidRDefault="00E67BBC" w:rsidP="005C434E">
            <w:pPr>
              <w:pStyle w:val="TableBodyText"/>
              <w:jc w:val="right"/>
              <w:rPr>
                <w:szCs w:val="20"/>
              </w:rPr>
            </w:pPr>
            <w:r w:rsidRPr="007E1EE3">
              <w:rPr>
                <w:szCs w:val="20"/>
              </w:rPr>
              <w:t>100.0%</w:t>
            </w:r>
          </w:p>
        </w:tc>
        <w:tc>
          <w:tcPr>
            <w:tcW w:w="481" w:type="pct"/>
          </w:tcPr>
          <w:p w14:paraId="2EC6D7EB" w14:textId="5851949A" w:rsidR="00E67BBC" w:rsidRPr="007E1EE3" w:rsidRDefault="00E67BBC" w:rsidP="005C434E">
            <w:pPr>
              <w:pStyle w:val="TableBodyText"/>
              <w:jc w:val="right"/>
              <w:rPr>
                <w:szCs w:val="20"/>
              </w:rPr>
            </w:pPr>
            <w:r w:rsidRPr="007E1EE3">
              <w:rPr>
                <w:szCs w:val="20"/>
              </w:rPr>
              <w:t>100.0%</w:t>
            </w:r>
          </w:p>
        </w:tc>
        <w:tc>
          <w:tcPr>
            <w:tcW w:w="446" w:type="pct"/>
          </w:tcPr>
          <w:p w14:paraId="1D561210" w14:textId="2882D12C" w:rsidR="00E67BBC" w:rsidRPr="007E1EE3" w:rsidRDefault="00E67BBC" w:rsidP="005C434E">
            <w:pPr>
              <w:pStyle w:val="TableBodyText"/>
              <w:jc w:val="right"/>
              <w:rPr>
                <w:szCs w:val="20"/>
              </w:rPr>
            </w:pPr>
            <w:r w:rsidRPr="007E1EE3">
              <w:rPr>
                <w:szCs w:val="20"/>
              </w:rPr>
              <w:t>80.0%</w:t>
            </w:r>
          </w:p>
        </w:tc>
        <w:tc>
          <w:tcPr>
            <w:tcW w:w="588" w:type="pct"/>
          </w:tcPr>
          <w:p w14:paraId="09FFB26D" w14:textId="239886D0" w:rsidR="00E67BBC" w:rsidRPr="007E1EE3" w:rsidRDefault="00E67BBC" w:rsidP="005C434E">
            <w:pPr>
              <w:pStyle w:val="TableBodyText"/>
              <w:jc w:val="right"/>
              <w:rPr>
                <w:szCs w:val="20"/>
              </w:rPr>
            </w:pPr>
            <w:r w:rsidRPr="007E1EE3">
              <w:rPr>
                <w:szCs w:val="20"/>
              </w:rPr>
              <w:t>0.0%</w:t>
            </w:r>
          </w:p>
        </w:tc>
        <w:tc>
          <w:tcPr>
            <w:tcW w:w="358" w:type="pct"/>
          </w:tcPr>
          <w:p w14:paraId="316CC56F" w14:textId="40E4E966" w:rsidR="00E67BBC" w:rsidRPr="007E1EE3" w:rsidRDefault="00E67BBC" w:rsidP="005C434E">
            <w:pPr>
              <w:pStyle w:val="TableBodyText"/>
              <w:jc w:val="right"/>
              <w:rPr>
                <w:szCs w:val="20"/>
              </w:rPr>
            </w:pPr>
            <w:r w:rsidRPr="007E1EE3">
              <w:rPr>
                <w:szCs w:val="20"/>
              </w:rPr>
              <w:t>N/A</w:t>
            </w:r>
          </w:p>
        </w:tc>
        <w:tc>
          <w:tcPr>
            <w:tcW w:w="492" w:type="pct"/>
          </w:tcPr>
          <w:p w14:paraId="34DEF1E4" w14:textId="4888DBFF" w:rsidR="00E67BBC" w:rsidRPr="007E1EE3" w:rsidRDefault="00E67BBC" w:rsidP="005C434E">
            <w:pPr>
              <w:pStyle w:val="TableBodyText"/>
              <w:jc w:val="right"/>
              <w:rPr>
                <w:szCs w:val="20"/>
              </w:rPr>
            </w:pPr>
            <w:r w:rsidRPr="007E1EE3">
              <w:rPr>
                <w:szCs w:val="20"/>
              </w:rPr>
              <w:t>25.0%</w:t>
            </w:r>
          </w:p>
        </w:tc>
        <w:tc>
          <w:tcPr>
            <w:tcW w:w="348" w:type="pct"/>
          </w:tcPr>
          <w:p w14:paraId="67F28501" w14:textId="497B7EC7" w:rsidR="00E67BBC" w:rsidRPr="007E1EE3" w:rsidRDefault="00926282" w:rsidP="00150950">
            <w:pPr>
              <w:pStyle w:val="TableBodyText"/>
              <w:rPr>
                <w:szCs w:val="20"/>
              </w:rPr>
            </w:pPr>
            <w:hyperlink w:anchor="Note9WaterNotes" w:history="1">
              <w:r w:rsidR="007C7FE1" w:rsidRPr="007E1EE3">
                <w:rPr>
                  <w:rStyle w:val="Hyperlink"/>
                  <w:szCs w:val="20"/>
                </w:rPr>
                <w:t>refer note 9</w:t>
              </w:r>
            </w:hyperlink>
          </w:p>
        </w:tc>
      </w:tr>
    </w:tbl>
    <w:p w14:paraId="6BE2E688" w14:textId="5150AF44" w:rsidR="00E67BBC" w:rsidRDefault="00E67BBC" w:rsidP="00E67BBC">
      <w:pPr>
        <w:pStyle w:val="BodyText"/>
        <w:rPr>
          <w:rStyle w:val="Bold"/>
        </w:rPr>
      </w:pPr>
      <w:bookmarkStart w:id="1292" w:name="NotestoPerformanceReport"/>
      <w:r w:rsidRPr="006B7011">
        <w:rPr>
          <w:rStyle w:val="Bold"/>
        </w:rPr>
        <w:t>Notes – to Performance Report:</w:t>
      </w:r>
    </w:p>
    <w:p w14:paraId="07B3E117" w14:textId="42D3A48E" w:rsidR="00E67BBC" w:rsidRDefault="00D12D96" w:rsidP="00E67BBC">
      <w:pPr>
        <w:pStyle w:val="BodyText"/>
      </w:pPr>
      <w:bookmarkStart w:id="1293" w:name="Note1WaterNotes"/>
      <w:bookmarkEnd w:id="1292"/>
      <w:r>
        <w:t>1:</w:t>
      </w:r>
      <w:r w:rsidR="00E67BBC">
        <w:t xml:space="preserve"> </w:t>
      </w:r>
      <w:bookmarkEnd w:id="1293"/>
      <w:r w:rsidR="00E67BBC">
        <w:t>Performance indicators as mandated in Ministerial Reporting Direction 01 – Performance Reporting (MRD 01) have been marked with their MRD 01 reference numbers. As required by MRD 01 any variances to target or last year of more than 10% for financial performance indicators and 5% for non financial performance indicators have been further explained within these notes.</w:t>
      </w:r>
    </w:p>
    <w:p w14:paraId="72258A0B" w14:textId="62C28046" w:rsidR="00E67BBC" w:rsidRDefault="00D12D96" w:rsidP="00E67BBC">
      <w:pPr>
        <w:pStyle w:val="BodyText"/>
      </w:pPr>
      <w:bookmarkStart w:id="1294" w:name="Note7WaterNotes"/>
      <w:r>
        <w:t>7:</w:t>
      </w:r>
      <w:r w:rsidR="00E67BBC">
        <w:t xml:space="preserve"> </w:t>
      </w:r>
      <w:bookmarkEnd w:id="1294"/>
      <w:r w:rsidR="00E67BBC">
        <w:t>The favourable variance compared to last year was largely due to changes made to the nitrous oxide emission factor set by the Clean Energy Regulator. This resulted in a 50% reduction in nitrous oxide emissions and reduced total reportable emissions for the current year. In the absence of the changes from the Clean Energy Regulator our reportable emissions would have been comparable to last year.</w:t>
      </w:r>
    </w:p>
    <w:p w14:paraId="66CB10B1" w14:textId="49A42E6F" w:rsidR="00E67BBC" w:rsidRDefault="00E67BBC" w:rsidP="00E67BBC">
      <w:pPr>
        <w:pStyle w:val="BodyText"/>
      </w:pPr>
      <w:r>
        <w:t xml:space="preserve">The unfavourable result against target is due to operational factors such as the </w:t>
      </w:r>
      <w:r w:rsidR="0030196D">
        <w:t>Western Treatment Plant</w:t>
      </w:r>
      <w:r>
        <w:t xml:space="preserve"> aerated ponds having high sludge inventories which contributed to higher than forecast methane emissions.</w:t>
      </w:r>
    </w:p>
    <w:p w14:paraId="7C4E6098" w14:textId="2FF9A305" w:rsidR="00E67BBC" w:rsidRDefault="00E67BBC" w:rsidP="00DD30CD">
      <w:pPr>
        <w:pStyle w:val="BodyText"/>
        <w:spacing w:before="120" w:after="120"/>
      </w:pPr>
      <w:r>
        <w:t xml:space="preserve">Melbourne Water has pledged to reduce its greenhouse gas emissions to 204,380 tCO2-e by 2025, which corresponds to a 50% reduction from a baseline set in 2017 (based on our average emissions from 2011 to </w:t>
      </w:r>
      <w:r>
        <w:lastRenderedPageBreak/>
        <w:t>2016). Melbourne Water is on track to meet this commitment via onsite renewable energy generation, procurement of renewable energy and market-based instruments (offsets). In parallel, investigative studies have commenced to better understand longer term opportunities to reduce direct scope 1 emissions.</w:t>
      </w:r>
    </w:p>
    <w:p w14:paraId="5E37BEBC" w14:textId="4EF99CB0" w:rsidR="00E67BBC" w:rsidRDefault="00D12D96" w:rsidP="00DD30CD">
      <w:pPr>
        <w:pStyle w:val="BodyText"/>
        <w:spacing w:before="120" w:after="120"/>
      </w:pPr>
      <w:r>
        <w:t>8:</w:t>
      </w:r>
      <w:r w:rsidR="00E67BBC">
        <w:t xml:space="preserve"> The favourable variance compared to last year was due to the increase in number of properties benefiting from flood warning systems and the community flood education program.</w:t>
      </w:r>
    </w:p>
    <w:p w14:paraId="1B9D1727" w14:textId="35938B27" w:rsidR="00E67BBC" w:rsidRDefault="00E67BBC" w:rsidP="00DD30CD">
      <w:pPr>
        <w:pStyle w:val="BodyText"/>
        <w:spacing w:before="120" w:after="120"/>
      </w:pPr>
      <w:r>
        <w:t>The 2020-2021 target is 15%, not 7.5% as described in the Corporate Plan.</w:t>
      </w:r>
    </w:p>
    <w:p w14:paraId="1B64DE18" w14:textId="3596B58B" w:rsidR="00E67BBC" w:rsidRDefault="00E67BBC" w:rsidP="00DD30CD">
      <w:pPr>
        <w:pStyle w:val="BodyText"/>
        <w:keepLines/>
        <w:spacing w:before="120" w:after="120"/>
      </w:pPr>
      <w:r>
        <w:t xml:space="preserve">The unfavourable variance is due to the adoption of Average Annual Damages (AAD) as the appropriate measure of the broader economic damages associated with flooding. The adoption of </w:t>
      </w:r>
      <w:r w:rsidR="004C682B">
        <w:t>Average Annual Damages</w:t>
      </w:r>
      <w:r>
        <w:t xml:space="preserve"> meant that the planned work and associated investment over the last price period was not designed or aligned to the agreed 5 year target of 15% reduction in flood effects.</w:t>
      </w:r>
    </w:p>
    <w:p w14:paraId="571EFE5E" w14:textId="58C000AC" w:rsidR="00E67BBC" w:rsidRDefault="00E67BBC" w:rsidP="00DD30CD">
      <w:pPr>
        <w:pStyle w:val="BodyText"/>
        <w:spacing w:before="120" w:after="120"/>
      </w:pPr>
      <w:r>
        <w:t xml:space="preserve">The recently refreshed Flood Strategy institutes a revised approach to the use of </w:t>
      </w:r>
      <w:r w:rsidR="004C682B">
        <w:t>Average Annual Damages</w:t>
      </w:r>
      <w:r>
        <w:t xml:space="preserve"> and sets a new target outcome. As a result of Melbourne Water’s flood risk reduction program maturing significantly over the last 5 years, there is now a developed and effective balanced suite of flood risk reduction interventions in place (including a more robust pipeline of mitigation projects) which will align to achievement of the emerging update to Flood Strategy objectives.</w:t>
      </w:r>
    </w:p>
    <w:p w14:paraId="4D66A5DE" w14:textId="3270DBD7" w:rsidR="00D76D04" w:rsidRPr="00BF32D7" w:rsidRDefault="00D12D96" w:rsidP="00DD30CD">
      <w:pPr>
        <w:pStyle w:val="BodyText"/>
        <w:spacing w:before="120" w:after="120"/>
      </w:pPr>
      <w:bookmarkStart w:id="1295" w:name="Note9WaterNotes"/>
      <w:r>
        <w:t>9:</w:t>
      </w:r>
      <w:r w:rsidR="00E67BBC">
        <w:t xml:space="preserve"> </w:t>
      </w:r>
      <w:bookmarkEnd w:id="1295"/>
      <w:r w:rsidR="00E67BBC">
        <w:t>The 2020-21 result for Waterways Condition is favourable to target due to 100% of waterways that have undergone active management being on track to achieve condition improvement trajectories compared to their expected response trajectory target of 80%.</w:t>
      </w:r>
    </w:p>
    <w:tbl>
      <w:tblPr>
        <w:tblStyle w:val="TableGrid"/>
        <w:tblW w:w="5000" w:type="pct"/>
        <w:tblLayout w:type="fixed"/>
        <w:tblLook w:val="04A0" w:firstRow="1" w:lastRow="0" w:firstColumn="1" w:lastColumn="0" w:noHBand="0" w:noVBand="1"/>
      </w:tblPr>
      <w:tblGrid>
        <w:gridCol w:w="872"/>
        <w:gridCol w:w="2388"/>
        <w:gridCol w:w="994"/>
        <w:gridCol w:w="988"/>
        <w:gridCol w:w="886"/>
        <w:gridCol w:w="1158"/>
        <w:gridCol w:w="715"/>
        <w:gridCol w:w="948"/>
        <w:gridCol w:w="682"/>
      </w:tblGrid>
      <w:tr w:rsidR="007C7FE1" w:rsidRPr="007E1EE3" w14:paraId="4F218718" w14:textId="77777777" w:rsidTr="00A54B77">
        <w:trPr>
          <w:cnfStyle w:val="100000000000" w:firstRow="1" w:lastRow="0" w:firstColumn="0" w:lastColumn="0" w:oddVBand="0" w:evenVBand="0" w:oddHBand="0" w:evenHBand="0" w:firstRowFirstColumn="0" w:firstRowLastColumn="0" w:lastRowFirstColumn="0" w:lastRowLastColumn="0"/>
          <w:trHeight w:val="20"/>
          <w:tblHeader/>
        </w:trPr>
        <w:tc>
          <w:tcPr>
            <w:tcW w:w="453" w:type="pct"/>
            <w:vAlign w:val="bottom"/>
          </w:tcPr>
          <w:p w14:paraId="2D8CFC22" w14:textId="21BB6A44" w:rsidR="007C7FE1" w:rsidRPr="007E1EE3" w:rsidRDefault="007C7FE1" w:rsidP="00DD30CD">
            <w:pPr>
              <w:keepNext/>
              <w:keepLines/>
              <w:spacing w:before="40" w:after="40" w:line="233" w:lineRule="auto"/>
            </w:pPr>
            <w:bookmarkStart w:id="1296" w:name="ColumnTitle_113"/>
            <w:r w:rsidRPr="007E1EE3">
              <w:t xml:space="preserve">KPI Number </w:t>
            </w:r>
            <w:hyperlink w:anchor="Note1WatercontNotes" w:history="1">
              <w:r w:rsidR="006B7011" w:rsidRPr="007E1EE3">
                <w:rPr>
                  <w:rStyle w:val="Hyperlink"/>
                </w:rPr>
                <w:t>refer note 1</w:t>
              </w:r>
            </w:hyperlink>
          </w:p>
        </w:tc>
        <w:tc>
          <w:tcPr>
            <w:tcW w:w="1240" w:type="pct"/>
            <w:vAlign w:val="bottom"/>
          </w:tcPr>
          <w:p w14:paraId="14B16B50" w14:textId="77777777" w:rsidR="007C7FE1" w:rsidRPr="007E1EE3" w:rsidRDefault="007C7FE1" w:rsidP="00DD30CD">
            <w:pPr>
              <w:keepNext/>
              <w:keepLines/>
              <w:spacing w:before="40" w:after="40" w:line="233" w:lineRule="auto"/>
            </w:pPr>
            <w:r w:rsidRPr="007E1EE3">
              <w:t>Key Performance Indicator</w:t>
            </w:r>
          </w:p>
        </w:tc>
        <w:tc>
          <w:tcPr>
            <w:tcW w:w="516" w:type="pct"/>
            <w:vAlign w:val="bottom"/>
          </w:tcPr>
          <w:p w14:paraId="756E900F" w14:textId="77777777" w:rsidR="007C7FE1" w:rsidRPr="007E1EE3" w:rsidRDefault="007C7FE1" w:rsidP="00DD30CD">
            <w:pPr>
              <w:keepNext/>
              <w:keepLines/>
              <w:spacing w:before="40" w:after="40" w:line="233" w:lineRule="auto"/>
            </w:pPr>
            <w:r w:rsidRPr="007E1EE3">
              <w:t>2019-20 Result</w:t>
            </w:r>
          </w:p>
        </w:tc>
        <w:tc>
          <w:tcPr>
            <w:tcW w:w="513" w:type="pct"/>
            <w:vAlign w:val="bottom"/>
          </w:tcPr>
          <w:p w14:paraId="2D9991E7" w14:textId="77777777" w:rsidR="007C7FE1" w:rsidRPr="007E1EE3" w:rsidRDefault="007C7FE1" w:rsidP="00DD30CD">
            <w:pPr>
              <w:keepNext/>
              <w:keepLines/>
              <w:spacing w:before="40" w:after="40" w:line="233" w:lineRule="auto"/>
            </w:pPr>
            <w:r w:rsidRPr="007E1EE3">
              <w:t>2020-21 Result</w:t>
            </w:r>
          </w:p>
        </w:tc>
        <w:tc>
          <w:tcPr>
            <w:tcW w:w="460" w:type="pct"/>
            <w:vAlign w:val="bottom"/>
          </w:tcPr>
          <w:p w14:paraId="777F0788" w14:textId="77777777" w:rsidR="007C7FE1" w:rsidRPr="007E1EE3" w:rsidRDefault="007C7FE1" w:rsidP="00DD30CD">
            <w:pPr>
              <w:keepNext/>
              <w:keepLines/>
              <w:spacing w:before="40" w:after="40" w:line="233" w:lineRule="auto"/>
            </w:pPr>
            <w:r w:rsidRPr="007E1EE3">
              <w:t>2020-21 Target</w:t>
            </w:r>
          </w:p>
        </w:tc>
        <w:tc>
          <w:tcPr>
            <w:tcW w:w="601" w:type="pct"/>
            <w:vAlign w:val="bottom"/>
          </w:tcPr>
          <w:p w14:paraId="5F50EA95" w14:textId="77777777" w:rsidR="007C7FE1" w:rsidRPr="007E1EE3" w:rsidRDefault="007C7FE1" w:rsidP="00DD30CD">
            <w:pPr>
              <w:keepNext/>
              <w:keepLines/>
              <w:spacing w:before="40" w:after="40" w:line="233" w:lineRule="auto"/>
            </w:pPr>
            <w:r w:rsidRPr="007E1EE3">
              <w:t>Variance to prior year</w:t>
            </w:r>
          </w:p>
        </w:tc>
        <w:tc>
          <w:tcPr>
            <w:tcW w:w="371" w:type="pct"/>
            <w:vAlign w:val="bottom"/>
          </w:tcPr>
          <w:p w14:paraId="3E4451D6" w14:textId="77777777" w:rsidR="007C7FE1" w:rsidRPr="007E1EE3" w:rsidRDefault="007C7FE1" w:rsidP="00DD30CD">
            <w:pPr>
              <w:keepNext/>
              <w:keepLines/>
              <w:spacing w:before="40" w:after="40" w:line="233" w:lineRule="auto"/>
            </w:pPr>
            <w:r w:rsidRPr="007E1EE3">
              <w:t>Notes</w:t>
            </w:r>
          </w:p>
        </w:tc>
        <w:tc>
          <w:tcPr>
            <w:tcW w:w="492" w:type="pct"/>
            <w:vAlign w:val="bottom"/>
          </w:tcPr>
          <w:p w14:paraId="5E04544F" w14:textId="77777777" w:rsidR="007C7FE1" w:rsidRPr="007E1EE3" w:rsidRDefault="007C7FE1" w:rsidP="00DD30CD">
            <w:pPr>
              <w:keepNext/>
              <w:keepLines/>
              <w:spacing w:before="40" w:after="40" w:line="233" w:lineRule="auto"/>
            </w:pPr>
            <w:r w:rsidRPr="007E1EE3">
              <w:t>Variance to target</w:t>
            </w:r>
          </w:p>
        </w:tc>
        <w:tc>
          <w:tcPr>
            <w:tcW w:w="354" w:type="pct"/>
            <w:vAlign w:val="bottom"/>
          </w:tcPr>
          <w:p w14:paraId="6723452C" w14:textId="77777777" w:rsidR="007C7FE1" w:rsidRPr="007E1EE3" w:rsidRDefault="007C7FE1" w:rsidP="00DD30CD">
            <w:pPr>
              <w:keepNext/>
              <w:keepLines/>
              <w:spacing w:before="40" w:after="40" w:line="233" w:lineRule="auto"/>
            </w:pPr>
            <w:r w:rsidRPr="007E1EE3">
              <w:t>Notes</w:t>
            </w:r>
          </w:p>
        </w:tc>
      </w:tr>
      <w:bookmarkEnd w:id="1296"/>
      <w:tr w:rsidR="007C7FE1" w:rsidRPr="007E1EE3" w14:paraId="05896AAA" w14:textId="77777777" w:rsidTr="004E6904">
        <w:trPr>
          <w:trHeight w:val="1077"/>
        </w:trPr>
        <w:tc>
          <w:tcPr>
            <w:tcW w:w="453" w:type="pct"/>
          </w:tcPr>
          <w:p w14:paraId="544882F4" w14:textId="7AD923FF" w:rsidR="007C7FE1" w:rsidRPr="007E1EE3" w:rsidRDefault="007C7FE1" w:rsidP="00DD30CD">
            <w:pPr>
              <w:pStyle w:val="TableBodyText"/>
              <w:keepNext/>
              <w:keepLines/>
              <w:spacing w:before="40" w:after="40" w:line="233" w:lineRule="auto"/>
              <w:rPr>
                <w:szCs w:val="20"/>
              </w:rPr>
            </w:pPr>
            <w:r w:rsidRPr="007E1EE3">
              <w:rPr>
                <w:szCs w:val="20"/>
              </w:rPr>
              <w:t>RW1</w:t>
            </w:r>
          </w:p>
        </w:tc>
        <w:tc>
          <w:tcPr>
            <w:tcW w:w="1240" w:type="pct"/>
          </w:tcPr>
          <w:p w14:paraId="5D4CA9C8" w14:textId="77777777" w:rsidR="007C7FE1" w:rsidRPr="007E1EE3" w:rsidRDefault="007C7FE1" w:rsidP="00DD30CD">
            <w:pPr>
              <w:pStyle w:val="TableBodyText"/>
              <w:keepNext/>
              <w:keepLines/>
              <w:spacing w:before="40" w:after="40" w:line="233" w:lineRule="auto"/>
              <w:rPr>
                <w:rStyle w:val="Bold"/>
                <w:szCs w:val="20"/>
              </w:rPr>
            </w:pPr>
            <w:r w:rsidRPr="007E1EE3">
              <w:rPr>
                <w:rStyle w:val="Bold"/>
                <w:szCs w:val="20"/>
              </w:rPr>
              <w:t>Recycled Water</w:t>
            </w:r>
          </w:p>
          <w:p w14:paraId="3C02F611" w14:textId="306DF727" w:rsidR="007C7FE1" w:rsidRPr="007E1EE3" w:rsidRDefault="0030196D" w:rsidP="00DD30CD">
            <w:pPr>
              <w:pStyle w:val="TableBodyText"/>
              <w:keepNext/>
              <w:keepLines/>
              <w:spacing w:before="40" w:after="40" w:line="233" w:lineRule="auto"/>
              <w:rPr>
                <w:szCs w:val="20"/>
              </w:rPr>
            </w:pPr>
            <w:r>
              <w:rPr>
                <w:szCs w:val="20"/>
              </w:rPr>
              <w:t>Western Treatment Plant</w:t>
            </w:r>
            <w:r w:rsidR="007C7FE1" w:rsidRPr="007E1EE3">
              <w:rPr>
                <w:szCs w:val="20"/>
              </w:rPr>
              <w:t xml:space="preserve"> recycled water schemes fully compliant with regulatory obligations and their contractual requirements, as outlined in the relevant Bulk Recycled Water Service Agreements (BRWSAs)</w:t>
            </w:r>
          </w:p>
        </w:tc>
        <w:tc>
          <w:tcPr>
            <w:tcW w:w="516" w:type="pct"/>
          </w:tcPr>
          <w:p w14:paraId="58A6CBE2" w14:textId="08CAC8C0" w:rsidR="007C7FE1" w:rsidRPr="007E1EE3" w:rsidRDefault="007C7FE1" w:rsidP="00DD30CD">
            <w:pPr>
              <w:pStyle w:val="TableBodyText"/>
              <w:keepNext/>
              <w:keepLines/>
              <w:spacing w:before="40" w:after="40" w:line="233" w:lineRule="auto"/>
              <w:rPr>
                <w:szCs w:val="20"/>
              </w:rPr>
            </w:pPr>
            <w:r w:rsidRPr="007E1EE3">
              <w:rPr>
                <w:szCs w:val="20"/>
              </w:rPr>
              <w:t>N/A</w:t>
            </w:r>
          </w:p>
        </w:tc>
        <w:tc>
          <w:tcPr>
            <w:tcW w:w="513" w:type="pct"/>
          </w:tcPr>
          <w:p w14:paraId="11E8718D" w14:textId="5EDE8C92" w:rsidR="007C7FE1" w:rsidRPr="007E1EE3" w:rsidRDefault="007C7FE1" w:rsidP="00DD30CD">
            <w:pPr>
              <w:pStyle w:val="TableBodyText"/>
              <w:keepNext/>
              <w:keepLines/>
              <w:spacing w:before="40" w:after="40" w:line="233" w:lineRule="auto"/>
              <w:rPr>
                <w:szCs w:val="20"/>
              </w:rPr>
            </w:pPr>
            <w:r w:rsidRPr="007E1EE3">
              <w:rPr>
                <w:szCs w:val="20"/>
              </w:rPr>
              <w:t>N/A</w:t>
            </w:r>
          </w:p>
        </w:tc>
        <w:tc>
          <w:tcPr>
            <w:tcW w:w="460" w:type="pct"/>
          </w:tcPr>
          <w:p w14:paraId="1D58D689" w14:textId="2ABDCE62" w:rsidR="007C7FE1" w:rsidRPr="007E1EE3" w:rsidRDefault="007C7FE1" w:rsidP="00DD30CD">
            <w:pPr>
              <w:pStyle w:val="TableBodyText"/>
              <w:keepNext/>
              <w:keepLines/>
              <w:spacing w:before="40" w:after="40" w:line="233" w:lineRule="auto"/>
              <w:rPr>
                <w:szCs w:val="20"/>
              </w:rPr>
            </w:pPr>
            <w:r w:rsidRPr="007E1EE3">
              <w:rPr>
                <w:szCs w:val="20"/>
              </w:rPr>
              <w:t>N/A</w:t>
            </w:r>
          </w:p>
        </w:tc>
        <w:tc>
          <w:tcPr>
            <w:tcW w:w="601" w:type="pct"/>
          </w:tcPr>
          <w:p w14:paraId="742B14F7" w14:textId="113372B1" w:rsidR="007C7FE1" w:rsidRPr="007E1EE3" w:rsidRDefault="007C7FE1" w:rsidP="00DD30CD">
            <w:pPr>
              <w:pStyle w:val="TableBodyText"/>
              <w:keepNext/>
              <w:keepLines/>
              <w:spacing w:before="40" w:after="40" w:line="233" w:lineRule="auto"/>
              <w:rPr>
                <w:szCs w:val="20"/>
              </w:rPr>
            </w:pPr>
            <w:r w:rsidRPr="007E1EE3">
              <w:rPr>
                <w:szCs w:val="20"/>
              </w:rPr>
              <w:t>N/A</w:t>
            </w:r>
          </w:p>
        </w:tc>
        <w:tc>
          <w:tcPr>
            <w:tcW w:w="371" w:type="pct"/>
          </w:tcPr>
          <w:p w14:paraId="33D047B6" w14:textId="77777777" w:rsidR="007C7FE1" w:rsidRPr="007E1EE3" w:rsidRDefault="007C7FE1" w:rsidP="00DD30CD">
            <w:pPr>
              <w:pStyle w:val="TableBodyText"/>
              <w:keepNext/>
              <w:keepLines/>
              <w:spacing w:before="40" w:after="40" w:line="233" w:lineRule="auto"/>
              <w:rPr>
                <w:szCs w:val="20"/>
              </w:rPr>
            </w:pPr>
            <w:r w:rsidRPr="007E1EE3">
              <w:rPr>
                <w:szCs w:val="20"/>
              </w:rPr>
              <w:t>N/A</w:t>
            </w:r>
          </w:p>
        </w:tc>
        <w:tc>
          <w:tcPr>
            <w:tcW w:w="492" w:type="pct"/>
          </w:tcPr>
          <w:p w14:paraId="585BCDE2" w14:textId="0CF47F60" w:rsidR="007C7FE1" w:rsidRPr="007E1EE3" w:rsidRDefault="007C7FE1" w:rsidP="00DD30CD">
            <w:pPr>
              <w:pStyle w:val="TableBodyText"/>
              <w:keepNext/>
              <w:keepLines/>
              <w:spacing w:before="40" w:after="40" w:line="233" w:lineRule="auto"/>
              <w:rPr>
                <w:szCs w:val="20"/>
              </w:rPr>
            </w:pPr>
            <w:r w:rsidRPr="007E1EE3">
              <w:rPr>
                <w:szCs w:val="20"/>
              </w:rPr>
              <w:t>N/A</w:t>
            </w:r>
          </w:p>
        </w:tc>
        <w:tc>
          <w:tcPr>
            <w:tcW w:w="354" w:type="pct"/>
          </w:tcPr>
          <w:p w14:paraId="54F63CDA" w14:textId="77777777" w:rsidR="007C7FE1" w:rsidRPr="007E1EE3" w:rsidRDefault="007C7FE1" w:rsidP="00DD30CD">
            <w:pPr>
              <w:pStyle w:val="TableBodyText"/>
              <w:keepNext/>
              <w:keepLines/>
              <w:spacing w:before="40" w:after="40" w:line="233" w:lineRule="auto"/>
              <w:rPr>
                <w:szCs w:val="20"/>
              </w:rPr>
            </w:pPr>
            <w:r w:rsidRPr="007E1EE3">
              <w:rPr>
                <w:szCs w:val="20"/>
              </w:rPr>
              <w:t>N/A</w:t>
            </w:r>
          </w:p>
        </w:tc>
      </w:tr>
      <w:tr w:rsidR="007C7FE1" w:rsidRPr="007E1EE3" w14:paraId="6D21678F" w14:textId="77777777" w:rsidTr="004E6904">
        <w:trPr>
          <w:trHeight w:val="1174"/>
        </w:trPr>
        <w:tc>
          <w:tcPr>
            <w:tcW w:w="453" w:type="pct"/>
          </w:tcPr>
          <w:p w14:paraId="03CDABB7" w14:textId="7BE1C3F8" w:rsidR="007C7FE1" w:rsidRPr="007E1EE3" w:rsidRDefault="007C7FE1" w:rsidP="00DD30CD">
            <w:pPr>
              <w:pStyle w:val="TableBodyText"/>
              <w:spacing w:before="40" w:after="40" w:line="233" w:lineRule="auto"/>
              <w:rPr>
                <w:szCs w:val="20"/>
              </w:rPr>
            </w:pPr>
            <w:r w:rsidRPr="007E1EE3">
              <w:rPr>
                <w:szCs w:val="20"/>
              </w:rPr>
              <w:t>RW1.1</w:t>
            </w:r>
          </w:p>
        </w:tc>
        <w:tc>
          <w:tcPr>
            <w:tcW w:w="1240" w:type="pct"/>
          </w:tcPr>
          <w:p w14:paraId="5788FE1F" w14:textId="3F8514B4" w:rsidR="007C7FE1" w:rsidRPr="007E1EE3" w:rsidRDefault="007C7FE1" w:rsidP="00DD30CD">
            <w:pPr>
              <w:pStyle w:val="TableBodyText"/>
              <w:spacing w:before="40" w:after="40" w:line="233" w:lineRule="auto"/>
              <w:rPr>
                <w:szCs w:val="20"/>
              </w:rPr>
            </w:pPr>
            <w:r w:rsidRPr="007E1EE3">
              <w:rPr>
                <w:szCs w:val="20"/>
              </w:rPr>
              <w:t>Volume demands</w:t>
            </w:r>
          </w:p>
        </w:tc>
        <w:tc>
          <w:tcPr>
            <w:tcW w:w="516" w:type="pct"/>
          </w:tcPr>
          <w:p w14:paraId="3D89CE3E" w14:textId="160A7726" w:rsidR="007C7FE1" w:rsidRPr="007E1EE3" w:rsidRDefault="007C7FE1" w:rsidP="00DD30CD">
            <w:pPr>
              <w:pStyle w:val="TableBodyText"/>
              <w:spacing w:before="40" w:after="40" w:line="233" w:lineRule="auto"/>
              <w:rPr>
                <w:szCs w:val="20"/>
              </w:rPr>
            </w:pPr>
            <w:r w:rsidRPr="007E1EE3">
              <w:rPr>
                <w:szCs w:val="20"/>
              </w:rPr>
              <w:t>100.0%</w:t>
            </w:r>
          </w:p>
        </w:tc>
        <w:tc>
          <w:tcPr>
            <w:tcW w:w="513" w:type="pct"/>
          </w:tcPr>
          <w:p w14:paraId="6AB9F856" w14:textId="6B45BB28" w:rsidR="007C7FE1" w:rsidRPr="007E1EE3" w:rsidRDefault="007C7FE1" w:rsidP="00DD30CD">
            <w:pPr>
              <w:pStyle w:val="TableBodyText"/>
              <w:spacing w:before="40" w:after="40" w:line="233" w:lineRule="auto"/>
              <w:rPr>
                <w:szCs w:val="20"/>
              </w:rPr>
            </w:pPr>
            <w:r w:rsidRPr="007E1EE3">
              <w:rPr>
                <w:szCs w:val="20"/>
              </w:rPr>
              <w:t>100.0%</w:t>
            </w:r>
          </w:p>
        </w:tc>
        <w:tc>
          <w:tcPr>
            <w:tcW w:w="460" w:type="pct"/>
          </w:tcPr>
          <w:p w14:paraId="7B78F6F2" w14:textId="64E4DE10" w:rsidR="007C7FE1" w:rsidRPr="007E1EE3" w:rsidRDefault="007C7FE1" w:rsidP="00DD30CD">
            <w:pPr>
              <w:pStyle w:val="TableBodyText"/>
              <w:spacing w:before="40" w:after="40" w:line="233" w:lineRule="auto"/>
              <w:rPr>
                <w:szCs w:val="20"/>
              </w:rPr>
            </w:pPr>
            <w:r w:rsidRPr="007E1EE3">
              <w:rPr>
                <w:szCs w:val="20"/>
              </w:rPr>
              <w:t>100.0%</w:t>
            </w:r>
          </w:p>
        </w:tc>
        <w:tc>
          <w:tcPr>
            <w:tcW w:w="601" w:type="pct"/>
          </w:tcPr>
          <w:p w14:paraId="6AA69DD8" w14:textId="4E339814" w:rsidR="007C7FE1" w:rsidRPr="007E1EE3" w:rsidRDefault="007C7FE1" w:rsidP="00DD30CD">
            <w:pPr>
              <w:pStyle w:val="TableBodyText"/>
              <w:spacing w:before="40" w:after="40" w:line="233" w:lineRule="auto"/>
              <w:rPr>
                <w:szCs w:val="20"/>
              </w:rPr>
            </w:pPr>
            <w:r w:rsidRPr="007E1EE3">
              <w:rPr>
                <w:szCs w:val="20"/>
              </w:rPr>
              <w:t>0.0%</w:t>
            </w:r>
          </w:p>
        </w:tc>
        <w:tc>
          <w:tcPr>
            <w:tcW w:w="371" w:type="pct"/>
          </w:tcPr>
          <w:p w14:paraId="15025218" w14:textId="1605BA1B" w:rsidR="007C7FE1" w:rsidRPr="007E1EE3" w:rsidRDefault="007C7FE1" w:rsidP="00DD30CD">
            <w:pPr>
              <w:pStyle w:val="TableBodyText"/>
              <w:spacing w:before="40" w:after="40" w:line="233" w:lineRule="auto"/>
              <w:rPr>
                <w:szCs w:val="20"/>
              </w:rPr>
            </w:pPr>
            <w:r w:rsidRPr="007E1EE3">
              <w:rPr>
                <w:szCs w:val="20"/>
              </w:rPr>
              <w:t>N/A</w:t>
            </w:r>
          </w:p>
        </w:tc>
        <w:tc>
          <w:tcPr>
            <w:tcW w:w="492" w:type="pct"/>
          </w:tcPr>
          <w:p w14:paraId="15142868" w14:textId="1D0D9120" w:rsidR="007C7FE1" w:rsidRPr="007E1EE3" w:rsidRDefault="007C7FE1" w:rsidP="00DD30CD">
            <w:pPr>
              <w:pStyle w:val="TableBodyText"/>
              <w:spacing w:before="40" w:after="40" w:line="233" w:lineRule="auto"/>
              <w:rPr>
                <w:szCs w:val="20"/>
              </w:rPr>
            </w:pPr>
            <w:r w:rsidRPr="007E1EE3">
              <w:rPr>
                <w:szCs w:val="20"/>
              </w:rPr>
              <w:t>0.0%</w:t>
            </w:r>
          </w:p>
        </w:tc>
        <w:tc>
          <w:tcPr>
            <w:tcW w:w="354" w:type="pct"/>
          </w:tcPr>
          <w:p w14:paraId="415ECE69" w14:textId="77777777" w:rsidR="007C7FE1" w:rsidRPr="007E1EE3" w:rsidRDefault="007C7FE1" w:rsidP="00DD30CD">
            <w:pPr>
              <w:pStyle w:val="TableBodyText"/>
              <w:spacing w:before="40" w:after="40" w:line="233" w:lineRule="auto"/>
              <w:rPr>
                <w:szCs w:val="20"/>
              </w:rPr>
            </w:pPr>
            <w:r w:rsidRPr="007E1EE3">
              <w:rPr>
                <w:szCs w:val="20"/>
              </w:rPr>
              <w:t>N/A</w:t>
            </w:r>
          </w:p>
        </w:tc>
      </w:tr>
      <w:tr w:rsidR="007C7FE1" w:rsidRPr="007E1EE3" w14:paraId="51DD1B6B" w14:textId="77777777" w:rsidTr="004E6904">
        <w:trPr>
          <w:trHeight w:val="20"/>
        </w:trPr>
        <w:tc>
          <w:tcPr>
            <w:tcW w:w="453" w:type="pct"/>
          </w:tcPr>
          <w:p w14:paraId="358EDBDA" w14:textId="51BF74A9" w:rsidR="007C7FE1" w:rsidRPr="007E1EE3" w:rsidRDefault="007C7FE1" w:rsidP="00DD30CD">
            <w:pPr>
              <w:pStyle w:val="TableBodyText"/>
              <w:spacing w:before="40" w:after="40" w:line="233" w:lineRule="auto"/>
              <w:rPr>
                <w:szCs w:val="20"/>
              </w:rPr>
            </w:pPr>
            <w:r w:rsidRPr="007E1EE3">
              <w:rPr>
                <w:szCs w:val="20"/>
              </w:rPr>
              <w:t>RW1.2</w:t>
            </w:r>
          </w:p>
        </w:tc>
        <w:tc>
          <w:tcPr>
            <w:tcW w:w="1240" w:type="pct"/>
          </w:tcPr>
          <w:p w14:paraId="22519B6E" w14:textId="4EE144E9" w:rsidR="007C7FE1" w:rsidRPr="007E1EE3" w:rsidRDefault="007C7FE1" w:rsidP="00DD30CD">
            <w:pPr>
              <w:pStyle w:val="TableBodyText"/>
              <w:spacing w:before="40" w:after="40" w:line="233" w:lineRule="auto"/>
              <w:rPr>
                <w:szCs w:val="20"/>
              </w:rPr>
            </w:pPr>
            <w:r w:rsidRPr="007E1EE3">
              <w:rPr>
                <w:szCs w:val="20"/>
              </w:rPr>
              <w:t>Reliability</w:t>
            </w:r>
          </w:p>
        </w:tc>
        <w:tc>
          <w:tcPr>
            <w:tcW w:w="516" w:type="pct"/>
          </w:tcPr>
          <w:p w14:paraId="2FC4A28E" w14:textId="5F9D9202" w:rsidR="007C7FE1" w:rsidRPr="007E1EE3" w:rsidRDefault="007C7FE1" w:rsidP="00DD30CD">
            <w:pPr>
              <w:pStyle w:val="TableBodyText"/>
              <w:spacing w:before="40" w:after="40" w:line="233" w:lineRule="auto"/>
              <w:rPr>
                <w:szCs w:val="20"/>
              </w:rPr>
            </w:pPr>
            <w:r w:rsidRPr="007E1EE3">
              <w:rPr>
                <w:szCs w:val="20"/>
              </w:rPr>
              <w:t>99.8%</w:t>
            </w:r>
          </w:p>
        </w:tc>
        <w:tc>
          <w:tcPr>
            <w:tcW w:w="513" w:type="pct"/>
          </w:tcPr>
          <w:p w14:paraId="259CE207" w14:textId="74957B69" w:rsidR="007C7FE1" w:rsidRPr="007E1EE3" w:rsidRDefault="007C7FE1" w:rsidP="00DD30CD">
            <w:pPr>
              <w:pStyle w:val="TableBodyText"/>
              <w:spacing w:before="40" w:after="40" w:line="233" w:lineRule="auto"/>
              <w:rPr>
                <w:szCs w:val="20"/>
              </w:rPr>
            </w:pPr>
            <w:r w:rsidRPr="007E1EE3">
              <w:rPr>
                <w:szCs w:val="20"/>
              </w:rPr>
              <w:t>91.3%</w:t>
            </w:r>
          </w:p>
        </w:tc>
        <w:tc>
          <w:tcPr>
            <w:tcW w:w="460" w:type="pct"/>
          </w:tcPr>
          <w:p w14:paraId="0E97E21D" w14:textId="1BBCEFB8" w:rsidR="007C7FE1" w:rsidRPr="007E1EE3" w:rsidRDefault="007C7FE1" w:rsidP="00DD30CD">
            <w:pPr>
              <w:pStyle w:val="TableBodyText"/>
              <w:spacing w:before="40" w:after="40" w:line="233" w:lineRule="auto"/>
              <w:rPr>
                <w:szCs w:val="20"/>
              </w:rPr>
            </w:pPr>
            <w:r w:rsidRPr="007E1EE3">
              <w:rPr>
                <w:szCs w:val="20"/>
              </w:rPr>
              <w:t>100.0%</w:t>
            </w:r>
          </w:p>
        </w:tc>
        <w:tc>
          <w:tcPr>
            <w:tcW w:w="601" w:type="pct"/>
          </w:tcPr>
          <w:p w14:paraId="73CA3585" w14:textId="1A68A950" w:rsidR="007C7FE1" w:rsidRPr="007E1EE3" w:rsidRDefault="007C7FE1" w:rsidP="00DD30CD">
            <w:pPr>
              <w:pStyle w:val="TableBodyText"/>
              <w:spacing w:before="40" w:after="40" w:line="233" w:lineRule="auto"/>
              <w:rPr>
                <w:szCs w:val="20"/>
              </w:rPr>
            </w:pPr>
            <w:r w:rsidRPr="007E1EE3">
              <w:rPr>
                <w:szCs w:val="20"/>
              </w:rPr>
              <w:t>-8.5%</w:t>
            </w:r>
          </w:p>
        </w:tc>
        <w:tc>
          <w:tcPr>
            <w:tcW w:w="371" w:type="pct"/>
          </w:tcPr>
          <w:p w14:paraId="2F7417FE" w14:textId="2DE8819B" w:rsidR="007C7FE1" w:rsidRPr="007E1EE3" w:rsidRDefault="00926282" w:rsidP="00DD30CD">
            <w:pPr>
              <w:pStyle w:val="TableBodyText"/>
              <w:spacing w:before="40" w:after="40" w:line="233" w:lineRule="auto"/>
              <w:rPr>
                <w:szCs w:val="20"/>
              </w:rPr>
            </w:pPr>
            <w:hyperlink w:anchor="Note10WatercontNotes" w:history="1">
              <w:r w:rsidR="006B7011" w:rsidRPr="007E1EE3">
                <w:rPr>
                  <w:rStyle w:val="Hyperlink"/>
                  <w:szCs w:val="20"/>
                </w:rPr>
                <w:t>refer note 10</w:t>
              </w:r>
            </w:hyperlink>
          </w:p>
        </w:tc>
        <w:tc>
          <w:tcPr>
            <w:tcW w:w="492" w:type="pct"/>
          </w:tcPr>
          <w:p w14:paraId="13C93BAD" w14:textId="6126F82A" w:rsidR="007C7FE1" w:rsidRPr="007E1EE3" w:rsidRDefault="007C7FE1" w:rsidP="00DD30CD">
            <w:pPr>
              <w:pStyle w:val="TableBodyText"/>
              <w:spacing w:before="40" w:after="40" w:line="233" w:lineRule="auto"/>
              <w:rPr>
                <w:szCs w:val="20"/>
              </w:rPr>
            </w:pPr>
            <w:r w:rsidRPr="007E1EE3">
              <w:rPr>
                <w:szCs w:val="20"/>
              </w:rPr>
              <w:t>-8.7%</w:t>
            </w:r>
          </w:p>
        </w:tc>
        <w:tc>
          <w:tcPr>
            <w:tcW w:w="354" w:type="pct"/>
          </w:tcPr>
          <w:p w14:paraId="2A030B81" w14:textId="4BC0D50D" w:rsidR="007C7FE1" w:rsidRPr="007E1EE3" w:rsidRDefault="00926282" w:rsidP="00DD30CD">
            <w:pPr>
              <w:pStyle w:val="TableBodyText"/>
              <w:spacing w:before="40" w:after="40" w:line="233" w:lineRule="auto"/>
              <w:rPr>
                <w:szCs w:val="20"/>
              </w:rPr>
            </w:pPr>
            <w:hyperlink w:anchor="Note10WatercontNotes" w:history="1">
              <w:r w:rsidR="006B7011" w:rsidRPr="007E1EE3">
                <w:rPr>
                  <w:rStyle w:val="Hyperlink"/>
                  <w:szCs w:val="20"/>
                </w:rPr>
                <w:t>refer note 10</w:t>
              </w:r>
            </w:hyperlink>
          </w:p>
        </w:tc>
      </w:tr>
      <w:tr w:rsidR="007C7FE1" w:rsidRPr="007E1EE3" w14:paraId="563E52B7" w14:textId="77777777" w:rsidTr="004E6904">
        <w:trPr>
          <w:trHeight w:val="20"/>
        </w:trPr>
        <w:tc>
          <w:tcPr>
            <w:tcW w:w="453" w:type="pct"/>
          </w:tcPr>
          <w:p w14:paraId="2A71C39F" w14:textId="1B807842" w:rsidR="007C7FE1" w:rsidRPr="007E1EE3" w:rsidRDefault="007C7FE1" w:rsidP="00DD30CD">
            <w:pPr>
              <w:pStyle w:val="TableBodyText"/>
              <w:spacing w:before="40" w:after="40" w:line="233" w:lineRule="auto"/>
              <w:rPr>
                <w:szCs w:val="20"/>
              </w:rPr>
            </w:pPr>
            <w:r w:rsidRPr="007E1EE3">
              <w:rPr>
                <w:szCs w:val="20"/>
              </w:rPr>
              <w:t>RW1.3</w:t>
            </w:r>
          </w:p>
        </w:tc>
        <w:tc>
          <w:tcPr>
            <w:tcW w:w="1240" w:type="pct"/>
          </w:tcPr>
          <w:p w14:paraId="31D34EA4" w14:textId="4B60CCA2" w:rsidR="007C7FE1" w:rsidRPr="007E1EE3" w:rsidRDefault="007C7FE1" w:rsidP="00DD30CD">
            <w:pPr>
              <w:pStyle w:val="TableBodyText"/>
              <w:spacing w:before="40" w:after="40" w:line="233" w:lineRule="auto"/>
              <w:rPr>
                <w:szCs w:val="20"/>
              </w:rPr>
            </w:pPr>
            <w:r w:rsidRPr="007E1EE3">
              <w:rPr>
                <w:szCs w:val="20"/>
              </w:rPr>
              <w:t>Quality</w:t>
            </w:r>
          </w:p>
        </w:tc>
        <w:tc>
          <w:tcPr>
            <w:tcW w:w="516" w:type="pct"/>
          </w:tcPr>
          <w:p w14:paraId="127CC49E" w14:textId="2698E95B" w:rsidR="007C7FE1" w:rsidRPr="007E1EE3" w:rsidRDefault="007C7FE1" w:rsidP="00DD30CD">
            <w:pPr>
              <w:pStyle w:val="TableBodyText"/>
              <w:spacing w:before="40" w:after="40" w:line="233" w:lineRule="auto"/>
              <w:rPr>
                <w:szCs w:val="20"/>
              </w:rPr>
            </w:pPr>
            <w:r w:rsidRPr="007E1EE3">
              <w:rPr>
                <w:szCs w:val="20"/>
              </w:rPr>
              <w:t>99.3%</w:t>
            </w:r>
          </w:p>
        </w:tc>
        <w:tc>
          <w:tcPr>
            <w:tcW w:w="513" w:type="pct"/>
          </w:tcPr>
          <w:p w14:paraId="578FAF79" w14:textId="3DE153CE" w:rsidR="007C7FE1" w:rsidRPr="007E1EE3" w:rsidRDefault="007C7FE1" w:rsidP="00DD30CD">
            <w:pPr>
              <w:pStyle w:val="TableBodyText"/>
              <w:spacing w:before="40" w:after="40" w:line="233" w:lineRule="auto"/>
              <w:rPr>
                <w:szCs w:val="20"/>
              </w:rPr>
            </w:pPr>
            <w:r w:rsidRPr="007E1EE3">
              <w:rPr>
                <w:szCs w:val="20"/>
              </w:rPr>
              <w:t>90.3%</w:t>
            </w:r>
          </w:p>
        </w:tc>
        <w:tc>
          <w:tcPr>
            <w:tcW w:w="460" w:type="pct"/>
          </w:tcPr>
          <w:p w14:paraId="3E4B9923" w14:textId="254B44E4" w:rsidR="007C7FE1" w:rsidRPr="007E1EE3" w:rsidRDefault="007C7FE1" w:rsidP="00DD30CD">
            <w:pPr>
              <w:pStyle w:val="TableBodyText"/>
              <w:spacing w:before="40" w:after="40" w:line="233" w:lineRule="auto"/>
              <w:rPr>
                <w:szCs w:val="20"/>
              </w:rPr>
            </w:pPr>
            <w:r w:rsidRPr="007E1EE3">
              <w:rPr>
                <w:szCs w:val="20"/>
              </w:rPr>
              <w:t>100.0%</w:t>
            </w:r>
          </w:p>
        </w:tc>
        <w:tc>
          <w:tcPr>
            <w:tcW w:w="601" w:type="pct"/>
          </w:tcPr>
          <w:p w14:paraId="753EA7EE" w14:textId="7E325CAA" w:rsidR="007C7FE1" w:rsidRPr="007E1EE3" w:rsidRDefault="007C7FE1" w:rsidP="00DD30CD">
            <w:pPr>
              <w:pStyle w:val="TableBodyText"/>
              <w:spacing w:before="40" w:after="40" w:line="233" w:lineRule="auto"/>
              <w:rPr>
                <w:szCs w:val="20"/>
              </w:rPr>
            </w:pPr>
            <w:r w:rsidRPr="007E1EE3">
              <w:rPr>
                <w:szCs w:val="20"/>
              </w:rPr>
              <w:t>-9.1%</w:t>
            </w:r>
          </w:p>
        </w:tc>
        <w:tc>
          <w:tcPr>
            <w:tcW w:w="371" w:type="pct"/>
          </w:tcPr>
          <w:p w14:paraId="7FBD5BF4" w14:textId="3FBA20F9" w:rsidR="007C7FE1" w:rsidRPr="007E1EE3" w:rsidRDefault="00926282" w:rsidP="00DD30CD">
            <w:pPr>
              <w:pStyle w:val="TableBodyText"/>
              <w:spacing w:before="40" w:after="40" w:line="233" w:lineRule="auto"/>
              <w:rPr>
                <w:szCs w:val="20"/>
              </w:rPr>
            </w:pPr>
            <w:hyperlink w:anchor="Note10WatercontNotes" w:history="1">
              <w:r w:rsidR="006B7011" w:rsidRPr="007E1EE3">
                <w:rPr>
                  <w:rStyle w:val="Hyperlink"/>
                  <w:szCs w:val="20"/>
                </w:rPr>
                <w:t>refer note 10</w:t>
              </w:r>
            </w:hyperlink>
          </w:p>
        </w:tc>
        <w:tc>
          <w:tcPr>
            <w:tcW w:w="492" w:type="pct"/>
          </w:tcPr>
          <w:p w14:paraId="1E7DA1A5" w14:textId="38830F55" w:rsidR="007C7FE1" w:rsidRPr="007E1EE3" w:rsidRDefault="007C7FE1" w:rsidP="00DD30CD">
            <w:pPr>
              <w:pStyle w:val="TableBodyText"/>
              <w:spacing w:before="40" w:after="40" w:line="233" w:lineRule="auto"/>
              <w:rPr>
                <w:szCs w:val="20"/>
              </w:rPr>
            </w:pPr>
            <w:r w:rsidRPr="007E1EE3">
              <w:rPr>
                <w:szCs w:val="20"/>
              </w:rPr>
              <w:t>-9.7%</w:t>
            </w:r>
          </w:p>
        </w:tc>
        <w:tc>
          <w:tcPr>
            <w:tcW w:w="354" w:type="pct"/>
          </w:tcPr>
          <w:p w14:paraId="54AEF01C" w14:textId="628FD4B6" w:rsidR="007C7FE1" w:rsidRPr="007E1EE3" w:rsidRDefault="00926282" w:rsidP="00DD30CD">
            <w:pPr>
              <w:pStyle w:val="TableBodyText"/>
              <w:spacing w:before="40" w:after="40" w:line="233" w:lineRule="auto"/>
              <w:rPr>
                <w:szCs w:val="20"/>
              </w:rPr>
            </w:pPr>
            <w:hyperlink w:anchor="Note10WatercontNotes" w:history="1">
              <w:r w:rsidR="006B7011" w:rsidRPr="007E1EE3">
                <w:rPr>
                  <w:rStyle w:val="Hyperlink"/>
                  <w:szCs w:val="20"/>
                </w:rPr>
                <w:t>refer note 10</w:t>
              </w:r>
            </w:hyperlink>
          </w:p>
        </w:tc>
      </w:tr>
      <w:tr w:rsidR="007C7FE1" w:rsidRPr="007E1EE3" w14:paraId="7BB4D9AA" w14:textId="77777777" w:rsidTr="004E6904">
        <w:trPr>
          <w:trHeight w:val="20"/>
        </w:trPr>
        <w:tc>
          <w:tcPr>
            <w:tcW w:w="453" w:type="pct"/>
          </w:tcPr>
          <w:p w14:paraId="2FF80994" w14:textId="234F8240" w:rsidR="007C7FE1" w:rsidRPr="007E1EE3" w:rsidRDefault="007C7FE1" w:rsidP="00DD30CD">
            <w:pPr>
              <w:pStyle w:val="TableBodyText"/>
              <w:spacing w:before="40" w:after="40" w:line="233" w:lineRule="auto"/>
              <w:rPr>
                <w:szCs w:val="20"/>
              </w:rPr>
            </w:pPr>
            <w:r w:rsidRPr="007E1EE3">
              <w:rPr>
                <w:szCs w:val="20"/>
              </w:rPr>
              <w:t>RW2</w:t>
            </w:r>
          </w:p>
        </w:tc>
        <w:tc>
          <w:tcPr>
            <w:tcW w:w="1240" w:type="pct"/>
          </w:tcPr>
          <w:p w14:paraId="19CCEAF6" w14:textId="77777777" w:rsidR="007C7FE1" w:rsidRPr="007E1EE3" w:rsidRDefault="007C7FE1" w:rsidP="00DD30CD">
            <w:pPr>
              <w:pStyle w:val="TableBodyText"/>
              <w:spacing w:before="40" w:after="40" w:line="233" w:lineRule="auto"/>
              <w:rPr>
                <w:rStyle w:val="Bold"/>
                <w:szCs w:val="20"/>
              </w:rPr>
            </w:pPr>
            <w:r w:rsidRPr="007E1EE3">
              <w:rPr>
                <w:rStyle w:val="Bold"/>
                <w:szCs w:val="20"/>
              </w:rPr>
              <w:t>Recycled Water</w:t>
            </w:r>
          </w:p>
          <w:p w14:paraId="59943719" w14:textId="5437A756" w:rsidR="007C7FE1" w:rsidRPr="007E1EE3" w:rsidRDefault="00A52F94" w:rsidP="00DD30CD">
            <w:pPr>
              <w:pStyle w:val="TableBodyText"/>
              <w:spacing w:before="40" w:after="40" w:line="233" w:lineRule="auto"/>
              <w:rPr>
                <w:szCs w:val="20"/>
              </w:rPr>
            </w:pPr>
            <w:r>
              <w:rPr>
                <w:szCs w:val="20"/>
              </w:rPr>
              <w:t>Eastern Treatment Plant</w:t>
            </w:r>
            <w:r w:rsidR="006B7011" w:rsidRPr="007E1EE3">
              <w:rPr>
                <w:szCs w:val="20"/>
              </w:rPr>
              <w:t xml:space="preserve"> recycled water schemes fully compliant with regulatory obligations and their contractual requirements, as outlined in the relevant BRWSAs</w:t>
            </w:r>
          </w:p>
        </w:tc>
        <w:tc>
          <w:tcPr>
            <w:tcW w:w="516" w:type="pct"/>
          </w:tcPr>
          <w:p w14:paraId="2612AD19" w14:textId="77777777" w:rsidR="007C7FE1" w:rsidRPr="007E1EE3" w:rsidRDefault="007C7FE1" w:rsidP="00DD30CD">
            <w:pPr>
              <w:pStyle w:val="TableBodyText"/>
              <w:spacing w:before="40" w:after="40" w:line="233" w:lineRule="auto"/>
              <w:rPr>
                <w:szCs w:val="20"/>
              </w:rPr>
            </w:pPr>
            <w:r w:rsidRPr="007E1EE3">
              <w:rPr>
                <w:szCs w:val="20"/>
              </w:rPr>
              <w:t>N/A</w:t>
            </w:r>
          </w:p>
        </w:tc>
        <w:tc>
          <w:tcPr>
            <w:tcW w:w="513" w:type="pct"/>
          </w:tcPr>
          <w:p w14:paraId="35876AF4" w14:textId="77777777" w:rsidR="007C7FE1" w:rsidRPr="007E1EE3" w:rsidRDefault="007C7FE1" w:rsidP="00DD30CD">
            <w:pPr>
              <w:pStyle w:val="TableBodyText"/>
              <w:spacing w:before="40" w:after="40" w:line="233" w:lineRule="auto"/>
              <w:rPr>
                <w:szCs w:val="20"/>
              </w:rPr>
            </w:pPr>
            <w:r w:rsidRPr="007E1EE3">
              <w:rPr>
                <w:szCs w:val="20"/>
              </w:rPr>
              <w:t>N/A</w:t>
            </w:r>
          </w:p>
        </w:tc>
        <w:tc>
          <w:tcPr>
            <w:tcW w:w="460" w:type="pct"/>
          </w:tcPr>
          <w:p w14:paraId="271EE86F" w14:textId="77777777" w:rsidR="007C7FE1" w:rsidRPr="007E1EE3" w:rsidRDefault="007C7FE1" w:rsidP="00DD30CD">
            <w:pPr>
              <w:pStyle w:val="TableBodyText"/>
              <w:spacing w:before="40" w:after="40" w:line="233" w:lineRule="auto"/>
              <w:rPr>
                <w:szCs w:val="20"/>
              </w:rPr>
            </w:pPr>
            <w:r w:rsidRPr="007E1EE3">
              <w:rPr>
                <w:szCs w:val="20"/>
              </w:rPr>
              <w:t>N/A</w:t>
            </w:r>
          </w:p>
        </w:tc>
        <w:tc>
          <w:tcPr>
            <w:tcW w:w="601" w:type="pct"/>
          </w:tcPr>
          <w:p w14:paraId="67C7C356" w14:textId="77777777" w:rsidR="007C7FE1" w:rsidRPr="007E1EE3" w:rsidRDefault="007C7FE1" w:rsidP="00DD30CD">
            <w:pPr>
              <w:pStyle w:val="TableBodyText"/>
              <w:spacing w:before="40" w:after="40" w:line="233" w:lineRule="auto"/>
              <w:rPr>
                <w:szCs w:val="20"/>
              </w:rPr>
            </w:pPr>
            <w:r w:rsidRPr="007E1EE3">
              <w:rPr>
                <w:szCs w:val="20"/>
              </w:rPr>
              <w:t>N/A</w:t>
            </w:r>
          </w:p>
        </w:tc>
        <w:tc>
          <w:tcPr>
            <w:tcW w:w="371" w:type="pct"/>
          </w:tcPr>
          <w:p w14:paraId="759DB259" w14:textId="77777777" w:rsidR="007C7FE1" w:rsidRPr="007E1EE3" w:rsidRDefault="007C7FE1" w:rsidP="00DD30CD">
            <w:pPr>
              <w:pStyle w:val="TableBodyText"/>
              <w:spacing w:before="40" w:after="40" w:line="233" w:lineRule="auto"/>
              <w:rPr>
                <w:szCs w:val="20"/>
              </w:rPr>
            </w:pPr>
            <w:r w:rsidRPr="007E1EE3">
              <w:rPr>
                <w:szCs w:val="20"/>
              </w:rPr>
              <w:t>N/A</w:t>
            </w:r>
          </w:p>
        </w:tc>
        <w:tc>
          <w:tcPr>
            <w:tcW w:w="492" w:type="pct"/>
          </w:tcPr>
          <w:p w14:paraId="3DD0070E" w14:textId="77777777" w:rsidR="007C7FE1" w:rsidRPr="007E1EE3" w:rsidRDefault="007C7FE1" w:rsidP="00DD30CD">
            <w:pPr>
              <w:pStyle w:val="TableBodyText"/>
              <w:spacing w:before="40" w:after="40" w:line="233" w:lineRule="auto"/>
              <w:rPr>
                <w:szCs w:val="20"/>
              </w:rPr>
            </w:pPr>
            <w:r w:rsidRPr="007E1EE3">
              <w:rPr>
                <w:szCs w:val="20"/>
              </w:rPr>
              <w:t>N/A</w:t>
            </w:r>
          </w:p>
        </w:tc>
        <w:tc>
          <w:tcPr>
            <w:tcW w:w="354" w:type="pct"/>
          </w:tcPr>
          <w:p w14:paraId="70AB6E56" w14:textId="77777777" w:rsidR="007C7FE1" w:rsidRPr="007E1EE3" w:rsidRDefault="007C7FE1" w:rsidP="00DD30CD">
            <w:pPr>
              <w:pStyle w:val="TableBodyText"/>
              <w:spacing w:before="40" w:after="40" w:line="233" w:lineRule="auto"/>
              <w:rPr>
                <w:szCs w:val="20"/>
              </w:rPr>
            </w:pPr>
            <w:r w:rsidRPr="007E1EE3">
              <w:rPr>
                <w:szCs w:val="20"/>
              </w:rPr>
              <w:t>N/A</w:t>
            </w:r>
          </w:p>
        </w:tc>
      </w:tr>
      <w:tr w:rsidR="007C7FE1" w:rsidRPr="007E1EE3" w14:paraId="3D75E3E3" w14:textId="77777777" w:rsidTr="004E6904">
        <w:trPr>
          <w:trHeight w:val="20"/>
        </w:trPr>
        <w:tc>
          <w:tcPr>
            <w:tcW w:w="453" w:type="pct"/>
          </w:tcPr>
          <w:p w14:paraId="640F5BD9" w14:textId="18EFB862" w:rsidR="007C7FE1" w:rsidRPr="007E1EE3" w:rsidRDefault="006B7011" w:rsidP="00DD30CD">
            <w:pPr>
              <w:pStyle w:val="TableBodyText"/>
              <w:spacing w:before="40" w:after="40" w:line="233" w:lineRule="auto"/>
              <w:rPr>
                <w:szCs w:val="20"/>
              </w:rPr>
            </w:pPr>
            <w:r w:rsidRPr="007E1EE3">
              <w:rPr>
                <w:szCs w:val="20"/>
              </w:rPr>
              <w:t>RW2.1</w:t>
            </w:r>
          </w:p>
        </w:tc>
        <w:tc>
          <w:tcPr>
            <w:tcW w:w="1240" w:type="pct"/>
          </w:tcPr>
          <w:p w14:paraId="3C436EDF" w14:textId="3BC41019" w:rsidR="007C7FE1" w:rsidRPr="007E1EE3" w:rsidRDefault="006B7011" w:rsidP="00DD30CD">
            <w:pPr>
              <w:pStyle w:val="TableBodyText"/>
              <w:spacing w:before="40" w:after="40" w:line="233" w:lineRule="auto"/>
              <w:rPr>
                <w:szCs w:val="20"/>
              </w:rPr>
            </w:pPr>
            <w:r w:rsidRPr="007E1EE3">
              <w:rPr>
                <w:szCs w:val="20"/>
              </w:rPr>
              <w:t>Volume demands</w:t>
            </w:r>
          </w:p>
        </w:tc>
        <w:tc>
          <w:tcPr>
            <w:tcW w:w="516" w:type="pct"/>
          </w:tcPr>
          <w:p w14:paraId="02012F17" w14:textId="6395AAD5" w:rsidR="007C7FE1" w:rsidRPr="007E1EE3" w:rsidRDefault="006B7011" w:rsidP="00DD30CD">
            <w:pPr>
              <w:pStyle w:val="TableBodyText"/>
              <w:spacing w:before="40" w:after="40" w:line="233" w:lineRule="auto"/>
              <w:rPr>
                <w:szCs w:val="20"/>
              </w:rPr>
            </w:pPr>
            <w:r w:rsidRPr="007E1EE3">
              <w:rPr>
                <w:szCs w:val="20"/>
              </w:rPr>
              <w:t>100.0%</w:t>
            </w:r>
          </w:p>
        </w:tc>
        <w:tc>
          <w:tcPr>
            <w:tcW w:w="513" w:type="pct"/>
          </w:tcPr>
          <w:p w14:paraId="0278432D" w14:textId="04D4B97F" w:rsidR="007C7FE1" w:rsidRPr="007E1EE3" w:rsidRDefault="006B7011" w:rsidP="00DD30CD">
            <w:pPr>
              <w:pStyle w:val="TableBodyText"/>
              <w:spacing w:before="40" w:after="40" w:line="233" w:lineRule="auto"/>
              <w:rPr>
                <w:szCs w:val="20"/>
              </w:rPr>
            </w:pPr>
            <w:r w:rsidRPr="007E1EE3">
              <w:rPr>
                <w:szCs w:val="20"/>
              </w:rPr>
              <w:t>100.05</w:t>
            </w:r>
          </w:p>
        </w:tc>
        <w:tc>
          <w:tcPr>
            <w:tcW w:w="460" w:type="pct"/>
          </w:tcPr>
          <w:p w14:paraId="5AB5C334" w14:textId="45E22ECA" w:rsidR="007C7FE1" w:rsidRPr="007E1EE3" w:rsidRDefault="006B7011" w:rsidP="00DD30CD">
            <w:pPr>
              <w:pStyle w:val="TableBodyText"/>
              <w:spacing w:before="40" w:after="40" w:line="233" w:lineRule="auto"/>
              <w:rPr>
                <w:szCs w:val="20"/>
              </w:rPr>
            </w:pPr>
            <w:r w:rsidRPr="007E1EE3">
              <w:rPr>
                <w:szCs w:val="20"/>
              </w:rPr>
              <w:t>100.0%</w:t>
            </w:r>
          </w:p>
        </w:tc>
        <w:tc>
          <w:tcPr>
            <w:tcW w:w="601" w:type="pct"/>
          </w:tcPr>
          <w:p w14:paraId="0A0E9907" w14:textId="527E7E59" w:rsidR="007C7FE1" w:rsidRPr="007E1EE3" w:rsidRDefault="006B7011" w:rsidP="00DD30CD">
            <w:pPr>
              <w:pStyle w:val="TableBodyText"/>
              <w:spacing w:before="40" w:after="40" w:line="233" w:lineRule="auto"/>
              <w:rPr>
                <w:szCs w:val="20"/>
              </w:rPr>
            </w:pPr>
            <w:r w:rsidRPr="007E1EE3">
              <w:rPr>
                <w:szCs w:val="20"/>
              </w:rPr>
              <w:t>0.0%</w:t>
            </w:r>
          </w:p>
        </w:tc>
        <w:tc>
          <w:tcPr>
            <w:tcW w:w="371" w:type="pct"/>
          </w:tcPr>
          <w:p w14:paraId="6D114608" w14:textId="77777777" w:rsidR="007C7FE1" w:rsidRPr="007E1EE3" w:rsidRDefault="007C7FE1" w:rsidP="00DD30CD">
            <w:pPr>
              <w:pStyle w:val="TableBodyText"/>
              <w:spacing w:before="40" w:after="40" w:line="233" w:lineRule="auto"/>
              <w:rPr>
                <w:szCs w:val="20"/>
              </w:rPr>
            </w:pPr>
            <w:r w:rsidRPr="007E1EE3">
              <w:rPr>
                <w:szCs w:val="20"/>
              </w:rPr>
              <w:t>N/A</w:t>
            </w:r>
          </w:p>
        </w:tc>
        <w:tc>
          <w:tcPr>
            <w:tcW w:w="492" w:type="pct"/>
          </w:tcPr>
          <w:p w14:paraId="4AB88C5A" w14:textId="77777777" w:rsidR="007C7FE1" w:rsidRPr="007E1EE3" w:rsidRDefault="007C7FE1" w:rsidP="00DD30CD">
            <w:pPr>
              <w:pStyle w:val="TableBodyText"/>
              <w:spacing w:before="40" w:after="40" w:line="233" w:lineRule="auto"/>
              <w:rPr>
                <w:szCs w:val="20"/>
              </w:rPr>
            </w:pPr>
            <w:r w:rsidRPr="007E1EE3">
              <w:rPr>
                <w:szCs w:val="20"/>
              </w:rPr>
              <w:t>0.0%</w:t>
            </w:r>
          </w:p>
        </w:tc>
        <w:tc>
          <w:tcPr>
            <w:tcW w:w="354" w:type="pct"/>
          </w:tcPr>
          <w:p w14:paraId="24ED44D2" w14:textId="77777777" w:rsidR="007C7FE1" w:rsidRPr="007E1EE3" w:rsidRDefault="007C7FE1" w:rsidP="00DD30CD">
            <w:pPr>
              <w:pStyle w:val="TableBodyText"/>
              <w:spacing w:before="40" w:after="40" w:line="233" w:lineRule="auto"/>
              <w:rPr>
                <w:szCs w:val="20"/>
              </w:rPr>
            </w:pPr>
            <w:r w:rsidRPr="007E1EE3">
              <w:rPr>
                <w:szCs w:val="20"/>
              </w:rPr>
              <w:t>N/A</w:t>
            </w:r>
          </w:p>
        </w:tc>
      </w:tr>
      <w:tr w:rsidR="007C7FE1" w:rsidRPr="007E1EE3" w14:paraId="6A97C360" w14:textId="77777777" w:rsidTr="004E6904">
        <w:trPr>
          <w:trHeight w:val="20"/>
        </w:trPr>
        <w:tc>
          <w:tcPr>
            <w:tcW w:w="453" w:type="pct"/>
          </w:tcPr>
          <w:p w14:paraId="6EB44CC2" w14:textId="0CDB6886" w:rsidR="007C7FE1" w:rsidRPr="007E1EE3" w:rsidRDefault="006B7011" w:rsidP="00DD30CD">
            <w:pPr>
              <w:pStyle w:val="TableBodyText"/>
              <w:spacing w:before="40" w:after="40" w:line="233" w:lineRule="auto"/>
              <w:rPr>
                <w:szCs w:val="20"/>
              </w:rPr>
            </w:pPr>
            <w:r w:rsidRPr="007E1EE3">
              <w:rPr>
                <w:szCs w:val="20"/>
              </w:rPr>
              <w:t>RW2.3</w:t>
            </w:r>
          </w:p>
        </w:tc>
        <w:tc>
          <w:tcPr>
            <w:tcW w:w="1240" w:type="pct"/>
          </w:tcPr>
          <w:p w14:paraId="15F1B1C1" w14:textId="6F1044F9" w:rsidR="007C7FE1" w:rsidRPr="007E1EE3" w:rsidRDefault="006B7011" w:rsidP="00DD30CD">
            <w:pPr>
              <w:pStyle w:val="TableBodyText"/>
              <w:spacing w:before="40" w:after="40" w:line="233" w:lineRule="auto"/>
              <w:rPr>
                <w:szCs w:val="20"/>
              </w:rPr>
            </w:pPr>
            <w:r w:rsidRPr="007E1EE3">
              <w:rPr>
                <w:szCs w:val="20"/>
              </w:rPr>
              <w:t>Quality</w:t>
            </w:r>
          </w:p>
        </w:tc>
        <w:tc>
          <w:tcPr>
            <w:tcW w:w="516" w:type="pct"/>
          </w:tcPr>
          <w:p w14:paraId="743CF594" w14:textId="6BCA7AEE" w:rsidR="007C7FE1" w:rsidRPr="007E1EE3" w:rsidRDefault="006B7011" w:rsidP="00DD30CD">
            <w:pPr>
              <w:pStyle w:val="TableBodyText"/>
              <w:spacing w:before="40" w:after="40" w:line="233" w:lineRule="auto"/>
              <w:rPr>
                <w:szCs w:val="20"/>
              </w:rPr>
            </w:pPr>
            <w:r w:rsidRPr="007E1EE3">
              <w:rPr>
                <w:szCs w:val="20"/>
              </w:rPr>
              <w:t>100.0%</w:t>
            </w:r>
          </w:p>
        </w:tc>
        <w:tc>
          <w:tcPr>
            <w:tcW w:w="513" w:type="pct"/>
          </w:tcPr>
          <w:p w14:paraId="61A61F02" w14:textId="77777777" w:rsidR="007C7FE1" w:rsidRPr="007E1EE3" w:rsidRDefault="007C7FE1" w:rsidP="00DD30CD">
            <w:pPr>
              <w:pStyle w:val="TableBodyText"/>
              <w:spacing w:before="40" w:after="40" w:line="233" w:lineRule="auto"/>
              <w:rPr>
                <w:szCs w:val="20"/>
              </w:rPr>
            </w:pPr>
            <w:r w:rsidRPr="007E1EE3">
              <w:rPr>
                <w:szCs w:val="20"/>
              </w:rPr>
              <w:t>100.0%</w:t>
            </w:r>
          </w:p>
        </w:tc>
        <w:tc>
          <w:tcPr>
            <w:tcW w:w="460" w:type="pct"/>
          </w:tcPr>
          <w:p w14:paraId="3D006D76" w14:textId="77777777" w:rsidR="007C7FE1" w:rsidRPr="007E1EE3" w:rsidRDefault="007C7FE1" w:rsidP="00DD30CD">
            <w:pPr>
              <w:pStyle w:val="TableBodyText"/>
              <w:spacing w:before="40" w:after="40" w:line="233" w:lineRule="auto"/>
              <w:rPr>
                <w:szCs w:val="20"/>
              </w:rPr>
            </w:pPr>
            <w:r w:rsidRPr="007E1EE3">
              <w:rPr>
                <w:szCs w:val="20"/>
              </w:rPr>
              <w:t>100.0%</w:t>
            </w:r>
          </w:p>
        </w:tc>
        <w:tc>
          <w:tcPr>
            <w:tcW w:w="601" w:type="pct"/>
          </w:tcPr>
          <w:p w14:paraId="54742A9F" w14:textId="77777777" w:rsidR="007C7FE1" w:rsidRPr="007E1EE3" w:rsidRDefault="007C7FE1" w:rsidP="00DD30CD">
            <w:pPr>
              <w:pStyle w:val="TableBodyText"/>
              <w:spacing w:before="40" w:after="40" w:line="233" w:lineRule="auto"/>
              <w:rPr>
                <w:szCs w:val="20"/>
              </w:rPr>
            </w:pPr>
            <w:r w:rsidRPr="007E1EE3">
              <w:rPr>
                <w:szCs w:val="20"/>
              </w:rPr>
              <w:t>0.0%</w:t>
            </w:r>
          </w:p>
        </w:tc>
        <w:tc>
          <w:tcPr>
            <w:tcW w:w="371" w:type="pct"/>
          </w:tcPr>
          <w:p w14:paraId="0793FF0A" w14:textId="77777777" w:rsidR="007C7FE1" w:rsidRPr="007E1EE3" w:rsidRDefault="007C7FE1" w:rsidP="00DD30CD">
            <w:pPr>
              <w:pStyle w:val="TableBodyText"/>
              <w:spacing w:before="40" w:after="40" w:line="233" w:lineRule="auto"/>
              <w:rPr>
                <w:szCs w:val="20"/>
              </w:rPr>
            </w:pPr>
            <w:r w:rsidRPr="007E1EE3">
              <w:rPr>
                <w:szCs w:val="20"/>
              </w:rPr>
              <w:t>N/A</w:t>
            </w:r>
          </w:p>
        </w:tc>
        <w:tc>
          <w:tcPr>
            <w:tcW w:w="492" w:type="pct"/>
          </w:tcPr>
          <w:p w14:paraId="53ABDDFA" w14:textId="77777777" w:rsidR="007C7FE1" w:rsidRPr="007E1EE3" w:rsidRDefault="007C7FE1" w:rsidP="00DD30CD">
            <w:pPr>
              <w:pStyle w:val="TableBodyText"/>
              <w:spacing w:before="40" w:after="40" w:line="233" w:lineRule="auto"/>
              <w:rPr>
                <w:szCs w:val="20"/>
              </w:rPr>
            </w:pPr>
            <w:r w:rsidRPr="007E1EE3">
              <w:rPr>
                <w:szCs w:val="20"/>
              </w:rPr>
              <w:t>0.0%</w:t>
            </w:r>
          </w:p>
        </w:tc>
        <w:tc>
          <w:tcPr>
            <w:tcW w:w="354" w:type="pct"/>
          </w:tcPr>
          <w:p w14:paraId="036F9445" w14:textId="77777777" w:rsidR="007C7FE1" w:rsidRPr="007E1EE3" w:rsidRDefault="007C7FE1" w:rsidP="00DD30CD">
            <w:pPr>
              <w:pStyle w:val="TableBodyText"/>
              <w:spacing w:before="40" w:after="40" w:line="233" w:lineRule="auto"/>
              <w:rPr>
                <w:szCs w:val="20"/>
              </w:rPr>
            </w:pPr>
            <w:r w:rsidRPr="007E1EE3">
              <w:rPr>
                <w:szCs w:val="20"/>
              </w:rPr>
              <w:t>N/A</w:t>
            </w:r>
          </w:p>
        </w:tc>
      </w:tr>
    </w:tbl>
    <w:p w14:paraId="77184A34" w14:textId="77777777" w:rsidR="006B7011" w:rsidRPr="006B7011" w:rsidRDefault="006B7011" w:rsidP="00E757F8">
      <w:pPr>
        <w:pStyle w:val="BodyText"/>
        <w:keepNext/>
        <w:keepLines/>
        <w:rPr>
          <w:rStyle w:val="Bold"/>
        </w:rPr>
      </w:pPr>
      <w:r w:rsidRPr="006B7011">
        <w:rPr>
          <w:rStyle w:val="Bold"/>
        </w:rPr>
        <w:lastRenderedPageBreak/>
        <w:t>Notes – to Performance Report:</w:t>
      </w:r>
    </w:p>
    <w:p w14:paraId="5F55C93E" w14:textId="2886795C" w:rsidR="006B7011" w:rsidRDefault="00405D1D" w:rsidP="00E757F8">
      <w:pPr>
        <w:pStyle w:val="BodyText"/>
        <w:keepNext/>
        <w:keepLines/>
      </w:pPr>
      <w:bookmarkStart w:id="1297" w:name="Note1WatercontNotes"/>
      <w:r>
        <w:t>1:</w:t>
      </w:r>
      <w:r w:rsidR="006B7011">
        <w:t xml:space="preserve"> </w:t>
      </w:r>
      <w:bookmarkEnd w:id="1297"/>
      <w:r w:rsidR="006B7011">
        <w:t>Performance indicators as mandated in Ministerial Reporting Direction 01 – Performance Reporting (MRD 01) have been marked with their MRD 01 reference numbers. As required by MRD 01 any variances to target or last year of more than 10% for financial performance indicators and 5% for non financial performance indicators have been further explained within these notes.</w:t>
      </w:r>
    </w:p>
    <w:p w14:paraId="67314D6C" w14:textId="35493F29" w:rsidR="006B7011" w:rsidRDefault="00405D1D" w:rsidP="006B7011">
      <w:pPr>
        <w:pStyle w:val="BodyText"/>
      </w:pPr>
      <w:bookmarkStart w:id="1298" w:name="Note10WatercontNotes"/>
      <w:r>
        <w:t>10:</w:t>
      </w:r>
      <w:r w:rsidR="006B7011">
        <w:t xml:space="preserve"> </w:t>
      </w:r>
      <w:bookmarkEnd w:id="1298"/>
      <w:r w:rsidR="006B7011">
        <w:t xml:space="preserve">The 2020-21 results for </w:t>
      </w:r>
      <w:r w:rsidR="0030196D">
        <w:t>Western Treatment Plant</w:t>
      </w:r>
      <w:r w:rsidR="006B7011">
        <w:t xml:space="preserve"> Recycled Water Quality and Reliability are both unfavourable to last year and target. This was due to the following events through the year impacting the results compared to target:</w:t>
      </w:r>
    </w:p>
    <w:p w14:paraId="697419C0" w14:textId="71AFF7D1" w:rsidR="006B7011" w:rsidRDefault="006B7011" w:rsidP="006B7011">
      <w:pPr>
        <w:pStyle w:val="ListBullet"/>
        <w:ind w:left="754"/>
      </w:pPr>
      <w:r>
        <w:t>high pH in the source water due to a bloom of diatoms in the 55E lagoon (September 2020)</w:t>
      </w:r>
    </w:p>
    <w:p w14:paraId="260CBBB6" w14:textId="0473D5CF" w:rsidR="006B7011" w:rsidRDefault="006B7011" w:rsidP="006B7011">
      <w:pPr>
        <w:pStyle w:val="ListBullet"/>
        <w:ind w:left="754"/>
      </w:pPr>
      <w:r>
        <w:t>unplanned maintenance resulting from corrosion of a recycled water pipe supplying customers (October 2020)</w:t>
      </w:r>
    </w:p>
    <w:p w14:paraId="5189EA3E" w14:textId="673DDFFD" w:rsidR="006B7011" w:rsidRDefault="006B7011" w:rsidP="006B7011">
      <w:pPr>
        <w:pStyle w:val="ListBullet"/>
        <w:ind w:left="754"/>
      </w:pPr>
      <w:r>
        <w:t>high dicamba in the source water impacting Class A treated water (December 2020, January &amp; May 2021)</w:t>
      </w:r>
    </w:p>
    <w:p w14:paraId="32EC1E0C" w14:textId="28301278" w:rsidR="006B7011" w:rsidRDefault="006B7011" w:rsidP="006B7011">
      <w:pPr>
        <w:pStyle w:val="ListBullet"/>
        <w:ind w:left="754"/>
      </w:pPr>
      <w:r>
        <w:t>elevated blue-green algae levels in Class A from 55E Lagoons (February &amp; March 2021)</w:t>
      </w:r>
    </w:p>
    <w:p w14:paraId="27497DD0" w14:textId="631F48D5" w:rsidR="006B7011" w:rsidRDefault="006B7011" w:rsidP="006B7011">
      <w:pPr>
        <w:pStyle w:val="ListBullet"/>
        <w:ind w:left="754"/>
      </w:pPr>
      <w:r>
        <w:t>unplanned maintenance resulting from a PLC failure causing the UV disinfection lamps to be inundated with water (April 2021).</w:t>
      </w:r>
    </w:p>
    <w:p w14:paraId="4D63D4C5" w14:textId="496C6B08" w:rsidR="007C7FE1" w:rsidRDefault="006B7011" w:rsidP="006B7011">
      <w:pPr>
        <w:pStyle w:val="BodyText"/>
      </w:pPr>
      <w:r>
        <w:t>These separate events were managed in consultation with affected customers and are being investigated and rectified.</w:t>
      </w:r>
    </w:p>
    <w:p w14:paraId="01E70275" w14:textId="77777777" w:rsidR="006B7011" w:rsidRDefault="006B7011" w:rsidP="006B7011">
      <w:pPr>
        <w:pStyle w:val="Heading2"/>
      </w:pPr>
      <w:bookmarkStart w:id="1299" w:name="_Toc89723165"/>
      <w:bookmarkStart w:id="1300" w:name="_Toc89723252"/>
      <w:bookmarkStart w:id="1301" w:name="_Toc89723312"/>
      <w:bookmarkStart w:id="1302" w:name="_Ref89842862"/>
      <w:bookmarkStart w:id="1303" w:name="_Toc89860577"/>
      <w:bookmarkStart w:id="1304" w:name="_Toc89860721"/>
      <w:bookmarkStart w:id="1305" w:name="_Toc90326107"/>
      <w:bookmarkStart w:id="1306" w:name="_Toc93659513"/>
      <w:r>
        <w:t>Certification of Performance Report for 2020-21</w:t>
      </w:r>
      <w:bookmarkEnd w:id="1299"/>
      <w:bookmarkEnd w:id="1300"/>
      <w:bookmarkEnd w:id="1301"/>
      <w:bookmarkEnd w:id="1302"/>
      <w:bookmarkEnd w:id="1303"/>
      <w:bookmarkEnd w:id="1304"/>
      <w:bookmarkEnd w:id="1305"/>
      <w:bookmarkEnd w:id="1306"/>
    </w:p>
    <w:p w14:paraId="78018FED" w14:textId="69B1568D" w:rsidR="006B7011" w:rsidRDefault="006B7011" w:rsidP="006B7011">
      <w:pPr>
        <w:pStyle w:val="BodyText"/>
      </w:pPr>
      <w:r>
        <w:t xml:space="preserve">We certify that the accompanying Performance Report of Melbourne Water Corporation in respect of the 2020-21 financial year is presented fairly in accordance with the </w:t>
      </w:r>
      <w:r w:rsidRPr="006B7011">
        <w:rPr>
          <w:rStyle w:val="ItalicText"/>
        </w:rPr>
        <w:t>Financial Management Act 1994</w:t>
      </w:r>
      <w:r>
        <w:t>.</w:t>
      </w:r>
    </w:p>
    <w:p w14:paraId="68A53FB2" w14:textId="11F37C75" w:rsidR="006B7011" w:rsidRDefault="006B7011" w:rsidP="006B7011">
      <w:pPr>
        <w:pStyle w:val="BodyText"/>
      </w:pPr>
      <w:r>
        <w:t xml:space="preserve">The Performance Report outlines the relevant performance indicators for the financial year as determined by the Minister for Water and as set out in the </w:t>
      </w:r>
      <w:r w:rsidRPr="006B7011">
        <w:rPr>
          <w:rStyle w:val="ItalicText"/>
        </w:rPr>
        <w:t>2020-21 Corporate Plan</w:t>
      </w:r>
      <w:r>
        <w:t>, the actual and comparative results achieved for the financial year against predetermined performance targets and these indicators, and an explanation of any significant variance between the actual results and performance targets and/or between the actual results in the current year and the previous year.</w:t>
      </w:r>
    </w:p>
    <w:p w14:paraId="69A25A5E" w14:textId="1791674E" w:rsidR="007C7FE1" w:rsidRDefault="006B7011" w:rsidP="006B7011">
      <w:pPr>
        <w:pStyle w:val="BodyText"/>
      </w:pPr>
      <w:r>
        <w:t>As at the date of signing, we are not aware of any circumstances which would render any particulars in the Performance Report to be misleading or inaccurate.</w:t>
      </w:r>
    </w:p>
    <w:p w14:paraId="3B9DDBC2" w14:textId="7D127422" w:rsidR="006B7011" w:rsidRDefault="006B7011" w:rsidP="006B7011">
      <w:r w:rsidRPr="006B7011">
        <w:t>John Thwaites</w:t>
      </w:r>
      <w:r>
        <w:t>, Chair</w:t>
      </w:r>
    </w:p>
    <w:p w14:paraId="47FE391B" w14:textId="1D5FB049" w:rsidR="006B7011" w:rsidRPr="006B7011" w:rsidRDefault="006B7011" w:rsidP="006B7011">
      <w:r>
        <w:t>27 August 2021</w:t>
      </w:r>
    </w:p>
    <w:p w14:paraId="320486B5" w14:textId="5E69C43B" w:rsidR="006B7011" w:rsidRDefault="006B7011" w:rsidP="006B7011">
      <w:pPr>
        <w:spacing w:before="120"/>
      </w:pPr>
      <w:r w:rsidRPr="006B7011">
        <w:t>Michael Wandmaker</w:t>
      </w:r>
      <w:r>
        <w:t>, Managing Director</w:t>
      </w:r>
    </w:p>
    <w:p w14:paraId="1A99F1F0" w14:textId="1E8A41C6" w:rsidR="006B7011" w:rsidRPr="006B7011" w:rsidRDefault="006B7011" w:rsidP="006B7011">
      <w:r>
        <w:t>27 August 2021</w:t>
      </w:r>
    </w:p>
    <w:p w14:paraId="72B09070" w14:textId="15CD8C1C" w:rsidR="006B7011" w:rsidRPr="006B7011" w:rsidRDefault="006B7011" w:rsidP="006B7011">
      <w:pPr>
        <w:spacing w:before="120"/>
      </w:pPr>
      <w:r w:rsidRPr="006B7011">
        <w:t>Anthony O’Shannessy, Chief Financial Officer</w:t>
      </w:r>
    </w:p>
    <w:p w14:paraId="0984CC4B" w14:textId="0C7E2C3B" w:rsidR="006B7011" w:rsidRPr="006B7011" w:rsidRDefault="006B7011" w:rsidP="006B7011">
      <w:r w:rsidRPr="006B7011">
        <w:t>27 August 2021</w:t>
      </w:r>
    </w:p>
    <w:p w14:paraId="5F737ED1" w14:textId="0712611B" w:rsidR="006B7011" w:rsidRDefault="006B7011" w:rsidP="006B7011">
      <w:pPr>
        <w:pStyle w:val="BodyText"/>
      </w:pPr>
      <w:r>
        <w:t>Dated this 27</w:t>
      </w:r>
      <w:r w:rsidRPr="006B7011">
        <w:rPr>
          <w:vertAlign w:val="superscript"/>
        </w:rPr>
        <w:t>th</w:t>
      </w:r>
      <w:r>
        <w:t xml:space="preserve"> day of August 2021</w:t>
      </w:r>
    </w:p>
    <w:p w14:paraId="67240D11" w14:textId="604E58F1" w:rsidR="006B7011" w:rsidRDefault="00203B5D" w:rsidP="00203B5D">
      <w:pPr>
        <w:pStyle w:val="BodyText"/>
        <w:pageBreakBefore/>
        <w:jc w:val="right"/>
      </w:pPr>
      <w:r>
        <w:rPr>
          <w:noProof/>
        </w:rPr>
        <w:lastRenderedPageBreak/>
        <w:drawing>
          <wp:inline distT="0" distB="0" distL="0" distR="0" wp14:anchorId="38B6EDAB" wp14:editId="28AB22BA">
            <wp:extent cx="1600000" cy="752381"/>
            <wp:effectExtent l="0" t="0" r="635" b="0"/>
            <wp:docPr id="7" name="Picture 7" descr="Victorian Auditor-General'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n Auditor-General's Office logo."/>
                    <pic:cNvPicPr/>
                  </pic:nvPicPr>
                  <pic:blipFill>
                    <a:blip r:embed="rId32">
                      <a:extLst>
                        <a:ext uri="{28A0092B-C50C-407E-A947-70E740481C1C}">
                          <a14:useLocalDpi xmlns:a14="http://schemas.microsoft.com/office/drawing/2010/main" val="0"/>
                        </a:ext>
                      </a:extLst>
                    </a:blip>
                    <a:stretch>
                      <a:fillRect/>
                    </a:stretch>
                  </pic:blipFill>
                  <pic:spPr>
                    <a:xfrm>
                      <a:off x="0" y="0"/>
                      <a:ext cx="1600000" cy="752381"/>
                    </a:xfrm>
                    <a:prstGeom prst="rect">
                      <a:avLst/>
                    </a:prstGeom>
                  </pic:spPr>
                </pic:pic>
              </a:graphicData>
            </a:graphic>
          </wp:inline>
        </w:drawing>
      </w:r>
    </w:p>
    <w:p w14:paraId="1C572EF3" w14:textId="3B8467B9" w:rsidR="00203B5D" w:rsidRDefault="00203B5D" w:rsidP="00203B5D">
      <w:pPr>
        <w:pStyle w:val="Heading2"/>
      </w:pPr>
      <w:bookmarkStart w:id="1307" w:name="_Toc89723166"/>
      <w:bookmarkStart w:id="1308" w:name="_Toc89723253"/>
      <w:bookmarkStart w:id="1309" w:name="_Toc89723313"/>
      <w:bookmarkStart w:id="1310" w:name="_Ref89842869"/>
      <w:bookmarkStart w:id="1311" w:name="_Toc89860578"/>
      <w:bookmarkStart w:id="1312" w:name="_Toc89860722"/>
      <w:bookmarkStart w:id="1313" w:name="_Toc90326108"/>
      <w:bookmarkStart w:id="1314" w:name="_Toc93659514"/>
      <w:r>
        <w:t>Independent Auditor’s Report</w:t>
      </w:r>
      <w:bookmarkEnd w:id="1307"/>
      <w:bookmarkEnd w:id="1308"/>
      <w:bookmarkEnd w:id="1309"/>
      <w:bookmarkEnd w:id="1310"/>
      <w:bookmarkEnd w:id="1311"/>
      <w:bookmarkEnd w:id="1312"/>
      <w:bookmarkEnd w:id="1313"/>
      <w:bookmarkEnd w:id="1314"/>
    </w:p>
    <w:p w14:paraId="2BBB3555" w14:textId="57B0E416" w:rsidR="00203B5D" w:rsidRPr="006B7011" w:rsidRDefault="00203B5D" w:rsidP="00203B5D">
      <w:pPr>
        <w:pStyle w:val="BodyTextBold"/>
      </w:pPr>
      <w:r>
        <w:t>To the Board of the Melbourne Water Corporation</w:t>
      </w:r>
    </w:p>
    <w:p w14:paraId="18C94756" w14:textId="575DA063" w:rsidR="007C7FE1" w:rsidRDefault="00203B5D" w:rsidP="00203B5D">
      <w:pPr>
        <w:pStyle w:val="BodyTextBold"/>
      </w:pPr>
      <w:r>
        <w:t>Opinion</w:t>
      </w:r>
    </w:p>
    <w:p w14:paraId="36D8BEDF" w14:textId="04DAAF02" w:rsidR="00203B5D" w:rsidRDefault="00203B5D" w:rsidP="00203B5D">
      <w:pPr>
        <w:pStyle w:val="BodyText"/>
      </w:pPr>
      <w:r>
        <w:t>I have audited the accompanying performance report of the Melbourne Water Corporation (the corporation) for the year ended 30 June 2021, which comprises the:</w:t>
      </w:r>
    </w:p>
    <w:p w14:paraId="2C6E0290" w14:textId="1DD6CA82" w:rsidR="00203B5D" w:rsidRDefault="00203B5D" w:rsidP="00203B5D">
      <w:pPr>
        <w:pStyle w:val="ListBullet"/>
      </w:pPr>
      <w:r>
        <w:t>financial performance indicators</w:t>
      </w:r>
    </w:p>
    <w:p w14:paraId="13651A38" w14:textId="7F87D4A7" w:rsidR="00203B5D" w:rsidRDefault="00203B5D" w:rsidP="00C778D6">
      <w:pPr>
        <w:pStyle w:val="ListBullet"/>
      </w:pPr>
      <w:r>
        <w:t>water and sewerage service performance indicators</w:t>
      </w:r>
    </w:p>
    <w:p w14:paraId="28AB89E5" w14:textId="0B591F1B" w:rsidR="00203B5D" w:rsidRDefault="00203B5D" w:rsidP="00C778D6">
      <w:pPr>
        <w:pStyle w:val="ListBullet"/>
      </w:pPr>
      <w:r>
        <w:t>other service performance indicators</w:t>
      </w:r>
    </w:p>
    <w:p w14:paraId="453836A6" w14:textId="7398F145" w:rsidR="00203B5D" w:rsidRDefault="00203B5D" w:rsidP="00C778D6">
      <w:pPr>
        <w:pStyle w:val="ListBullet"/>
      </w:pPr>
      <w:r>
        <w:t>certification of performance report.</w:t>
      </w:r>
    </w:p>
    <w:p w14:paraId="71BCDDE8" w14:textId="5B01C9DF" w:rsidR="00203B5D" w:rsidRDefault="00203B5D" w:rsidP="00203B5D">
      <w:pPr>
        <w:pStyle w:val="BodyText"/>
      </w:pPr>
      <w:r>
        <w:t xml:space="preserve">In my opinion, the performance report of the Melbourne Water Corporation in respect of the year ended 30 June 2021 presents fairly, in all material respects, in accordance with the performance reporting requirements of Part 7 of the </w:t>
      </w:r>
      <w:r w:rsidRPr="00203B5D">
        <w:rPr>
          <w:rStyle w:val="ItalicText"/>
        </w:rPr>
        <w:t>Financial Management Act 1994</w:t>
      </w:r>
      <w:r>
        <w:t>.</w:t>
      </w:r>
    </w:p>
    <w:p w14:paraId="6EAA4BA6" w14:textId="29573121" w:rsidR="00203B5D" w:rsidRDefault="00203B5D" w:rsidP="00203B5D">
      <w:pPr>
        <w:pStyle w:val="BodyTextBold"/>
      </w:pPr>
      <w:r>
        <w:t>Basis for Opinion</w:t>
      </w:r>
    </w:p>
    <w:p w14:paraId="40B6F257" w14:textId="2AD6C442" w:rsidR="00203B5D" w:rsidRDefault="00203B5D" w:rsidP="00203B5D">
      <w:pPr>
        <w:pStyle w:val="BodyText"/>
      </w:pPr>
      <w:r>
        <w:t xml:space="preserve">I have conducted my audit in accordance with the </w:t>
      </w:r>
      <w:r w:rsidRPr="00203B5D">
        <w:rPr>
          <w:rStyle w:val="ItalicText"/>
        </w:rPr>
        <w:t>Audit Act 1994</w:t>
      </w:r>
      <w:r>
        <w:t xml:space="preserve"> which incorporates the Australian Standards on Assurance Engagements. I further describe my responsibilities under that Act and those standards in the </w:t>
      </w:r>
      <w:r w:rsidRPr="00203B5D">
        <w:rPr>
          <w:rStyle w:val="ItalicText"/>
        </w:rPr>
        <w:t>Auditor’s Responsibilities for the Audit of the performance report</w:t>
      </w:r>
      <w:r>
        <w:t xml:space="preserve"> section of my report.</w:t>
      </w:r>
    </w:p>
    <w:p w14:paraId="48F9B41F" w14:textId="3E8A9AC2" w:rsidR="00203B5D" w:rsidRDefault="00203B5D" w:rsidP="00203B5D">
      <w:pPr>
        <w:pStyle w:val="BodyText"/>
      </w:pPr>
      <w:r>
        <w:t xml:space="preserve">My independence is established by the </w:t>
      </w:r>
      <w:r w:rsidRPr="00203B5D">
        <w:rPr>
          <w:rStyle w:val="ItalicText"/>
        </w:rPr>
        <w:t>Constitution Act 1975</w:t>
      </w:r>
      <w:r>
        <w:t xml:space="preserve">. My staff and I are independent of the corporation in accordance with the ethical requirements of the Accounting Professional and Ethical Standards Board’s APES 110 </w:t>
      </w:r>
      <w:r w:rsidRPr="00203B5D">
        <w:rPr>
          <w:rStyle w:val="ItalicText"/>
        </w:rPr>
        <w:t>Code of Ethics for Professional Accountants</w:t>
      </w:r>
      <w:r>
        <w:t xml:space="preserve"> (the Code) that are relevant to my audit of the performance report in Victoria and have also fulfilled our other ethical responsibilities in accordance with the Code.</w:t>
      </w:r>
    </w:p>
    <w:p w14:paraId="7C887EFC" w14:textId="24FD9912" w:rsidR="00203B5D" w:rsidRDefault="00203B5D" w:rsidP="00203B5D">
      <w:pPr>
        <w:pStyle w:val="BodyText"/>
      </w:pPr>
      <w:r>
        <w:t>I believe that the audit evidence I have obtained is sufficient and appropriate to provide a basis for my opinion.</w:t>
      </w:r>
    </w:p>
    <w:p w14:paraId="2FE61996" w14:textId="35F190B3" w:rsidR="00203B5D" w:rsidRDefault="00203B5D" w:rsidP="00203B5D">
      <w:pPr>
        <w:pStyle w:val="BodyTextBold"/>
      </w:pPr>
      <w:r>
        <w:t>Board's responsibilities for the performance report</w:t>
      </w:r>
    </w:p>
    <w:p w14:paraId="0FD85F93" w14:textId="32A7142E" w:rsidR="00203B5D" w:rsidRDefault="00203B5D" w:rsidP="00203B5D">
      <w:pPr>
        <w:pStyle w:val="BodyText"/>
      </w:pPr>
      <w:r>
        <w:t xml:space="preserve">The Board is responsible for the preparation and fair presentation of the performance report in accordance with the performance reporting requirements of the </w:t>
      </w:r>
      <w:r w:rsidRPr="00203B5D">
        <w:rPr>
          <w:rStyle w:val="ItalicText"/>
        </w:rPr>
        <w:t>Financial Management Act 1994</w:t>
      </w:r>
      <w:r>
        <w:t>, and for such internal control as the Board determines is necessary to enable the preparation and fair presentation of the performance report that is free from material misstatement, whether due to fraud or error.</w:t>
      </w:r>
    </w:p>
    <w:p w14:paraId="0F48E7DA" w14:textId="5355B4B0" w:rsidR="00203B5D" w:rsidRDefault="00203B5D" w:rsidP="00E757F8">
      <w:pPr>
        <w:pStyle w:val="BodyTextBold"/>
        <w:keepNext/>
        <w:keepLines/>
      </w:pPr>
      <w:r>
        <w:lastRenderedPageBreak/>
        <w:t>Auditor’s responsibilities for the audit of the performance report</w:t>
      </w:r>
    </w:p>
    <w:p w14:paraId="69B70898" w14:textId="457A6C67" w:rsidR="00203B5D" w:rsidRDefault="00203B5D" w:rsidP="00E757F8">
      <w:pPr>
        <w:pStyle w:val="BodyText"/>
        <w:keepNext/>
        <w:keepLines/>
      </w:pPr>
      <w:r>
        <w:t xml:space="preserve">As required by the </w:t>
      </w:r>
      <w:r w:rsidRPr="00203B5D">
        <w:rPr>
          <w:rStyle w:val="ItalicText"/>
        </w:rPr>
        <w:t>Audit Act 1994</w:t>
      </w:r>
      <w:r>
        <w:t>, my responsibility is to express an opinion on the performance report based on the audit. My objectives for the audit are to obtain reasonable assurance about whether the performance report as a whole is free from material misstatement, whether due to fraud or error, and to issue an auditor’s report that includes my opinion. Reasonable assurance is a high level of assurance but is not a guarantee that an audit conducted in accordance with the Australian Standards on Assurance Engagements will always detect a material misstatement when it exists. Misstatements can arise from fraud or error and are considered material if, individually or in the aggregate, they could reasonably be expected to influence the decisions of users taken on the basis of this performance report.</w:t>
      </w:r>
    </w:p>
    <w:p w14:paraId="4D889068" w14:textId="05F9E294" w:rsidR="00203B5D" w:rsidRDefault="00203B5D" w:rsidP="00203B5D">
      <w:pPr>
        <w:pStyle w:val="BodyText"/>
      </w:pPr>
      <w:r>
        <w:t>As part of an audit in accordance with the Australian Standards on Assurance Engagements, I exercise professional judgement and maintain professional scepticism throughout the audit. I also:</w:t>
      </w:r>
    </w:p>
    <w:p w14:paraId="4D0CAFAD" w14:textId="4D173ADC" w:rsidR="00203B5D" w:rsidRDefault="00203B5D" w:rsidP="00C778D6">
      <w:pPr>
        <w:pStyle w:val="ListBullet"/>
      </w:pPr>
      <w:r>
        <w:t>identify and assess the risks of material misstatement of the performance report,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w:t>
      </w:r>
    </w:p>
    <w:p w14:paraId="2A428541" w14:textId="75061CB0" w:rsidR="00203B5D" w:rsidRDefault="00203B5D" w:rsidP="00C778D6">
      <w:pPr>
        <w:pStyle w:val="ListBullet"/>
      </w:pPr>
      <w:r>
        <w:t>obtain an understanding of internal control relevant to the audit in order to design audit procedures that are appropriate in the circumstances, but not for the purpose of expressing an opinion on the effectiveness of the corporation’s internal control</w:t>
      </w:r>
    </w:p>
    <w:p w14:paraId="760E4FBB" w14:textId="350B7D6D" w:rsidR="00203B5D" w:rsidRDefault="00203B5D" w:rsidP="00C778D6">
      <w:pPr>
        <w:pStyle w:val="ListBullet"/>
      </w:pPr>
      <w:r>
        <w:t>evaluate the overall presentation, structure and content of the performance report, including the disclosures, and whether the performance report represents the underlying events and results in a manner that achieves fair presentation.</w:t>
      </w:r>
    </w:p>
    <w:p w14:paraId="1A019EFA" w14:textId="753802D3" w:rsidR="00203B5D" w:rsidRDefault="00203B5D" w:rsidP="00203B5D">
      <w:pPr>
        <w:pStyle w:val="BodyText"/>
      </w:pPr>
      <w:r>
        <w:t>I communicate with the Board regarding, among other matters, the planned scope and timing of the audit and significant audit findings, including any significant deficiencies in internal control that I identify during my audit.</w:t>
      </w:r>
    </w:p>
    <w:p w14:paraId="2F7A4DE1" w14:textId="2EDF9723" w:rsidR="00203B5D" w:rsidRDefault="00203B5D" w:rsidP="00203B5D">
      <w:r w:rsidRPr="00203B5D">
        <w:t>Melbourne</w:t>
      </w:r>
    </w:p>
    <w:p w14:paraId="00D14DEB" w14:textId="483874CC" w:rsidR="00203B5D" w:rsidRDefault="00203B5D" w:rsidP="00203B5D">
      <w:r>
        <w:t xml:space="preserve">2 </w:t>
      </w:r>
      <w:r w:rsidRPr="00203B5D">
        <w:t>September</w:t>
      </w:r>
      <w:r>
        <w:t xml:space="preserve"> 2021</w:t>
      </w:r>
    </w:p>
    <w:p w14:paraId="0898D0B8" w14:textId="77777777" w:rsidR="0023174E" w:rsidRDefault="0023174E" w:rsidP="0023174E">
      <w:pPr>
        <w:spacing w:before="240"/>
      </w:pPr>
      <w:r>
        <w:t>Paul Martin</w:t>
      </w:r>
    </w:p>
    <w:p w14:paraId="38E57F51" w14:textId="698BD053" w:rsidR="00203B5D" w:rsidRDefault="0023174E" w:rsidP="0023174E">
      <w:r>
        <w:t>as delegate for the Auditor-General of Victoria</w:t>
      </w:r>
    </w:p>
    <w:p w14:paraId="11047A1C" w14:textId="39FDFB0E" w:rsidR="00203B5D" w:rsidRDefault="0023174E" w:rsidP="0023174E">
      <w:pPr>
        <w:pStyle w:val="Heading1"/>
      </w:pPr>
      <w:bookmarkStart w:id="1315" w:name="_Toc89723167"/>
      <w:bookmarkStart w:id="1316" w:name="_Toc89723254"/>
      <w:bookmarkStart w:id="1317" w:name="_Toc89723314"/>
      <w:bookmarkStart w:id="1318" w:name="_Toc89860579"/>
      <w:bookmarkStart w:id="1319" w:name="_Toc89860723"/>
      <w:bookmarkStart w:id="1320" w:name="_Toc90326109"/>
      <w:bookmarkStart w:id="1321" w:name="_Toc93659515"/>
      <w:r>
        <w:lastRenderedPageBreak/>
        <w:t>Appendices</w:t>
      </w:r>
      <w:bookmarkEnd w:id="1315"/>
      <w:bookmarkEnd w:id="1316"/>
      <w:bookmarkEnd w:id="1317"/>
      <w:bookmarkEnd w:id="1318"/>
      <w:bookmarkEnd w:id="1319"/>
      <w:bookmarkEnd w:id="1320"/>
      <w:bookmarkEnd w:id="1321"/>
    </w:p>
    <w:p w14:paraId="4F5CD6E4" w14:textId="5E189C6A" w:rsidR="001F66C7" w:rsidRPr="005C434E" w:rsidRDefault="00B74DDA" w:rsidP="001F66C7">
      <w:r w:rsidRPr="005C434E">
        <w:fldChar w:fldCharType="begin"/>
      </w:r>
      <w:r w:rsidRPr="005C434E">
        <w:instrText xml:space="preserve"> REF AppendixA \h  \* MERGEFORMAT </w:instrText>
      </w:r>
      <w:r w:rsidRPr="005C434E">
        <w:fldChar w:fldCharType="separate"/>
      </w:r>
      <w:r w:rsidR="00472151">
        <w:t>Appendix A</w:t>
      </w:r>
      <w:r w:rsidRPr="005C434E">
        <w:fldChar w:fldCharType="end"/>
      </w:r>
      <w:r w:rsidRPr="005C434E">
        <w:t xml:space="preserve"> </w:t>
      </w:r>
      <w:r w:rsidR="001F66C7" w:rsidRPr="005C434E">
        <w:t>– Disclosure Index</w:t>
      </w:r>
    </w:p>
    <w:p w14:paraId="7CCE4818" w14:textId="6F010C90" w:rsidR="001F66C7" w:rsidRPr="005C434E" w:rsidRDefault="00B74DDA" w:rsidP="00B74DDA">
      <w:r w:rsidRPr="005C434E">
        <w:fldChar w:fldCharType="begin"/>
      </w:r>
      <w:r w:rsidRPr="005C434E">
        <w:instrText xml:space="preserve"> REF AppendixB \h  \* MERGEFORMAT </w:instrText>
      </w:r>
      <w:r w:rsidRPr="005C434E">
        <w:fldChar w:fldCharType="separate"/>
      </w:r>
      <w:r w:rsidR="00472151">
        <w:t>Appendix B</w:t>
      </w:r>
      <w:r w:rsidRPr="005C434E">
        <w:fldChar w:fldCharType="end"/>
      </w:r>
      <w:r w:rsidR="001F66C7" w:rsidRPr="005C434E">
        <w:t xml:space="preserve"> – Corporate Information</w:t>
      </w:r>
    </w:p>
    <w:p w14:paraId="69DA18FA" w14:textId="21B9A3C2" w:rsidR="001F66C7" w:rsidRPr="005C434E" w:rsidRDefault="00B74DDA" w:rsidP="001F66C7">
      <w:r w:rsidRPr="005C434E">
        <w:fldChar w:fldCharType="begin"/>
      </w:r>
      <w:r w:rsidRPr="005C434E">
        <w:instrText xml:space="preserve"> REF AppendixC \h </w:instrText>
      </w:r>
      <w:r w:rsidR="005C434E" w:rsidRPr="005C434E">
        <w:instrText xml:space="preserve"> \* MERGEFORMAT </w:instrText>
      </w:r>
      <w:r w:rsidRPr="005C434E">
        <w:fldChar w:fldCharType="separate"/>
      </w:r>
      <w:r w:rsidR="00472151">
        <w:t>Appendix C</w:t>
      </w:r>
      <w:r w:rsidRPr="005C434E">
        <w:fldChar w:fldCharType="end"/>
      </w:r>
      <w:r w:rsidR="001F66C7" w:rsidRPr="005C434E">
        <w:t xml:space="preserve"> – Bulk Entitlements</w:t>
      </w:r>
    </w:p>
    <w:p w14:paraId="7F024D61" w14:textId="58AC1E3A" w:rsidR="001F66C7" w:rsidRPr="005C434E" w:rsidRDefault="005C434E" w:rsidP="005C434E">
      <w:r w:rsidRPr="005C434E">
        <w:rPr>
          <w:color w:val="0000FF"/>
        </w:rPr>
        <w:fldChar w:fldCharType="begin"/>
      </w:r>
      <w:r w:rsidRPr="005C434E">
        <w:rPr>
          <w:color w:val="0000FF"/>
        </w:rPr>
        <w:instrText xml:space="preserve"> REF AppendixD \h </w:instrText>
      </w:r>
      <w:r w:rsidRPr="005C434E">
        <w:rPr>
          <w:color w:val="0000FF"/>
        </w:rPr>
      </w:r>
      <w:r w:rsidRPr="005C434E">
        <w:rPr>
          <w:color w:val="0000FF"/>
        </w:rPr>
        <w:fldChar w:fldCharType="separate"/>
      </w:r>
      <w:r w:rsidR="00472151">
        <w:t>Appendix D</w:t>
      </w:r>
      <w:r w:rsidRPr="005C434E">
        <w:rPr>
          <w:color w:val="0000FF"/>
        </w:rPr>
        <w:fldChar w:fldCharType="end"/>
      </w:r>
      <w:r w:rsidR="001F66C7" w:rsidRPr="005C434E">
        <w:t xml:space="preserve"> – Private Diversion Licences</w:t>
      </w:r>
    </w:p>
    <w:p w14:paraId="67391086" w14:textId="034157C9" w:rsidR="001F66C7" w:rsidRPr="005C434E" w:rsidRDefault="00B74DDA" w:rsidP="005C434E">
      <w:r w:rsidRPr="005C434E">
        <w:fldChar w:fldCharType="begin"/>
      </w:r>
      <w:r w:rsidRPr="005C434E">
        <w:instrText xml:space="preserve"> REF AppendixE \h </w:instrText>
      </w:r>
      <w:r w:rsidRPr="005C434E">
        <w:fldChar w:fldCharType="separate"/>
      </w:r>
      <w:r w:rsidR="00472151" w:rsidRPr="00C106BB">
        <w:t xml:space="preserve">Appendix E </w:t>
      </w:r>
      <w:r w:rsidRPr="005C434E">
        <w:fldChar w:fldCharType="end"/>
      </w:r>
      <w:r w:rsidR="001F66C7" w:rsidRPr="005C434E">
        <w:t>– Flooding and Drainage</w:t>
      </w:r>
    </w:p>
    <w:p w14:paraId="7747D7A1" w14:textId="2AA40FB1" w:rsidR="001F66C7" w:rsidRPr="005C434E" w:rsidRDefault="00B74DDA" w:rsidP="005C434E">
      <w:r w:rsidRPr="005C434E">
        <w:fldChar w:fldCharType="begin"/>
      </w:r>
      <w:r w:rsidRPr="005C434E">
        <w:instrText xml:space="preserve"> REF AppendixF \h </w:instrText>
      </w:r>
      <w:r w:rsidRPr="005C434E">
        <w:fldChar w:fldCharType="separate"/>
      </w:r>
      <w:r w:rsidR="00472151">
        <w:t>Appendix F</w:t>
      </w:r>
      <w:r w:rsidRPr="005C434E">
        <w:fldChar w:fldCharType="end"/>
      </w:r>
      <w:r w:rsidRPr="005C434E">
        <w:t xml:space="preserve"> </w:t>
      </w:r>
      <w:r w:rsidR="001F66C7" w:rsidRPr="005C434E">
        <w:t xml:space="preserve">– Communication on Progress, </w:t>
      </w:r>
      <w:r w:rsidR="0030196D">
        <w:t>United Nations</w:t>
      </w:r>
      <w:r w:rsidR="001F66C7" w:rsidRPr="005C434E">
        <w:t xml:space="preserve"> Global Compact</w:t>
      </w:r>
    </w:p>
    <w:p w14:paraId="14E5A2B5" w14:textId="5342AC72" w:rsidR="001F66C7" w:rsidRPr="005C434E" w:rsidRDefault="00B74DDA" w:rsidP="005C434E">
      <w:r w:rsidRPr="005C434E">
        <w:fldChar w:fldCharType="begin"/>
      </w:r>
      <w:r w:rsidRPr="005C434E">
        <w:instrText xml:space="preserve"> REF AppendixG \h </w:instrText>
      </w:r>
      <w:r w:rsidRPr="005C434E">
        <w:fldChar w:fldCharType="separate"/>
      </w:r>
      <w:r w:rsidR="00472151" w:rsidRPr="003374AB">
        <w:t xml:space="preserve">Appendix G </w:t>
      </w:r>
      <w:r w:rsidRPr="005C434E">
        <w:fldChar w:fldCharType="end"/>
      </w:r>
      <w:r w:rsidR="001F66C7" w:rsidRPr="005C434E">
        <w:t>– Letter of Expectations</w:t>
      </w:r>
    </w:p>
    <w:p w14:paraId="63428E5B" w14:textId="77777777" w:rsidR="001F66C7" w:rsidRDefault="001F66C7" w:rsidP="001F66C7">
      <w:pPr>
        <w:pStyle w:val="Heading2"/>
      </w:pPr>
      <w:bookmarkStart w:id="1322" w:name="AppendixA"/>
      <w:bookmarkStart w:id="1323" w:name="_Ref89719388"/>
      <w:bookmarkStart w:id="1324" w:name="_Toc89723168"/>
      <w:bookmarkStart w:id="1325" w:name="_Toc89723255"/>
      <w:bookmarkStart w:id="1326" w:name="_Toc89723315"/>
      <w:bookmarkStart w:id="1327" w:name="_Toc89860580"/>
      <w:bookmarkStart w:id="1328" w:name="_Toc89860724"/>
      <w:bookmarkStart w:id="1329" w:name="_Toc90326110"/>
      <w:bookmarkStart w:id="1330" w:name="_Toc93659516"/>
      <w:r>
        <w:t>Appendix A</w:t>
      </w:r>
      <w:bookmarkEnd w:id="1322"/>
      <w:r>
        <w:t xml:space="preserve"> – Disclosure index</w:t>
      </w:r>
      <w:bookmarkEnd w:id="1323"/>
      <w:bookmarkEnd w:id="1324"/>
      <w:bookmarkEnd w:id="1325"/>
      <w:bookmarkEnd w:id="1326"/>
      <w:bookmarkEnd w:id="1327"/>
      <w:bookmarkEnd w:id="1328"/>
      <w:bookmarkEnd w:id="1329"/>
      <w:bookmarkEnd w:id="1330"/>
    </w:p>
    <w:p w14:paraId="24AB7828" w14:textId="292238FB" w:rsidR="00203B5D" w:rsidRDefault="001F66C7" w:rsidP="001F66C7">
      <w:pPr>
        <w:pStyle w:val="BodyText"/>
      </w:pPr>
      <w:r>
        <w:t xml:space="preserve">The </w:t>
      </w:r>
      <w:r w:rsidRPr="001F66C7">
        <w:rPr>
          <w:rStyle w:val="ItalicText"/>
        </w:rPr>
        <w:t>Melbourne Water Annual Report 2020-21</w:t>
      </w:r>
      <w:r>
        <w:t xml:space="preserve"> is prepared in accordance with all relevant Victorian legislation and pronouncements. This index has been prepared to facilitate identification of Melbourne Water’s compliance with statutory disclosure requirements.</w:t>
      </w:r>
    </w:p>
    <w:tbl>
      <w:tblPr>
        <w:tblStyle w:val="TableGrid"/>
        <w:tblW w:w="0" w:type="auto"/>
        <w:tblLook w:val="04A0" w:firstRow="1" w:lastRow="0" w:firstColumn="1" w:lastColumn="0" w:noHBand="0" w:noVBand="1"/>
      </w:tblPr>
      <w:tblGrid>
        <w:gridCol w:w="1418"/>
        <w:gridCol w:w="6095"/>
        <w:gridCol w:w="2118"/>
      </w:tblGrid>
      <w:tr w:rsidR="001F66C7" w:rsidRPr="007E1EE3" w14:paraId="14C83B91"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1418" w:type="dxa"/>
            <w:vAlign w:val="bottom"/>
          </w:tcPr>
          <w:p w14:paraId="6716EF78" w14:textId="1AE2C600" w:rsidR="001F66C7" w:rsidRPr="007E1EE3" w:rsidRDefault="001F66C7" w:rsidP="000B1EBD">
            <w:bookmarkStart w:id="1331" w:name="ColumnTitle_114"/>
            <w:r w:rsidRPr="007E1EE3">
              <w:t>Legislation</w:t>
            </w:r>
          </w:p>
        </w:tc>
        <w:tc>
          <w:tcPr>
            <w:tcW w:w="6095" w:type="dxa"/>
            <w:vAlign w:val="bottom"/>
          </w:tcPr>
          <w:p w14:paraId="75EDB731" w14:textId="1518254E" w:rsidR="001F66C7" w:rsidRPr="007E1EE3" w:rsidRDefault="001F66C7" w:rsidP="000B1EBD">
            <w:r w:rsidRPr="007E1EE3">
              <w:t>Requirement</w:t>
            </w:r>
          </w:p>
        </w:tc>
        <w:tc>
          <w:tcPr>
            <w:tcW w:w="2118" w:type="dxa"/>
            <w:vAlign w:val="bottom"/>
          </w:tcPr>
          <w:p w14:paraId="3B99C285" w14:textId="0A715BA8" w:rsidR="001F66C7" w:rsidRPr="007E1EE3" w:rsidRDefault="001F66C7" w:rsidP="000B1EBD">
            <w:r w:rsidRPr="007E1EE3">
              <w:t>Page reference</w:t>
            </w:r>
          </w:p>
        </w:tc>
      </w:tr>
      <w:bookmarkEnd w:id="1331"/>
      <w:tr w:rsidR="001F66C7" w:rsidRPr="007E1EE3" w14:paraId="7640AD9E" w14:textId="77777777" w:rsidTr="001F66C7">
        <w:tc>
          <w:tcPr>
            <w:tcW w:w="1418" w:type="dxa"/>
          </w:tcPr>
          <w:p w14:paraId="7FAC4E8B" w14:textId="395CF09F" w:rsidR="001F66C7" w:rsidRPr="007E1EE3" w:rsidRDefault="001F66C7" w:rsidP="000B1EBD">
            <w:pPr>
              <w:pStyle w:val="TableBodyText"/>
              <w:rPr>
                <w:szCs w:val="20"/>
              </w:rPr>
            </w:pPr>
            <w:r w:rsidRPr="007E1EE3">
              <w:rPr>
                <w:szCs w:val="20"/>
              </w:rPr>
              <w:t>N/A</w:t>
            </w:r>
          </w:p>
        </w:tc>
        <w:tc>
          <w:tcPr>
            <w:tcW w:w="6095" w:type="dxa"/>
          </w:tcPr>
          <w:p w14:paraId="104E29E1" w14:textId="5257B9EF" w:rsidR="001F66C7" w:rsidRPr="007E1EE3" w:rsidRDefault="001F66C7" w:rsidP="000B1EBD">
            <w:pPr>
              <w:pStyle w:val="TableBodyText"/>
              <w:rPr>
                <w:rStyle w:val="Bold"/>
                <w:szCs w:val="20"/>
              </w:rPr>
            </w:pPr>
            <w:r w:rsidRPr="007E1EE3">
              <w:rPr>
                <w:rStyle w:val="Bold"/>
                <w:szCs w:val="20"/>
              </w:rPr>
              <w:t>Report of operations</w:t>
            </w:r>
          </w:p>
        </w:tc>
        <w:tc>
          <w:tcPr>
            <w:tcW w:w="2118" w:type="dxa"/>
          </w:tcPr>
          <w:p w14:paraId="21A94820" w14:textId="5B06A6AA" w:rsidR="001F66C7" w:rsidRPr="007E1EE3" w:rsidRDefault="001F66C7" w:rsidP="000B1EBD">
            <w:pPr>
              <w:pStyle w:val="TableBodyText"/>
              <w:rPr>
                <w:szCs w:val="20"/>
              </w:rPr>
            </w:pPr>
            <w:r w:rsidRPr="007E1EE3">
              <w:rPr>
                <w:szCs w:val="20"/>
              </w:rPr>
              <w:t>N/A</w:t>
            </w:r>
          </w:p>
        </w:tc>
      </w:tr>
      <w:tr w:rsidR="001F66C7" w:rsidRPr="007E1EE3" w14:paraId="03281D20" w14:textId="77777777" w:rsidTr="001F66C7">
        <w:tc>
          <w:tcPr>
            <w:tcW w:w="1418" w:type="dxa"/>
          </w:tcPr>
          <w:p w14:paraId="0E2ED172" w14:textId="2C822E89" w:rsidR="001F66C7" w:rsidRPr="007E1EE3" w:rsidRDefault="001F66C7" w:rsidP="000B1EBD">
            <w:pPr>
              <w:pStyle w:val="TableBodyText"/>
              <w:rPr>
                <w:szCs w:val="20"/>
              </w:rPr>
            </w:pPr>
            <w:r w:rsidRPr="007E1EE3">
              <w:rPr>
                <w:szCs w:val="20"/>
              </w:rPr>
              <w:t>N/A</w:t>
            </w:r>
          </w:p>
        </w:tc>
        <w:tc>
          <w:tcPr>
            <w:tcW w:w="6095" w:type="dxa"/>
          </w:tcPr>
          <w:p w14:paraId="3525B19F" w14:textId="66122B5F" w:rsidR="001F66C7" w:rsidRPr="007E1EE3" w:rsidRDefault="001F66C7" w:rsidP="000B1EBD">
            <w:pPr>
              <w:pStyle w:val="TableBodyText"/>
              <w:rPr>
                <w:rStyle w:val="Bold"/>
                <w:szCs w:val="20"/>
              </w:rPr>
            </w:pPr>
            <w:r w:rsidRPr="007E1EE3">
              <w:rPr>
                <w:rStyle w:val="Bold"/>
                <w:szCs w:val="20"/>
              </w:rPr>
              <w:t>Charter and purpose</w:t>
            </w:r>
          </w:p>
        </w:tc>
        <w:tc>
          <w:tcPr>
            <w:tcW w:w="2118" w:type="dxa"/>
          </w:tcPr>
          <w:p w14:paraId="021BE4E0" w14:textId="195C8A13" w:rsidR="001F66C7" w:rsidRPr="007E1EE3" w:rsidRDefault="001F66C7" w:rsidP="000B1EBD">
            <w:pPr>
              <w:pStyle w:val="TableBodyText"/>
              <w:rPr>
                <w:szCs w:val="20"/>
              </w:rPr>
            </w:pPr>
            <w:r w:rsidRPr="007E1EE3">
              <w:rPr>
                <w:szCs w:val="20"/>
              </w:rPr>
              <w:t>N/</w:t>
            </w:r>
            <w:r w:rsidR="000B1EBD" w:rsidRPr="007E1EE3">
              <w:rPr>
                <w:szCs w:val="20"/>
              </w:rPr>
              <w:t>A</w:t>
            </w:r>
          </w:p>
        </w:tc>
      </w:tr>
      <w:tr w:rsidR="001F66C7" w:rsidRPr="007E1EE3" w14:paraId="7C2660E1" w14:textId="77777777" w:rsidTr="001F66C7">
        <w:tc>
          <w:tcPr>
            <w:tcW w:w="1418" w:type="dxa"/>
          </w:tcPr>
          <w:p w14:paraId="60A1D595" w14:textId="57028987" w:rsidR="001F66C7" w:rsidRPr="007E1EE3" w:rsidRDefault="001F66C7" w:rsidP="000B1EBD">
            <w:pPr>
              <w:pStyle w:val="TableBodyText"/>
              <w:rPr>
                <w:szCs w:val="20"/>
              </w:rPr>
            </w:pPr>
            <w:r w:rsidRPr="007E1EE3">
              <w:rPr>
                <w:szCs w:val="20"/>
              </w:rPr>
              <w:t>FRD 22I</w:t>
            </w:r>
          </w:p>
        </w:tc>
        <w:tc>
          <w:tcPr>
            <w:tcW w:w="6095" w:type="dxa"/>
          </w:tcPr>
          <w:p w14:paraId="3B8B9FE7" w14:textId="1B5776CA" w:rsidR="001F66C7" w:rsidRPr="007E1EE3" w:rsidRDefault="001F66C7" w:rsidP="000B1EBD">
            <w:pPr>
              <w:pStyle w:val="TableBodyText"/>
              <w:rPr>
                <w:szCs w:val="20"/>
              </w:rPr>
            </w:pPr>
            <w:r w:rsidRPr="007E1EE3">
              <w:rPr>
                <w:szCs w:val="20"/>
              </w:rPr>
              <w:t>Manner of establishment and the relevant Ministers</w:t>
            </w:r>
          </w:p>
        </w:tc>
        <w:tc>
          <w:tcPr>
            <w:tcW w:w="2118" w:type="dxa"/>
          </w:tcPr>
          <w:p w14:paraId="76823489" w14:textId="52EDC37A" w:rsidR="001F66C7" w:rsidRPr="007E1EE3" w:rsidRDefault="00575C96" w:rsidP="000B1EBD">
            <w:pPr>
              <w:pStyle w:val="TableBodyText"/>
              <w:rPr>
                <w:szCs w:val="20"/>
              </w:rPr>
            </w:pPr>
            <w:r w:rsidRPr="007E1EE3">
              <w:rPr>
                <w:szCs w:val="20"/>
              </w:rPr>
              <w:fldChar w:fldCharType="begin"/>
            </w:r>
            <w:r w:rsidRPr="007E1EE3">
              <w:rPr>
                <w:szCs w:val="20"/>
              </w:rPr>
              <w:instrText xml:space="preserve"> PAGEREF CorporateGovernance \h </w:instrText>
            </w:r>
            <w:r w:rsidRPr="007E1EE3">
              <w:rPr>
                <w:szCs w:val="20"/>
              </w:rPr>
            </w:r>
            <w:r w:rsidRPr="007E1EE3">
              <w:rPr>
                <w:szCs w:val="20"/>
              </w:rPr>
              <w:fldChar w:fldCharType="separate"/>
            </w:r>
            <w:r w:rsidR="00472151">
              <w:rPr>
                <w:noProof/>
                <w:szCs w:val="20"/>
              </w:rPr>
              <w:t>77</w:t>
            </w:r>
            <w:r w:rsidRPr="007E1EE3">
              <w:rPr>
                <w:szCs w:val="20"/>
              </w:rPr>
              <w:fldChar w:fldCharType="end"/>
            </w:r>
          </w:p>
        </w:tc>
      </w:tr>
      <w:tr w:rsidR="001F66C7" w:rsidRPr="007E1EE3" w14:paraId="6159DB77" w14:textId="77777777" w:rsidTr="001F66C7">
        <w:tc>
          <w:tcPr>
            <w:tcW w:w="1418" w:type="dxa"/>
          </w:tcPr>
          <w:p w14:paraId="675F9458" w14:textId="249FFEEB" w:rsidR="001F66C7" w:rsidRPr="007E1EE3" w:rsidRDefault="001F66C7" w:rsidP="000B1EBD">
            <w:pPr>
              <w:pStyle w:val="TableBodyText"/>
              <w:rPr>
                <w:szCs w:val="20"/>
              </w:rPr>
            </w:pPr>
            <w:r w:rsidRPr="007E1EE3">
              <w:rPr>
                <w:szCs w:val="20"/>
              </w:rPr>
              <w:t>FRD 221</w:t>
            </w:r>
          </w:p>
        </w:tc>
        <w:tc>
          <w:tcPr>
            <w:tcW w:w="6095" w:type="dxa"/>
          </w:tcPr>
          <w:p w14:paraId="58CAD081" w14:textId="377CF643" w:rsidR="001F66C7" w:rsidRPr="007E1EE3" w:rsidRDefault="001F66C7" w:rsidP="000B1EBD">
            <w:pPr>
              <w:pStyle w:val="TableBodyText"/>
              <w:rPr>
                <w:szCs w:val="20"/>
              </w:rPr>
            </w:pPr>
            <w:r w:rsidRPr="007E1EE3">
              <w:rPr>
                <w:szCs w:val="20"/>
              </w:rPr>
              <w:t>Objectives, functions, powers and duties</w:t>
            </w:r>
          </w:p>
        </w:tc>
        <w:tc>
          <w:tcPr>
            <w:tcW w:w="2118" w:type="dxa"/>
          </w:tcPr>
          <w:p w14:paraId="77ADCB36" w14:textId="38807B25" w:rsidR="001F66C7" w:rsidRPr="007E1EE3" w:rsidRDefault="00575C96" w:rsidP="000B1EBD">
            <w:pPr>
              <w:pStyle w:val="TableBodyText"/>
              <w:rPr>
                <w:szCs w:val="20"/>
              </w:rPr>
            </w:pPr>
            <w:r w:rsidRPr="007E1EE3">
              <w:rPr>
                <w:szCs w:val="20"/>
              </w:rPr>
              <w:fldChar w:fldCharType="begin"/>
            </w:r>
            <w:r w:rsidRPr="007E1EE3">
              <w:rPr>
                <w:szCs w:val="20"/>
              </w:rPr>
              <w:instrText xml:space="preserve"> PAGEREF _Ref89719951 \h </w:instrText>
            </w:r>
            <w:r w:rsidRPr="007E1EE3">
              <w:rPr>
                <w:szCs w:val="20"/>
              </w:rPr>
            </w:r>
            <w:r w:rsidRPr="007E1EE3">
              <w:rPr>
                <w:szCs w:val="20"/>
              </w:rPr>
              <w:fldChar w:fldCharType="separate"/>
            </w:r>
            <w:r w:rsidR="00472151">
              <w:rPr>
                <w:noProof/>
                <w:szCs w:val="20"/>
              </w:rPr>
              <w:t>2</w:t>
            </w:r>
            <w:r w:rsidRPr="007E1EE3">
              <w:rPr>
                <w:szCs w:val="20"/>
              </w:rPr>
              <w:fldChar w:fldCharType="end"/>
            </w:r>
          </w:p>
        </w:tc>
      </w:tr>
      <w:tr w:rsidR="001F66C7" w:rsidRPr="007E1EE3" w14:paraId="63C29FB2" w14:textId="77777777" w:rsidTr="001F66C7">
        <w:tc>
          <w:tcPr>
            <w:tcW w:w="1418" w:type="dxa"/>
          </w:tcPr>
          <w:p w14:paraId="79584510" w14:textId="54A89E51" w:rsidR="001F66C7" w:rsidRPr="007E1EE3" w:rsidRDefault="001F66C7" w:rsidP="000B1EBD">
            <w:pPr>
              <w:pStyle w:val="TableBodyText"/>
              <w:rPr>
                <w:szCs w:val="20"/>
              </w:rPr>
            </w:pPr>
            <w:r w:rsidRPr="007E1EE3">
              <w:rPr>
                <w:szCs w:val="20"/>
              </w:rPr>
              <w:t>FRD 221</w:t>
            </w:r>
          </w:p>
        </w:tc>
        <w:tc>
          <w:tcPr>
            <w:tcW w:w="6095" w:type="dxa"/>
          </w:tcPr>
          <w:p w14:paraId="4A5E73B8" w14:textId="0574ED57" w:rsidR="001F66C7" w:rsidRPr="007E1EE3" w:rsidRDefault="001F66C7" w:rsidP="000B1EBD">
            <w:pPr>
              <w:pStyle w:val="TableBodyText"/>
              <w:rPr>
                <w:szCs w:val="20"/>
              </w:rPr>
            </w:pPr>
            <w:r w:rsidRPr="007E1EE3">
              <w:rPr>
                <w:szCs w:val="20"/>
              </w:rPr>
              <w:t>Nature and range of services provided</w:t>
            </w:r>
          </w:p>
        </w:tc>
        <w:tc>
          <w:tcPr>
            <w:tcW w:w="2118" w:type="dxa"/>
          </w:tcPr>
          <w:p w14:paraId="248A2BE4" w14:textId="7885ED14" w:rsidR="001F66C7" w:rsidRPr="007E1EE3" w:rsidRDefault="00575C96" w:rsidP="000B1EBD">
            <w:pPr>
              <w:pStyle w:val="TableBodyText"/>
              <w:rPr>
                <w:szCs w:val="20"/>
              </w:rPr>
            </w:pPr>
            <w:r w:rsidRPr="007E1EE3">
              <w:rPr>
                <w:szCs w:val="20"/>
              </w:rPr>
              <w:fldChar w:fldCharType="begin"/>
            </w:r>
            <w:r w:rsidRPr="007E1EE3">
              <w:rPr>
                <w:szCs w:val="20"/>
              </w:rPr>
              <w:instrText xml:space="preserve"> PAGEREF _Ref89719951 \h </w:instrText>
            </w:r>
            <w:r w:rsidRPr="007E1EE3">
              <w:rPr>
                <w:szCs w:val="20"/>
              </w:rPr>
            </w:r>
            <w:r w:rsidRPr="007E1EE3">
              <w:rPr>
                <w:szCs w:val="20"/>
              </w:rPr>
              <w:fldChar w:fldCharType="separate"/>
            </w:r>
            <w:r w:rsidR="00472151">
              <w:rPr>
                <w:noProof/>
                <w:szCs w:val="20"/>
              </w:rPr>
              <w:t>2</w:t>
            </w:r>
            <w:r w:rsidRPr="007E1EE3">
              <w:rPr>
                <w:szCs w:val="20"/>
              </w:rPr>
              <w:fldChar w:fldCharType="end"/>
            </w:r>
            <w:r w:rsidRPr="007E1EE3">
              <w:rPr>
                <w:szCs w:val="20"/>
              </w:rPr>
              <w:t>,</w:t>
            </w:r>
            <w:r w:rsidRPr="007E1EE3">
              <w:rPr>
                <w:szCs w:val="20"/>
              </w:rPr>
              <w:fldChar w:fldCharType="begin"/>
            </w:r>
            <w:r w:rsidRPr="007E1EE3">
              <w:rPr>
                <w:szCs w:val="20"/>
              </w:rPr>
              <w:instrText xml:space="preserve"> PAGEREF _Ref89719984 \h </w:instrText>
            </w:r>
            <w:r w:rsidRPr="007E1EE3">
              <w:rPr>
                <w:szCs w:val="20"/>
              </w:rPr>
            </w:r>
            <w:r w:rsidRPr="007E1EE3">
              <w:rPr>
                <w:szCs w:val="20"/>
              </w:rPr>
              <w:fldChar w:fldCharType="separate"/>
            </w:r>
            <w:r w:rsidR="00472151">
              <w:rPr>
                <w:noProof/>
                <w:szCs w:val="20"/>
              </w:rPr>
              <w:t>12</w:t>
            </w:r>
            <w:r w:rsidRPr="007E1EE3">
              <w:rPr>
                <w:szCs w:val="20"/>
              </w:rPr>
              <w:fldChar w:fldCharType="end"/>
            </w:r>
          </w:p>
        </w:tc>
      </w:tr>
      <w:tr w:rsidR="001F66C7" w:rsidRPr="007E1EE3" w14:paraId="4AF6E2B6" w14:textId="77777777" w:rsidTr="001F66C7">
        <w:tc>
          <w:tcPr>
            <w:tcW w:w="1418" w:type="dxa"/>
          </w:tcPr>
          <w:p w14:paraId="55A923D2" w14:textId="1F79BC89" w:rsidR="001F66C7" w:rsidRPr="007E1EE3" w:rsidRDefault="001F66C7" w:rsidP="000B1EBD">
            <w:pPr>
              <w:pStyle w:val="TableBodyText"/>
              <w:rPr>
                <w:szCs w:val="20"/>
              </w:rPr>
            </w:pPr>
            <w:r w:rsidRPr="007E1EE3">
              <w:rPr>
                <w:szCs w:val="20"/>
              </w:rPr>
              <w:t>N/A</w:t>
            </w:r>
          </w:p>
        </w:tc>
        <w:tc>
          <w:tcPr>
            <w:tcW w:w="6095" w:type="dxa"/>
          </w:tcPr>
          <w:p w14:paraId="54D01424" w14:textId="2A88B404" w:rsidR="001F66C7" w:rsidRPr="007E1EE3" w:rsidRDefault="001F66C7" w:rsidP="000B1EBD">
            <w:pPr>
              <w:pStyle w:val="TableBodyText"/>
              <w:rPr>
                <w:rStyle w:val="Bold"/>
                <w:szCs w:val="20"/>
              </w:rPr>
            </w:pPr>
            <w:r w:rsidRPr="007E1EE3">
              <w:rPr>
                <w:rStyle w:val="Bold"/>
                <w:szCs w:val="20"/>
              </w:rPr>
              <w:t>Governance and organisational structure</w:t>
            </w:r>
          </w:p>
        </w:tc>
        <w:tc>
          <w:tcPr>
            <w:tcW w:w="2118" w:type="dxa"/>
          </w:tcPr>
          <w:p w14:paraId="4DA195A6" w14:textId="4DEC7254" w:rsidR="001F66C7" w:rsidRPr="007E1EE3" w:rsidRDefault="001F66C7" w:rsidP="000B1EBD">
            <w:pPr>
              <w:pStyle w:val="TableBodyText"/>
              <w:rPr>
                <w:szCs w:val="20"/>
              </w:rPr>
            </w:pPr>
            <w:r w:rsidRPr="007E1EE3">
              <w:rPr>
                <w:szCs w:val="20"/>
              </w:rPr>
              <w:t>N/A</w:t>
            </w:r>
          </w:p>
        </w:tc>
      </w:tr>
      <w:tr w:rsidR="001F66C7" w:rsidRPr="007E1EE3" w14:paraId="57C17A69" w14:textId="77777777" w:rsidTr="001F66C7">
        <w:tc>
          <w:tcPr>
            <w:tcW w:w="1418" w:type="dxa"/>
          </w:tcPr>
          <w:p w14:paraId="32A3D2EA" w14:textId="05A8214A" w:rsidR="001F66C7" w:rsidRPr="007E1EE3" w:rsidRDefault="001F66C7" w:rsidP="000B1EBD">
            <w:pPr>
              <w:pStyle w:val="TableBodyText"/>
              <w:rPr>
                <w:szCs w:val="20"/>
              </w:rPr>
            </w:pPr>
            <w:r w:rsidRPr="007E1EE3">
              <w:rPr>
                <w:szCs w:val="20"/>
              </w:rPr>
              <w:t>FRD 221</w:t>
            </w:r>
          </w:p>
        </w:tc>
        <w:tc>
          <w:tcPr>
            <w:tcW w:w="6095" w:type="dxa"/>
          </w:tcPr>
          <w:p w14:paraId="51DF3B97" w14:textId="0079CF48" w:rsidR="001F66C7" w:rsidRPr="007E1EE3" w:rsidRDefault="001F66C7" w:rsidP="000B1EBD">
            <w:pPr>
              <w:pStyle w:val="TableBodyText"/>
              <w:rPr>
                <w:szCs w:val="20"/>
              </w:rPr>
            </w:pPr>
            <w:r w:rsidRPr="007E1EE3">
              <w:rPr>
                <w:szCs w:val="20"/>
              </w:rPr>
              <w:t>Organisational structure and corporate governance</w:t>
            </w:r>
          </w:p>
        </w:tc>
        <w:tc>
          <w:tcPr>
            <w:tcW w:w="2118" w:type="dxa"/>
          </w:tcPr>
          <w:p w14:paraId="7BFDEEDC" w14:textId="205F0E01" w:rsidR="001F66C7" w:rsidRPr="007E1EE3" w:rsidRDefault="00575C96" w:rsidP="000B1EBD">
            <w:pPr>
              <w:pStyle w:val="TableBodyText"/>
              <w:rPr>
                <w:szCs w:val="20"/>
              </w:rPr>
            </w:pPr>
            <w:r w:rsidRPr="007E1EE3">
              <w:rPr>
                <w:szCs w:val="20"/>
              </w:rPr>
              <w:fldChar w:fldCharType="begin"/>
            </w:r>
            <w:r w:rsidRPr="007E1EE3">
              <w:rPr>
                <w:szCs w:val="20"/>
              </w:rPr>
              <w:instrText xml:space="preserve"> PAGEREF OrgStructure \h </w:instrText>
            </w:r>
            <w:r w:rsidRPr="007E1EE3">
              <w:rPr>
                <w:szCs w:val="20"/>
              </w:rPr>
            </w:r>
            <w:r w:rsidRPr="007E1EE3">
              <w:rPr>
                <w:szCs w:val="20"/>
              </w:rPr>
              <w:fldChar w:fldCharType="separate"/>
            </w:r>
            <w:r w:rsidR="00472151">
              <w:rPr>
                <w:noProof/>
                <w:szCs w:val="20"/>
              </w:rPr>
              <w:t>76</w:t>
            </w:r>
            <w:r w:rsidRPr="007E1EE3">
              <w:rPr>
                <w:szCs w:val="20"/>
              </w:rPr>
              <w:fldChar w:fldCharType="end"/>
            </w:r>
          </w:p>
        </w:tc>
      </w:tr>
      <w:tr w:rsidR="001F66C7" w:rsidRPr="007E1EE3" w14:paraId="707C57AA" w14:textId="77777777" w:rsidTr="001F66C7">
        <w:tc>
          <w:tcPr>
            <w:tcW w:w="1418" w:type="dxa"/>
          </w:tcPr>
          <w:p w14:paraId="2EE45F9E" w14:textId="6FF3FD8F" w:rsidR="001F66C7" w:rsidRPr="007E1EE3" w:rsidRDefault="001F66C7" w:rsidP="000B1EBD">
            <w:pPr>
              <w:pStyle w:val="TableBodyText"/>
              <w:rPr>
                <w:szCs w:val="20"/>
              </w:rPr>
            </w:pPr>
            <w:r w:rsidRPr="007E1EE3">
              <w:rPr>
                <w:szCs w:val="20"/>
              </w:rPr>
              <w:t>FRD 221</w:t>
            </w:r>
          </w:p>
        </w:tc>
        <w:tc>
          <w:tcPr>
            <w:tcW w:w="6095" w:type="dxa"/>
          </w:tcPr>
          <w:p w14:paraId="0A34FC9B" w14:textId="75237857" w:rsidR="001F66C7" w:rsidRPr="007E1EE3" w:rsidRDefault="001F66C7" w:rsidP="000B1EBD">
            <w:pPr>
              <w:pStyle w:val="TableBodyText"/>
              <w:rPr>
                <w:szCs w:val="20"/>
              </w:rPr>
            </w:pPr>
            <w:r w:rsidRPr="007E1EE3">
              <w:rPr>
                <w:szCs w:val="20"/>
              </w:rPr>
              <w:t>Governing board</w:t>
            </w:r>
          </w:p>
        </w:tc>
        <w:tc>
          <w:tcPr>
            <w:tcW w:w="2118" w:type="dxa"/>
          </w:tcPr>
          <w:p w14:paraId="2DCB6F5F" w14:textId="65C5C612" w:rsidR="001F66C7" w:rsidRPr="007E1EE3" w:rsidRDefault="00575C96" w:rsidP="000B1EBD">
            <w:pPr>
              <w:pStyle w:val="TableBodyText"/>
              <w:rPr>
                <w:szCs w:val="20"/>
              </w:rPr>
            </w:pPr>
            <w:r w:rsidRPr="007E1EE3">
              <w:rPr>
                <w:szCs w:val="20"/>
              </w:rPr>
              <w:fldChar w:fldCharType="begin"/>
            </w:r>
            <w:r w:rsidRPr="007E1EE3">
              <w:rPr>
                <w:szCs w:val="20"/>
              </w:rPr>
              <w:instrText xml:space="preserve"> PAGEREF BoardofDirectors \h </w:instrText>
            </w:r>
            <w:r w:rsidRPr="007E1EE3">
              <w:rPr>
                <w:szCs w:val="20"/>
              </w:rPr>
            </w:r>
            <w:r w:rsidRPr="007E1EE3">
              <w:rPr>
                <w:szCs w:val="20"/>
              </w:rPr>
              <w:fldChar w:fldCharType="separate"/>
            </w:r>
            <w:r w:rsidR="00472151">
              <w:rPr>
                <w:noProof/>
                <w:szCs w:val="20"/>
              </w:rPr>
              <w:t>79</w:t>
            </w:r>
            <w:r w:rsidRPr="007E1EE3">
              <w:rPr>
                <w:szCs w:val="20"/>
              </w:rPr>
              <w:fldChar w:fldCharType="end"/>
            </w:r>
          </w:p>
        </w:tc>
      </w:tr>
      <w:tr w:rsidR="001F66C7" w:rsidRPr="007E1EE3" w14:paraId="74A18B1E" w14:textId="77777777" w:rsidTr="001F66C7">
        <w:tc>
          <w:tcPr>
            <w:tcW w:w="1418" w:type="dxa"/>
          </w:tcPr>
          <w:p w14:paraId="0CD2AFBF" w14:textId="17AAA483" w:rsidR="001F66C7" w:rsidRPr="007E1EE3" w:rsidRDefault="001F66C7" w:rsidP="000B1EBD">
            <w:pPr>
              <w:pStyle w:val="TableBodyText"/>
              <w:rPr>
                <w:szCs w:val="20"/>
              </w:rPr>
            </w:pPr>
            <w:r w:rsidRPr="007E1EE3">
              <w:rPr>
                <w:szCs w:val="20"/>
              </w:rPr>
              <w:t>FRD 221</w:t>
            </w:r>
          </w:p>
        </w:tc>
        <w:tc>
          <w:tcPr>
            <w:tcW w:w="6095" w:type="dxa"/>
          </w:tcPr>
          <w:p w14:paraId="09ACF1B4" w14:textId="5C119DAC" w:rsidR="001F66C7" w:rsidRPr="007E1EE3" w:rsidRDefault="001F66C7" w:rsidP="000B1EBD">
            <w:pPr>
              <w:pStyle w:val="TableBodyText"/>
              <w:rPr>
                <w:szCs w:val="20"/>
              </w:rPr>
            </w:pPr>
            <w:r w:rsidRPr="007E1EE3">
              <w:rPr>
                <w:szCs w:val="20"/>
              </w:rPr>
              <w:t>Audit committee membership</w:t>
            </w:r>
          </w:p>
        </w:tc>
        <w:tc>
          <w:tcPr>
            <w:tcW w:w="2118" w:type="dxa"/>
          </w:tcPr>
          <w:p w14:paraId="4AC14C86" w14:textId="4E4AC0AD" w:rsidR="001F66C7" w:rsidRPr="007E1EE3" w:rsidRDefault="00575C96" w:rsidP="000B1EBD">
            <w:pPr>
              <w:pStyle w:val="TableBodyText"/>
              <w:rPr>
                <w:szCs w:val="20"/>
              </w:rPr>
            </w:pPr>
            <w:r w:rsidRPr="007E1EE3">
              <w:rPr>
                <w:szCs w:val="20"/>
              </w:rPr>
              <w:fldChar w:fldCharType="begin"/>
            </w:r>
            <w:r w:rsidRPr="007E1EE3">
              <w:rPr>
                <w:szCs w:val="20"/>
              </w:rPr>
              <w:instrText xml:space="preserve"> PAGEREF OrgStructure \h </w:instrText>
            </w:r>
            <w:r w:rsidRPr="007E1EE3">
              <w:rPr>
                <w:szCs w:val="20"/>
              </w:rPr>
            </w:r>
            <w:r w:rsidRPr="007E1EE3">
              <w:rPr>
                <w:szCs w:val="20"/>
              </w:rPr>
              <w:fldChar w:fldCharType="separate"/>
            </w:r>
            <w:r w:rsidR="00472151">
              <w:rPr>
                <w:noProof/>
                <w:szCs w:val="20"/>
              </w:rPr>
              <w:t>76</w:t>
            </w:r>
            <w:r w:rsidRPr="007E1EE3">
              <w:rPr>
                <w:szCs w:val="20"/>
              </w:rPr>
              <w:fldChar w:fldCharType="end"/>
            </w:r>
            <w:r w:rsidRPr="007E1EE3">
              <w:rPr>
                <w:szCs w:val="20"/>
              </w:rPr>
              <w:t xml:space="preserve">, </w:t>
            </w:r>
            <w:r w:rsidRPr="007E1EE3">
              <w:rPr>
                <w:szCs w:val="20"/>
              </w:rPr>
              <w:fldChar w:fldCharType="begin"/>
            </w:r>
            <w:r w:rsidRPr="007E1EE3">
              <w:rPr>
                <w:szCs w:val="20"/>
              </w:rPr>
              <w:instrText xml:space="preserve"> PAGEREF PrimaryResponsibilities \h </w:instrText>
            </w:r>
            <w:r w:rsidRPr="007E1EE3">
              <w:rPr>
                <w:szCs w:val="20"/>
              </w:rPr>
            </w:r>
            <w:r w:rsidRPr="007E1EE3">
              <w:rPr>
                <w:szCs w:val="20"/>
              </w:rPr>
              <w:fldChar w:fldCharType="separate"/>
            </w:r>
            <w:r w:rsidR="00472151">
              <w:rPr>
                <w:noProof/>
                <w:szCs w:val="20"/>
              </w:rPr>
              <w:t>78</w:t>
            </w:r>
            <w:r w:rsidRPr="007E1EE3">
              <w:rPr>
                <w:szCs w:val="20"/>
              </w:rPr>
              <w:fldChar w:fldCharType="end"/>
            </w:r>
          </w:p>
        </w:tc>
      </w:tr>
      <w:tr w:rsidR="001F66C7" w:rsidRPr="007E1EE3" w14:paraId="445D39C1" w14:textId="77777777" w:rsidTr="001F66C7">
        <w:tc>
          <w:tcPr>
            <w:tcW w:w="1418" w:type="dxa"/>
          </w:tcPr>
          <w:p w14:paraId="73A856E2" w14:textId="6156C7AD" w:rsidR="001F66C7" w:rsidRPr="007E1EE3" w:rsidRDefault="001F66C7" w:rsidP="000B1EBD">
            <w:pPr>
              <w:pStyle w:val="TableBodyText"/>
              <w:rPr>
                <w:szCs w:val="20"/>
              </w:rPr>
            </w:pPr>
            <w:r w:rsidRPr="007E1EE3">
              <w:rPr>
                <w:szCs w:val="20"/>
              </w:rPr>
              <w:t>N/A</w:t>
            </w:r>
          </w:p>
        </w:tc>
        <w:tc>
          <w:tcPr>
            <w:tcW w:w="6095" w:type="dxa"/>
          </w:tcPr>
          <w:p w14:paraId="1C19FFAF" w14:textId="13E05AD6" w:rsidR="001F66C7" w:rsidRPr="007E1EE3" w:rsidRDefault="001F66C7" w:rsidP="000B1EBD">
            <w:pPr>
              <w:pStyle w:val="TableBodyText"/>
              <w:rPr>
                <w:rStyle w:val="Bold"/>
                <w:szCs w:val="20"/>
              </w:rPr>
            </w:pPr>
            <w:r w:rsidRPr="007E1EE3">
              <w:rPr>
                <w:rStyle w:val="Bold"/>
                <w:szCs w:val="20"/>
              </w:rPr>
              <w:t>Financial and other information</w:t>
            </w:r>
          </w:p>
        </w:tc>
        <w:tc>
          <w:tcPr>
            <w:tcW w:w="2118" w:type="dxa"/>
          </w:tcPr>
          <w:p w14:paraId="2C729F7D" w14:textId="0195B4D7" w:rsidR="001F66C7" w:rsidRPr="007E1EE3" w:rsidRDefault="000B1EBD" w:rsidP="000B1EBD">
            <w:pPr>
              <w:pStyle w:val="TableBodyText"/>
              <w:rPr>
                <w:szCs w:val="20"/>
              </w:rPr>
            </w:pPr>
            <w:r w:rsidRPr="007E1EE3">
              <w:rPr>
                <w:szCs w:val="20"/>
              </w:rPr>
              <w:t>N/</w:t>
            </w:r>
            <w:r w:rsidR="00575C96" w:rsidRPr="007E1EE3">
              <w:rPr>
                <w:szCs w:val="20"/>
              </w:rPr>
              <w:t>A</w:t>
            </w:r>
          </w:p>
        </w:tc>
      </w:tr>
      <w:tr w:rsidR="001F66C7" w:rsidRPr="007E1EE3" w14:paraId="4DE83EF4" w14:textId="77777777" w:rsidTr="001F66C7">
        <w:tc>
          <w:tcPr>
            <w:tcW w:w="1418" w:type="dxa"/>
          </w:tcPr>
          <w:p w14:paraId="1D54B3C5" w14:textId="2E01E5E6" w:rsidR="001F66C7" w:rsidRPr="007E1EE3" w:rsidRDefault="001F66C7" w:rsidP="000B1EBD">
            <w:pPr>
              <w:pStyle w:val="TableBodyText"/>
              <w:rPr>
                <w:szCs w:val="20"/>
              </w:rPr>
            </w:pPr>
            <w:r w:rsidRPr="007E1EE3">
              <w:rPr>
                <w:szCs w:val="20"/>
              </w:rPr>
              <w:t>FRD 10A</w:t>
            </w:r>
          </w:p>
        </w:tc>
        <w:tc>
          <w:tcPr>
            <w:tcW w:w="6095" w:type="dxa"/>
          </w:tcPr>
          <w:p w14:paraId="55814955" w14:textId="4305FEDA" w:rsidR="001F66C7" w:rsidRPr="007E1EE3" w:rsidRDefault="001F66C7" w:rsidP="000B1EBD">
            <w:pPr>
              <w:pStyle w:val="TableBodyText"/>
              <w:rPr>
                <w:szCs w:val="20"/>
              </w:rPr>
            </w:pPr>
            <w:r w:rsidRPr="007E1EE3">
              <w:rPr>
                <w:szCs w:val="20"/>
              </w:rPr>
              <w:t>Disclosure Index</w:t>
            </w:r>
          </w:p>
        </w:tc>
        <w:tc>
          <w:tcPr>
            <w:tcW w:w="2118" w:type="dxa"/>
          </w:tcPr>
          <w:p w14:paraId="5BE727A1" w14:textId="209C306D" w:rsidR="001F66C7" w:rsidRPr="007E1EE3" w:rsidRDefault="00575C96" w:rsidP="000B1EBD">
            <w:pPr>
              <w:pStyle w:val="TableBodyText"/>
              <w:rPr>
                <w:szCs w:val="20"/>
              </w:rPr>
            </w:pPr>
            <w:r w:rsidRPr="007E1EE3">
              <w:rPr>
                <w:szCs w:val="20"/>
              </w:rPr>
              <w:fldChar w:fldCharType="begin"/>
            </w:r>
            <w:r w:rsidRPr="007E1EE3">
              <w:rPr>
                <w:szCs w:val="20"/>
              </w:rPr>
              <w:instrText xml:space="preserve"> PAGEREF _Ref89719388 \h </w:instrText>
            </w:r>
            <w:r w:rsidRPr="007E1EE3">
              <w:rPr>
                <w:szCs w:val="20"/>
              </w:rPr>
            </w:r>
            <w:r w:rsidRPr="007E1EE3">
              <w:rPr>
                <w:szCs w:val="20"/>
              </w:rPr>
              <w:fldChar w:fldCharType="separate"/>
            </w:r>
            <w:r w:rsidR="00472151">
              <w:rPr>
                <w:noProof/>
                <w:szCs w:val="20"/>
              </w:rPr>
              <w:t>93</w:t>
            </w:r>
            <w:r w:rsidRPr="007E1EE3">
              <w:rPr>
                <w:szCs w:val="20"/>
              </w:rPr>
              <w:fldChar w:fldCharType="end"/>
            </w:r>
          </w:p>
        </w:tc>
      </w:tr>
      <w:tr w:rsidR="001F66C7" w:rsidRPr="007E1EE3" w14:paraId="46712CFF" w14:textId="77777777" w:rsidTr="001F66C7">
        <w:tc>
          <w:tcPr>
            <w:tcW w:w="1418" w:type="dxa"/>
          </w:tcPr>
          <w:p w14:paraId="313F4C79" w14:textId="72607649" w:rsidR="001F66C7" w:rsidRPr="007E1EE3" w:rsidRDefault="001F66C7" w:rsidP="000B1EBD">
            <w:pPr>
              <w:pStyle w:val="TableBodyText"/>
              <w:rPr>
                <w:szCs w:val="20"/>
              </w:rPr>
            </w:pPr>
            <w:r w:rsidRPr="007E1EE3">
              <w:rPr>
                <w:szCs w:val="20"/>
              </w:rPr>
              <w:t>FRD12B</w:t>
            </w:r>
          </w:p>
        </w:tc>
        <w:tc>
          <w:tcPr>
            <w:tcW w:w="6095" w:type="dxa"/>
          </w:tcPr>
          <w:p w14:paraId="646595C5" w14:textId="2E2CAFD7" w:rsidR="001F66C7" w:rsidRPr="007E1EE3" w:rsidRDefault="001F66C7" w:rsidP="000B1EBD">
            <w:pPr>
              <w:pStyle w:val="TableBodyText"/>
              <w:rPr>
                <w:szCs w:val="20"/>
              </w:rPr>
            </w:pPr>
            <w:r w:rsidRPr="007E1EE3">
              <w:rPr>
                <w:szCs w:val="20"/>
              </w:rPr>
              <w:t>Disclosure of major contracts</w:t>
            </w:r>
          </w:p>
        </w:tc>
        <w:tc>
          <w:tcPr>
            <w:tcW w:w="2118" w:type="dxa"/>
          </w:tcPr>
          <w:p w14:paraId="282FA246" w14:textId="7DBEA2AD" w:rsidR="001F66C7" w:rsidRPr="007E1EE3" w:rsidRDefault="0026452B" w:rsidP="000B1EBD">
            <w:pPr>
              <w:pStyle w:val="TableBodyText"/>
              <w:rPr>
                <w:szCs w:val="20"/>
              </w:rPr>
            </w:pPr>
            <w:r w:rsidRPr="007E1EE3">
              <w:rPr>
                <w:szCs w:val="20"/>
              </w:rPr>
              <w:fldChar w:fldCharType="begin"/>
            </w:r>
            <w:r w:rsidRPr="007E1EE3">
              <w:rPr>
                <w:szCs w:val="20"/>
              </w:rPr>
              <w:instrText xml:space="preserve"> PAGEREF DisclosureMajorContracts \h </w:instrText>
            </w:r>
            <w:r w:rsidRPr="007E1EE3">
              <w:rPr>
                <w:szCs w:val="20"/>
              </w:rPr>
            </w:r>
            <w:r w:rsidRPr="007E1EE3">
              <w:rPr>
                <w:szCs w:val="20"/>
              </w:rPr>
              <w:fldChar w:fldCharType="separate"/>
            </w:r>
            <w:r w:rsidR="00472151">
              <w:rPr>
                <w:noProof/>
                <w:szCs w:val="20"/>
              </w:rPr>
              <w:t>93</w:t>
            </w:r>
            <w:r w:rsidRPr="007E1EE3">
              <w:rPr>
                <w:szCs w:val="20"/>
              </w:rPr>
              <w:fldChar w:fldCharType="end"/>
            </w:r>
          </w:p>
        </w:tc>
      </w:tr>
      <w:tr w:rsidR="001F66C7" w:rsidRPr="007E1EE3" w14:paraId="0872E253" w14:textId="77777777" w:rsidTr="001F66C7">
        <w:tc>
          <w:tcPr>
            <w:tcW w:w="1418" w:type="dxa"/>
          </w:tcPr>
          <w:p w14:paraId="76E056FE" w14:textId="65FCF621" w:rsidR="001F66C7" w:rsidRPr="007E1EE3" w:rsidRDefault="001F66C7" w:rsidP="000B1EBD">
            <w:pPr>
              <w:pStyle w:val="TableBodyText"/>
              <w:rPr>
                <w:szCs w:val="20"/>
              </w:rPr>
            </w:pPr>
            <w:r w:rsidRPr="007E1EE3">
              <w:rPr>
                <w:szCs w:val="20"/>
              </w:rPr>
              <w:t>FRD 221</w:t>
            </w:r>
          </w:p>
        </w:tc>
        <w:tc>
          <w:tcPr>
            <w:tcW w:w="6095" w:type="dxa"/>
          </w:tcPr>
          <w:p w14:paraId="17765838" w14:textId="389E3EBD" w:rsidR="001F66C7" w:rsidRPr="007E1EE3" w:rsidRDefault="001F66C7" w:rsidP="000B1EBD">
            <w:pPr>
              <w:pStyle w:val="TableBodyText"/>
              <w:rPr>
                <w:szCs w:val="20"/>
              </w:rPr>
            </w:pPr>
            <w:r w:rsidRPr="007E1EE3">
              <w:rPr>
                <w:szCs w:val="20"/>
              </w:rPr>
              <w:t>Key initiatives and projects</w:t>
            </w:r>
          </w:p>
        </w:tc>
        <w:tc>
          <w:tcPr>
            <w:tcW w:w="2118" w:type="dxa"/>
          </w:tcPr>
          <w:p w14:paraId="32231F42" w14:textId="1ECE941D" w:rsidR="001F66C7" w:rsidRPr="007E1EE3" w:rsidRDefault="0026452B" w:rsidP="000B1EBD">
            <w:pPr>
              <w:pStyle w:val="TableBodyText"/>
              <w:rPr>
                <w:szCs w:val="20"/>
              </w:rPr>
            </w:pPr>
            <w:r w:rsidRPr="007E1EE3">
              <w:rPr>
                <w:szCs w:val="20"/>
              </w:rPr>
              <w:fldChar w:fldCharType="begin"/>
            </w:r>
            <w:r w:rsidRPr="007E1EE3">
              <w:rPr>
                <w:szCs w:val="20"/>
              </w:rPr>
              <w:instrText xml:space="preserve"> PAGEREF _Ref89720232 \h </w:instrText>
            </w:r>
            <w:r w:rsidRPr="007E1EE3">
              <w:rPr>
                <w:szCs w:val="20"/>
              </w:rPr>
            </w:r>
            <w:r w:rsidRPr="007E1EE3">
              <w:rPr>
                <w:szCs w:val="20"/>
              </w:rPr>
              <w:fldChar w:fldCharType="separate"/>
            </w:r>
            <w:r w:rsidR="00472151">
              <w:rPr>
                <w:noProof/>
                <w:szCs w:val="20"/>
              </w:rPr>
              <w:t>14</w:t>
            </w:r>
            <w:r w:rsidRPr="007E1EE3">
              <w:rPr>
                <w:szCs w:val="20"/>
              </w:rPr>
              <w:fldChar w:fldCharType="end"/>
            </w:r>
            <w:r w:rsidRPr="007E1EE3">
              <w:rPr>
                <w:szCs w:val="20"/>
              </w:rPr>
              <w:t>-</w:t>
            </w:r>
            <w:r w:rsidRPr="007E1EE3">
              <w:rPr>
                <w:szCs w:val="20"/>
              </w:rPr>
              <w:fldChar w:fldCharType="begin"/>
            </w:r>
            <w:r w:rsidRPr="007E1EE3">
              <w:rPr>
                <w:szCs w:val="20"/>
              </w:rPr>
              <w:instrText xml:space="preserve"> PAGEREF EnhancingLifeandLiveability \h </w:instrText>
            </w:r>
            <w:r w:rsidRPr="007E1EE3">
              <w:rPr>
                <w:szCs w:val="20"/>
              </w:rPr>
            </w:r>
            <w:r w:rsidRPr="007E1EE3">
              <w:rPr>
                <w:szCs w:val="20"/>
              </w:rPr>
              <w:fldChar w:fldCharType="separate"/>
            </w:r>
            <w:r w:rsidR="00472151">
              <w:rPr>
                <w:noProof/>
                <w:szCs w:val="20"/>
              </w:rPr>
              <w:t>15</w:t>
            </w:r>
            <w:r w:rsidRPr="007E1EE3">
              <w:rPr>
                <w:szCs w:val="20"/>
              </w:rPr>
              <w:fldChar w:fldCharType="end"/>
            </w:r>
            <w:r w:rsidRPr="007E1EE3">
              <w:rPr>
                <w:szCs w:val="20"/>
              </w:rPr>
              <w:t xml:space="preserve">. </w:t>
            </w:r>
            <w:r w:rsidRPr="007E1EE3">
              <w:rPr>
                <w:szCs w:val="20"/>
              </w:rPr>
              <w:fldChar w:fldCharType="begin"/>
            </w:r>
            <w:r w:rsidRPr="007E1EE3">
              <w:rPr>
                <w:szCs w:val="20"/>
              </w:rPr>
              <w:instrText xml:space="preserve"> PAGEREF _Ref89720310 \h </w:instrText>
            </w:r>
            <w:r w:rsidRPr="007E1EE3">
              <w:rPr>
                <w:szCs w:val="20"/>
              </w:rPr>
            </w:r>
            <w:r w:rsidRPr="007E1EE3">
              <w:rPr>
                <w:szCs w:val="20"/>
              </w:rPr>
              <w:fldChar w:fldCharType="separate"/>
            </w:r>
            <w:r w:rsidR="00472151">
              <w:rPr>
                <w:noProof/>
                <w:szCs w:val="20"/>
              </w:rPr>
              <w:t>20</w:t>
            </w:r>
            <w:r w:rsidRPr="007E1EE3">
              <w:rPr>
                <w:szCs w:val="20"/>
              </w:rPr>
              <w:fldChar w:fldCharType="end"/>
            </w:r>
            <w:r w:rsidRPr="007E1EE3">
              <w:rPr>
                <w:szCs w:val="20"/>
              </w:rPr>
              <w:t>-</w:t>
            </w:r>
            <w:r w:rsidRPr="007E1EE3">
              <w:rPr>
                <w:szCs w:val="20"/>
              </w:rPr>
              <w:fldChar w:fldCharType="begin"/>
            </w:r>
            <w:r w:rsidRPr="007E1EE3">
              <w:rPr>
                <w:szCs w:val="20"/>
              </w:rPr>
              <w:instrText xml:space="preserve"> PAGEREF TypesofInjury \h </w:instrText>
            </w:r>
            <w:r w:rsidRPr="007E1EE3">
              <w:rPr>
                <w:szCs w:val="20"/>
              </w:rPr>
            </w:r>
            <w:r w:rsidRPr="007E1EE3">
              <w:rPr>
                <w:szCs w:val="20"/>
              </w:rPr>
              <w:fldChar w:fldCharType="separate"/>
            </w:r>
            <w:r w:rsidR="00472151">
              <w:rPr>
                <w:noProof/>
                <w:szCs w:val="20"/>
              </w:rPr>
              <w:t>75</w:t>
            </w:r>
            <w:r w:rsidRPr="007E1EE3">
              <w:rPr>
                <w:szCs w:val="20"/>
              </w:rPr>
              <w:fldChar w:fldCharType="end"/>
            </w:r>
            <w:r w:rsidRPr="007E1EE3">
              <w:rPr>
                <w:szCs w:val="20"/>
              </w:rPr>
              <w:t xml:space="preserve">, </w:t>
            </w:r>
            <w:r w:rsidRPr="007E1EE3">
              <w:rPr>
                <w:szCs w:val="20"/>
              </w:rPr>
              <w:fldChar w:fldCharType="begin"/>
            </w:r>
            <w:r w:rsidRPr="007E1EE3">
              <w:rPr>
                <w:szCs w:val="20"/>
              </w:rPr>
              <w:instrText xml:space="preserve"> PAGEREF _Ref89720384 \h </w:instrText>
            </w:r>
            <w:r w:rsidRPr="007E1EE3">
              <w:rPr>
                <w:szCs w:val="20"/>
              </w:rPr>
            </w:r>
            <w:r w:rsidRPr="007E1EE3">
              <w:rPr>
                <w:szCs w:val="20"/>
              </w:rPr>
              <w:fldChar w:fldCharType="separate"/>
            </w:r>
            <w:r w:rsidR="00472151">
              <w:rPr>
                <w:noProof/>
                <w:szCs w:val="20"/>
              </w:rPr>
              <w:t>83</w:t>
            </w:r>
            <w:r w:rsidRPr="007E1EE3">
              <w:rPr>
                <w:szCs w:val="20"/>
              </w:rPr>
              <w:fldChar w:fldCharType="end"/>
            </w:r>
            <w:r w:rsidRPr="007E1EE3">
              <w:rPr>
                <w:szCs w:val="20"/>
              </w:rPr>
              <w:t>-</w:t>
            </w:r>
            <w:r w:rsidRPr="007E1EE3">
              <w:rPr>
                <w:szCs w:val="20"/>
              </w:rPr>
              <w:fldChar w:fldCharType="begin"/>
            </w:r>
            <w:r w:rsidRPr="007E1EE3">
              <w:rPr>
                <w:szCs w:val="20"/>
              </w:rPr>
              <w:instrText xml:space="preserve"> PAGEREF _Ref89720398 \h </w:instrText>
            </w:r>
            <w:r w:rsidRPr="007E1EE3">
              <w:rPr>
                <w:szCs w:val="20"/>
              </w:rPr>
            </w:r>
            <w:r w:rsidRPr="007E1EE3">
              <w:rPr>
                <w:szCs w:val="20"/>
              </w:rPr>
              <w:fldChar w:fldCharType="separate"/>
            </w:r>
            <w:r w:rsidR="00472151">
              <w:rPr>
                <w:noProof/>
                <w:szCs w:val="20"/>
              </w:rPr>
              <w:t>86</w:t>
            </w:r>
            <w:r w:rsidRPr="007E1EE3">
              <w:rPr>
                <w:szCs w:val="20"/>
              </w:rPr>
              <w:fldChar w:fldCharType="end"/>
            </w:r>
          </w:p>
        </w:tc>
      </w:tr>
      <w:tr w:rsidR="001F66C7" w:rsidRPr="007E1EE3" w14:paraId="1433D1DA" w14:textId="77777777" w:rsidTr="001F66C7">
        <w:tc>
          <w:tcPr>
            <w:tcW w:w="1418" w:type="dxa"/>
          </w:tcPr>
          <w:p w14:paraId="5C75A925" w14:textId="01671D93" w:rsidR="001F66C7" w:rsidRPr="007E1EE3" w:rsidRDefault="001F66C7" w:rsidP="000B1EBD">
            <w:pPr>
              <w:pStyle w:val="TableBodyText"/>
              <w:rPr>
                <w:szCs w:val="20"/>
              </w:rPr>
            </w:pPr>
            <w:r w:rsidRPr="007E1EE3">
              <w:rPr>
                <w:szCs w:val="20"/>
              </w:rPr>
              <w:t>FRD 221</w:t>
            </w:r>
          </w:p>
        </w:tc>
        <w:tc>
          <w:tcPr>
            <w:tcW w:w="6095" w:type="dxa"/>
          </w:tcPr>
          <w:p w14:paraId="28E6D393" w14:textId="341A7C3E" w:rsidR="001F66C7" w:rsidRPr="007E1EE3" w:rsidRDefault="001F66C7" w:rsidP="000B1EBD">
            <w:pPr>
              <w:pStyle w:val="TableBodyText"/>
              <w:rPr>
                <w:szCs w:val="20"/>
              </w:rPr>
            </w:pPr>
            <w:r w:rsidRPr="007E1EE3">
              <w:rPr>
                <w:szCs w:val="20"/>
              </w:rPr>
              <w:t>Employment and conduct principles</w:t>
            </w:r>
          </w:p>
        </w:tc>
        <w:tc>
          <w:tcPr>
            <w:tcW w:w="2118" w:type="dxa"/>
          </w:tcPr>
          <w:p w14:paraId="3A4F6DCB" w14:textId="2000CE4F" w:rsidR="001F66C7" w:rsidRPr="007E1EE3" w:rsidRDefault="00B62770" w:rsidP="000B1EBD">
            <w:pPr>
              <w:pStyle w:val="TableBodyText"/>
              <w:rPr>
                <w:szCs w:val="20"/>
              </w:rPr>
            </w:pPr>
            <w:r>
              <w:rPr>
                <w:szCs w:val="20"/>
              </w:rPr>
              <w:fldChar w:fldCharType="begin"/>
            </w:r>
            <w:r>
              <w:rPr>
                <w:szCs w:val="20"/>
              </w:rPr>
              <w:instrText xml:space="preserve"> PAGEREF _Ref89797206 \h </w:instrText>
            </w:r>
            <w:r>
              <w:rPr>
                <w:szCs w:val="20"/>
              </w:rPr>
            </w:r>
            <w:r>
              <w:rPr>
                <w:szCs w:val="20"/>
              </w:rPr>
              <w:fldChar w:fldCharType="separate"/>
            </w:r>
            <w:r w:rsidR="00472151">
              <w:rPr>
                <w:noProof/>
                <w:szCs w:val="20"/>
              </w:rPr>
              <w:t>66</w:t>
            </w:r>
            <w:r>
              <w:rPr>
                <w:szCs w:val="20"/>
              </w:rPr>
              <w:fldChar w:fldCharType="end"/>
            </w:r>
            <w:r>
              <w:rPr>
                <w:szCs w:val="20"/>
              </w:rPr>
              <w:t>-</w:t>
            </w:r>
            <w:r>
              <w:rPr>
                <w:szCs w:val="20"/>
              </w:rPr>
              <w:fldChar w:fldCharType="begin"/>
            </w:r>
            <w:r>
              <w:rPr>
                <w:szCs w:val="20"/>
              </w:rPr>
              <w:instrText xml:space="preserve"> PAGEREF _Ref89797218 \h </w:instrText>
            </w:r>
            <w:r>
              <w:rPr>
                <w:szCs w:val="20"/>
              </w:rPr>
            </w:r>
            <w:r>
              <w:rPr>
                <w:szCs w:val="20"/>
              </w:rPr>
              <w:fldChar w:fldCharType="separate"/>
            </w:r>
            <w:r w:rsidR="00472151">
              <w:rPr>
                <w:noProof/>
                <w:szCs w:val="20"/>
              </w:rPr>
              <w:t>68</w:t>
            </w:r>
            <w:r>
              <w:rPr>
                <w:szCs w:val="20"/>
              </w:rPr>
              <w:fldChar w:fldCharType="end"/>
            </w:r>
            <w:r>
              <w:rPr>
                <w:szCs w:val="20"/>
              </w:rPr>
              <w:t xml:space="preserve">, </w:t>
            </w:r>
            <w:r>
              <w:rPr>
                <w:szCs w:val="20"/>
              </w:rPr>
              <w:fldChar w:fldCharType="begin"/>
            </w:r>
            <w:r>
              <w:rPr>
                <w:szCs w:val="20"/>
              </w:rPr>
              <w:instrText xml:space="preserve"> PAGEREF _Ref89797238 \h </w:instrText>
            </w:r>
            <w:r>
              <w:rPr>
                <w:szCs w:val="20"/>
              </w:rPr>
            </w:r>
            <w:r>
              <w:rPr>
                <w:szCs w:val="20"/>
              </w:rPr>
              <w:fldChar w:fldCharType="separate"/>
            </w:r>
            <w:r w:rsidR="00472151">
              <w:rPr>
                <w:noProof/>
                <w:szCs w:val="20"/>
              </w:rPr>
              <w:t>77</w:t>
            </w:r>
            <w:r>
              <w:rPr>
                <w:szCs w:val="20"/>
              </w:rPr>
              <w:fldChar w:fldCharType="end"/>
            </w:r>
          </w:p>
        </w:tc>
      </w:tr>
      <w:tr w:rsidR="001F66C7" w:rsidRPr="007E1EE3" w14:paraId="7C78E4DB" w14:textId="77777777" w:rsidTr="001F66C7">
        <w:tc>
          <w:tcPr>
            <w:tcW w:w="1418" w:type="dxa"/>
          </w:tcPr>
          <w:p w14:paraId="442C5C6E" w14:textId="67ABABF2" w:rsidR="001F66C7" w:rsidRPr="007E1EE3" w:rsidRDefault="001F66C7" w:rsidP="000B1EBD">
            <w:pPr>
              <w:pStyle w:val="TableBodyText"/>
              <w:rPr>
                <w:szCs w:val="20"/>
              </w:rPr>
            </w:pPr>
            <w:r w:rsidRPr="007E1EE3">
              <w:rPr>
                <w:szCs w:val="20"/>
              </w:rPr>
              <w:t>FRD 221</w:t>
            </w:r>
          </w:p>
        </w:tc>
        <w:tc>
          <w:tcPr>
            <w:tcW w:w="6095" w:type="dxa"/>
          </w:tcPr>
          <w:p w14:paraId="74E2BFC6" w14:textId="33BB9C62" w:rsidR="001F66C7" w:rsidRPr="007E1EE3" w:rsidRDefault="001F66C7" w:rsidP="000B1EBD">
            <w:pPr>
              <w:pStyle w:val="TableBodyText"/>
              <w:rPr>
                <w:szCs w:val="20"/>
              </w:rPr>
            </w:pPr>
            <w:r w:rsidRPr="007E1EE3">
              <w:rPr>
                <w:szCs w:val="20"/>
              </w:rPr>
              <w:t>Occupational health and safety policy and performance</w:t>
            </w:r>
          </w:p>
        </w:tc>
        <w:tc>
          <w:tcPr>
            <w:tcW w:w="2118" w:type="dxa"/>
          </w:tcPr>
          <w:p w14:paraId="39E40AA3" w14:textId="0EF9E022" w:rsidR="001F66C7" w:rsidRPr="007E1EE3" w:rsidRDefault="00B62770" w:rsidP="000B1EBD">
            <w:pPr>
              <w:pStyle w:val="TableBodyText"/>
              <w:rPr>
                <w:szCs w:val="20"/>
              </w:rPr>
            </w:pPr>
            <w:r>
              <w:rPr>
                <w:szCs w:val="20"/>
              </w:rPr>
              <w:fldChar w:fldCharType="begin"/>
            </w:r>
            <w:r>
              <w:rPr>
                <w:szCs w:val="20"/>
              </w:rPr>
              <w:instrText xml:space="preserve"> PAGEREF _Ref89797269 \h </w:instrText>
            </w:r>
            <w:r>
              <w:rPr>
                <w:szCs w:val="20"/>
              </w:rPr>
            </w:r>
            <w:r>
              <w:rPr>
                <w:szCs w:val="20"/>
              </w:rPr>
              <w:fldChar w:fldCharType="separate"/>
            </w:r>
            <w:r w:rsidR="00472151">
              <w:rPr>
                <w:noProof/>
                <w:szCs w:val="20"/>
              </w:rPr>
              <w:t>73</w:t>
            </w:r>
            <w:r>
              <w:rPr>
                <w:szCs w:val="20"/>
              </w:rPr>
              <w:fldChar w:fldCharType="end"/>
            </w:r>
            <w:r>
              <w:rPr>
                <w:szCs w:val="20"/>
              </w:rPr>
              <w:t>-</w:t>
            </w:r>
            <w:r>
              <w:rPr>
                <w:szCs w:val="20"/>
              </w:rPr>
              <w:fldChar w:fldCharType="begin"/>
            </w:r>
            <w:r>
              <w:rPr>
                <w:szCs w:val="20"/>
              </w:rPr>
              <w:instrText xml:space="preserve"> PAGEREF _Ref89797299 \h </w:instrText>
            </w:r>
            <w:r>
              <w:rPr>
                <w:szCs w:val="20"/>
              </w:rPr>
            </w:r>
            <w:r>
              <w:rPr>
                <w:szCs w:val="20"/>
              </w:rPr>
              <w:fldChar w:fldCharType="separate"/>
            </w:r>
            <w:r w:rsidR="00472151">
              <w:rPr>
                <w:noProof/>
                <w:szCs w:val="20"/>
              </w:rPr>
              <w:t>75</w:t>
            </w:r>
            <w:r>
              <w:rPr>
                <w:szCs w:val="20"/>
              </w:rPr>
              <w:fldChar w:fldCharType="end"/>
            </w:r>
          </w:p>
        </w:tc>
      </w:tr>
      <w:tr w:rsidR="001F66C7" w:rsidRPr="007E1EE3" w14:paraId="4A254FAC" w14:textId="77777777" w:rsidTr="001F66C7">
        <w:tc>
          <w:tcPr>
            <w:tcW w:w="1418" w:type="dxa"/>
          </w:tcPr>
          <w:p w14:paraId="46ECEC3F" w14:textId="4C5FAC0F" w:rsidR="001F66C7" w:rsidRPr="007E1EE3" w:rsidRDefault="001F66C7" w:rsidP="000B1EBD">
            <w:pPr>
              <w:pStyle w:val="TableBodyText"/>
              <w:rPr>
                <w:szCs w:val="20"/>
              </w:rPr>
            </w:pPr>
            <w:r w:rsidRPr="007E1EE3">
              <w:rPr>
                <w:szCs w:val="20"/>
              </w:rPr>
              <w:t>FRD 221</w:t>
            </w:r>
          </w:p>
        </w:tc>
        <w:tc>
          <w:tcPr>
            <w:tcW w:w="6095" w:type="dxa"/>
          </w:tcPr>
          <w:p w14:paraId="0A2FFC9D" w14:textId="73135E94" w:rsidR="001F66C7" w:rsidRPr="007E1EE3" w:rsidRDefault="001F66C7" w:rsidP="000B1EBD">
            <w:pPr>
              <w:pStyle w:val="TableBodyText"/>
              <w:rPr>
                <w:szCs w:val="20"/>
              </w:rPr>
            </w:pPr>
            <w:r w:rsidRPr="007E1EE3">
              <w:rPr>
                <w:szCs w:val="20"/>
              </w:rPr>
              <w:t>Environmental performance</w:t>
            </w:r>
          </w:p>
        </w:tc>
        <w:tc>
          <w:tcPr>
            <w:tcW w:w="2118" w:type="dxa"/>
          </w:tcPr>
          <w:p w14:paraId="6DFAD0B3" w14:textId="6516456A" w:rsidR="001F66C7" w:rsidRPr="007E1EE3" w:rsidRDefault="00B62770" w:rsidP="000B1EBD">
            <w:pPr>
              <w:pStyle w:val="TableBodyText"/>
              <w:rPr>
                <w:szCs w:val="20"/>
              </w:rPr>
            </w:pPr>
            <w:r>
              <w:rPr>
                <w:szCs w:val="20"/>
              </w:rPr>
              <w:fldChar w:fldCharType="begin"/>
            </w:r>
            <w:r>
              <w:rPr>
                <w:szCs w:val="20"/>
              </w:rPr>
              <w:instrText xml:space="preserve"> PAGEREF _Ref89797399 \h </w:instrText>
            </w:r>
            <w:r>
              <w:rPr>
                <w:szCs w:val="20"/>
              </w:rPr>
            </w:r>
            <w:r>
              <w:rPr>
                <w:szCs w:val="20"/>
              </w:rPr>
              <w:fldChar w:fldCharType="separate"/>
            </w:r>
            <w:r w:rsidR="00472151">
              <w:rPr>
                <w:noProof/>
                <w:szCs w:val="20"/>
              </w:rPr>
              <w:t>53</w:t>
            </w:r>
            <w:r>
              <w:rPr>
                <w:szCs w:val="20"/>
              </w:rPr>
              <w:fldChar w:fldCharType="end"/>
            </w:r>
            <w:r>
              <w:rPr>
                <w:szCs w:val="20"/>
              </w:rPr>
              <w:t>-</w:t>
            </w:r>
            <w:r>
              <w:rPr>
                <w:szCs w:val="20"/>
              </w:rPr>
              <w:fldChar w:fldCharType="begin"/>
            </w:r>
            <w:r>
              <w:rPr>
                <w:szCs w:val="20"/>
              </w:rPr>
              <w:instrText xml:space="preserve"> PAGEREF _Ref89797411 \h </w:instrText>
            </w:r>
            <w:r>
              <w:rPr>
                <w:szCs w:val="20"/>
              </w:rPr>
            </w:r>
            <w:r>
              <w:rPr>
                <w:szCs w:val="20"/>
              </w:rPr>
              <w:fldChar w:fldCharType="separate"/>
            </w:r>
            <w:r w:rsidR="00472151">
              <w:rPr>
                <w:noProof/>
                <w:szCs w:val="20"/>
              </w:rPr>
              <w:t>65</w:t>
            </w:r>
            <w:r>
              <w:rPr>
                <w:szCs w:val="20"/>
              </w:rPr>
              <w:fldChar w:fldCharType="end"/>
            </w:r>
          </w:p>
        </w:tc>
      </w:tr>
      <w:tr w:rsidR="001F66C7" w:rsidRPr="007E1EE3" w14:paraId="1987AB23" w14:textId="77777777" w:rsidTr="001F66C7">
        <w:tc>
          <w:tcPr>
            <w:tcW w:w="1418" w:type="dxa"/>
          </w:tcPr>
          <w:p w14:paraId="50F019B4" w14:textId="270986A7" w:rsidR="001F66C7" w:rsidRPr="007E1EE3" w:rsidRDefault="001F66C7" w:rsidP="000B1EBD">
            <w:pPr>
              <w:pStyle w:val="TableBodyText"/>
              <w:rPr>
                <w:szCs w:val="20"/>
              </w:rPr>
            </w:pPr>
            <w:r w:rsidRPr="007E1EE3">
              <w:rPr>
                <w:szCs w:val="20"/>
              </w:rPr>
              <w:t>FRD 221</w:t>
            </w:r>
          </w:p>
        </w:tc>
        <w:tc>
          <w:tcPr>
            <w:tcW w:w="6095" w:type="dxa"/>
          </w:tcPr>
          <w:p w14:paraId="261701A2" w14:textId="1178DCA0" w:rsidR="001F66C7" w:rsidRPr="007E1EE3" w:rsidRDefault="001F66C7" w:rsidP="000B1EBD">
            <w:pPr>
              <w:pStyle w:val="TableBodyText"/>
              <w:rPr>
                <w:szCs w:val="20"/>
              </w:rPr>
            </w:pPr>
            <w:r w:rsidRPr="007E1EE3">
              <w:rPr>
                <w:szCs w:val="20"/>
              </w:rPr>
              <w:t>Summary of the financial results for the year</w:t>
            </w:r>
          </w:p>
        </w:tc>
        <w:tc>
          <w:tcPr>
            <w:tcW w:w="2118" w:type="dxa"/>
          </w:tcPr>
          <w:p w14:paraId="5BA66543" w14:textId="317BABA1" w:rsidR="001F66C7" w:rsidRPr="007E1EE3" w:rsidRDefault="00B62770" w:rsidP="000B1EBD">
            <w:pPr>
              <w:pStyle w:val="TableBodyText"/>
              <w:rPr>
                <w:szCs w:val="20"/>
              </w:rPr>
            </w:pPr>
            <w:r>
              <w:rPr>
                <w:szCs w:val="20"/>
              </w:rPr>
              <w:fldChar w:fldCharType="begin"/>
            </w:r>
            <w:r>
              <w:rPr>
                <w:szCs w:val="20"/>
              </w:rPr>
              <w:instrText xml:space="preserve"> PAGEREF _Ref89720398 \h </w:instrText>
            </w:r>
            <w:r>
              <w:rPr>
                <w:szCs w:val="20"/>
              </w:rPr>
            </w:r>
            <w:r>
              <w:rPr>
                <w:szCs w:val="20"/>
              </w:rPr>
              <w:fldChar w:fldCharType="separate"/>
            </w:r>
            <w:r w:rsidR="00472151">
              <w:rPr>
                <w:noProof/>
                <w:szCs w:val="20"/>
              </w:rPr>
              <w:t>86</w:t>
            </w:r>
            <w:r>
              <w:rPr>
                <w:szCs w:val="20"/>
              </w:rPr>
              <w:fldChar w:fldCharType="end"/>
            </w:r>
            <w:r>
              <w:rPr>
                <w:szCs w:val="20"/>
              </w:rPr>
              <w:t>-</w:t>
            </w:r>
            <w:r>
              <w:rPr>
                <w:szCs w:val="20"/>
              </w:rPr>
              <w:fldChar w:fldCharType="begin"/>
            </w:r>
            <w:r>
              <w:rPr>
                <w:szCs w:val="20"/>
              </w:rPr>
              <w:instrText xml:space="preserve"> PAGEREF _Ref89797486 \h </w:instrText>
            </w:r>
            <w:r>
              <w:rPr>
                <w:szCs w:val="20"/>
              </w:rPr>
            </w:r>
            <w:r>
              <w:rPr>
                <w:szCs w:val="20"/>
              </w:rPr>
              <w:fldChar w:fldCharType="separate"/>
            </w:r>
            <w:r w:rsidR="00472151">
              <w:rPr>
                <w:noProof/>
                <w:szCs w:val="20"/>
              </w:rPr>
              <w:t>89</w:t>
            </w:r>
            <w:r>
              <w:rPr>
                <w:szCs w:val="20"/>
              </w:rPr>
              <w:fldChar w:fldCharType="end"/>
            </w:r>
          </w:p>
        </w:tc>
      </w:tr>
      <w:tr w:rsidR="001F66C7" w:rsidRPr="007E1EE3" w14:paraId="3DD0545C" w14:textId="77777777" w:rsidTr="001F66C7">
        <w:tc>
          <w:tcPr>
            <w:tcW w:w="1418" w:type="dxa"/>
          </w:tcPr>
          <w:p w14:paraId="0E2E2174" w14:textId="675E524A" w:rsidR="001F66C7" w:rsidRPr="007E1EE3" w:rsidRDefault="001F66C7" w:rsidP="000B1EBD">
            <w:pPr>
              <w:pStyle w:val="TableBodyText"/>
              <w:rPr>
                <w:szCs w:val="20"/>
              </w:rPr>
            </w:pPr>
            <w:r w:rsidRPr="007E1EE3">
              <w:rPr>
                <w:szCs w:val="20"/>
              </w:rPr>
              <w:t>FRD 221</w:t>
            </w:r>
          </w:p>
        </w:tc>
        <w:tc>
          <w:tcPr>
            <w:tcW w:w="6095" w:type="dxa"/>
          </w:tcPr>
          <w:p w14:paraId="1AC624D4" w14:textId="51444282" w:rsidR="001F66C7" w:rsidRPr="007E1EE3" w:rsidRDefault="001F66C7" w:rsidP="000B1EBD">
            <w:pPr>
              <w:pStyle w:val="TableBodyText"/>
              <w:rPr>
                <w:szCs w:val="20"/>
              </w:rPr>
            </w:pPr>
            <w:r w:rsidRPr="007E1EE3">
              <w:rPr>
                <w:szCs w:val="20"/>
              </w:rPr>
              <w:t>Significant changes in financial position during the year</w:t>
            </w:r>
          </w:p>
        </w:tc>
        <w:tc>
          <w:tcPr>
            <w:tcW w:w="2118" w:type="dxa"/>
          </w:tcPr>
          <w:p w14:paraId="3E7F89A5" w14:textId="02954982" w:rsidR="001F66C7" w:rsidRPr="007E1EE3" w:rsidRDefault="00B62770" w:rsidP="000B1EBD">
            <w:pPr>
              <w:pStyle w:val="TableBodyText"/>
              <w:rPr>
                <w:szCs w:val="20"/>
              </w:rPr>
            </w:pPr>
            <w:r>
              <w:rPr>
                <w:szCs w:val="20"/>
              </w:rPr>
              <w:fldChar w:fldCharType="begin"/>
            </w:r>
            <w:r>
              <w:rPr>
                <w:szCs w:val="20"/>
              </w:rPr>
              <w:instrText xml:space="preserve"> PAGEREF _Ref89720398 \h </w:instrText>
            </w:r>
            <w:r>
              <w:rPr>
                <w:szCs w:val="20"/>
              </w:rPr>
            </w:r>
            <w:r>
              <w:rPr>
                <w:szCs w:val="20"/>
              </w:rPr>
              <w:fldChar w:fldCharType="separate"/>
            </w:r>
            <w:r w:rsidR="00472151">
              <w:rPr>
                <w:noProof/>
                <w:szCs w:val="20"/>
              </w:rPr>
              <w:t>86</w:t>
            </w:r>
            <w:r>
              <w:rPr>
                <w:szCs w:val="20"/>
              </w:rPr>
              <w:fldChar w:fldCharType="end"/>
            </w:r>
            <w:r>
              <w:rPr>
                <w:szCs w:val="20"/>
              </w:rPr>
              <w:t>-</w:t>
            </w:r>
            <w:r>
              <w:rPr>
                <w:szCs w:val="20"/>
              </w:rPr>
              <w:fldChar w:fldCharType="begin"/>
            </w:r>
            <w:r>
              <w:rPr>
                <w:szCs w:val="20"/>
              </w:rPr>
              <w:instrText xml:space="preserve"> PAGEREF _Ref89797486 \h </w:instrText>
            </w:r>
            <w:r>
              <w:rPr>
                <w:szCs w:val="20"/>
              </w:rPr>
            </w:r>
            <w:r>
              <w:rPr>
                <w:szCs w:val="20"/>
              </w:rPr>
              <w:fldChar w:fldCharType="separate"/>
            </w:r>
            <w:r w:rsidR="00472151">
              <w:rPr>
                <w:noProof/>
                <w:szCs w:val="20"/>
              </w:rPr>
              <w:t>89</w:t>
            </w:r>
            <w:r>
              <w:rPr>
                <w:szCs w:val="20"/>
              </w:rPr>
              <w:fldChar w:fldCharType="end"/>
            </w:r>
          </w:p>
        </w:tc>
      </w:tr>
      <w:tr w:rsidR="001F66C7" w:rsidRPr="007E1EE3" w14:paraId="37AD9FBC" w14:textId="77777777" w:rsidTr="001F66C7">
        <w:tc>
          <w:tcPr>
            <w:tcW w:w="1418" w:type="dxa"/>
          </w:tcPr>
          <w:p w14:paraId="552D2266" w14:textId="5BF5CCC1" w:rsidR="001F66C7" w:rsidRPr="007E1EE3" w:rsidRDefault="001F66C7" w:rsidP="000B1EBD">
            <w:pPr>
              <w:pStyle w:val="TableBodyText"/>
              <w:rPr>
                <w:szCs w:val="20"/>
              </w:rPr>
            </w:pPr>
            <w:r w:rsidRPr="007E1EE3">
              <w:rPr>
                <w:szCs w:val="20"/>
              </w:rPr>
              <w:t>FRD 221</w:t>
            </w:r>
          </w:p>
        </w:tc>
        <w:tc>
          <w:tcPr>
            <w:tcW w:w="6095" w:type="dxa"/>
          </w:tcPr>
          <w:p w14:paraId="3F8D7600" w14:textId="33BBBABB" w:rsidR="001F66C7" w:rsidRPr="007E1EE3" w:rsidRDefault="00EC28F6" w:rsidP="000B1EBD">
            <w:pPr>
              <w:pStyle w:val="TableBodyText"/>
              <w:rPr>
                <w:szCs w:val="20"/>
              </w:rPr>
            </w:pPr>
            <w:r w:rsidRPr="007E1EE3">
              <w:rPr>
                <w:szCs w:val="20"/>
              </w:rPr>
              <w:t>Significant changes or factors affecting performance</w:t>
            </w:r>
          </w:p>
        </w:tc>
        <w:tc>
          <w:tcPr>
            <w:tcW w:w="2118" w:type="dxa"/>
          </w:tcPr>
          <w:p w14:paraId="30F4BAC3" w14:textId="7AAA4FCF" w:rsidR="001F66C7" w:rsidRPr="007E1EE3" w:rsidRDefault="00BE03CB" w:rsidP="000B1EBD">
            <w:pPr>
              <w:pStyle w:val="TableBodyText"/>
              <w:rPr>
                <w:szCs w:val="20"/>
              </w:rPr>
            </w:pPr>
            <w:r>
              <w:rPr>
                <w:szCs w:val="20"/>
              </w:rPr>
              <w:fldChar w:fldCharType="begin"/>
            </w:r>
            <w:r>
              <w:rPr>
                <w:szCs w:val="20"/>
              </w:rPr>
              <w:instrText xml:space="preserve"> PAGEREF _Ref89720398 \h </w:instrText>
            </w:r>
            <w:r>
              <w:rPr>
                <w:szCs w:val="20"/>
              </w:rPr>
            </w:r>
            <w:r>
              <w:rPr>
                <w:szCs w:val="20"/>
              </w:rPr>
              <w:fldChar w:fldCharType="separate"/>
            </w:r>
            <w:r w:rsidR="00472151">
              <w:rPr>
                <w:noProof/>
                <w:szCs w:val="20"/>
              </w:rPr>
              <w:t>86</w:t>
            </w:r>
            <w:r>
              <w:rPr>
                <w:szCs w:val="20"/>
              </w:rPr>
              <w:fldChar w:fldCharType="end"/>
            </w:r>
            <w:r>
              <w:rPr>
                <w:szCs w:val="20"/>
              </w:rPr>
              <w:t>-</w:t>
            </w:r>
            <w:r>
              <w:rPr>
                <w:szCs w:val="20"/>
              </w:rPr>
              <w:fldChar w:fldCharType="begin"/>
            </w:r>
            <w:r>
              <w:rPr>
                <w:szCs w:val="20"/>
              </w:rPr>
              <w:instrText xml:space="preserve"> PAGEREF _Ref89797486 \h </w:instrText>
            </w:r>
            <w:r>
              <w:rPr>
                <w:szCs w:val="20"/>
              </w:rPr>
            </w:r>
            <w:r>
              <w:rPr>
                <w:szCs w:val="20"/>
              </w:rPr>
              <w:fldChar w:fldCharType="separate"/>
            </w:r>
            <w:r w:rsidR="00472151">
              <w:rPr>
                <w:noProof/>
                <w:szCs w:val="20"/>
              </w:rPr>
              <w:t>89</w:t>
            </w:r>
            <w:r>
              <w:rPr>
                <w:szCs w:val="20"/>
              </w:rPr>
              <w:fldChar w:fldCharType="end"/>
            </w:r>
            <w:r>
              <w:rPr>
                <w:szCs w:val="20"/>
              </w:rPr>
              <w:t xml:space="preserve">, </w:t>
            </w:r>
            <w:r>
              <w:rPr>
                <w:szCs w:val="20"/>
              </w:rPr>
              <w:fldChar w:fldCharType="begin"/>
            </w:r>
            <w:r>
              <w:rPr>
                <w:szCs w:val="20"/>
              </w:rPr>
              <w:instrText xml:space="preserve"> PAGEREF _Ref89718080 \h </w:instrText>
            </w:r>
            <w:r>
              <w:rPr>
                <w:szCs w:val="20"/>
              </w:rPr>
            </w:r>
            <w:r>
              <w:rPr>
                <w:szCs w:val="20"/>
              </w:rPr>
              <w:fldChar w:fldCharType="separate"/>
            </w:r>
            <w:r w:rsidR="00472151">
              <w:rPr>
                <w:noProof/>
                <w:szCs w:val="20"/>
              </w:rPr>
              <w:t>93</w:t>
            </w:r>
            <w:r>
              <w:rPr>
                <w:szCs w:val="20"/>
              </w:rPr>
              <w:fldChar w:fldCharType="end"/>
            </w:r>
            <w:r>
              <w:rPr>
                <w:szCs w:val="20"/>
              </w:rPr>
              <w:t>-</w:t>
            </w:r>
            <w:r>
              <w:rPr>
                <w:szCs w:val="20"/>
              </w:rPr>
              <w:fldChar w:fldCharType="begin"/>
            </w:r>
            <w:r>
              <w:rPr>
                <w:szCs w:val="20"/>
              </w:rPr>
              <w:instrText xml:space="preserve"> PAGEREF _Ref89797616 \h </w:instrText>
            </w:r>
            <w:r>
              <w:rPr>
                <w:szCs w:val="20"/>
              </w:rPr>
            </w:r>
            <w:r>
              <w:rPr>
                <w:szCs w:val="20"/>
              </w:rPr>
              <w:fldChar w:fldCharType="separate"/>
            </w:r>
            <w:r w:rsidR="00472151">
              <w:rPr>
                <w:noProof/>
                <w:szCs w:val="20"/>
              </w:rPr>
              <w:t>93</w:t>
            </w:r>
            <w:r>
              <w:rPr>
                <w:szCs w:val="20"/>
              </w:rPr>
              <w:fldChar w:fldCharType="end"/>
            </w:r>
          </w:p>
        </w:tc>
      </w:tr>
      <w:tr w:rsidR="00EC28F6" w:rsidRPr="007E1EE3" w14:paraId="40BED0AD" w14:textId="77777777" w:rsidTr="001F66C7">
        <w:tc>
          <w:tcPr>
            <w:tcW w:w="1418" w:type="dxa"/>
          </w:tcPr>
          <w:p w14:paraId="0D2AC442" w14:textId="50B10FE6" w:rsidR="00EC28F6" w:rsidRPr="007E1EE3" w:rsidRDefault="00EC28F6" w:rsidP="000B1EBD">
            <w:pPr>
              <w:pStyle w:val="TableBodyText"/>
              <w:rPr>
                <w:szCs w:val="20"/>
              </w:rPr>
            </w:pPr>
            <w:r w:rsidRPr="007E1EE3">
              <w:rPr>
                <w:szCs w:val="20"/>
              </w:rPr>
              <w:t>FRD 221</w:t>
            </w:r>
          </w:p>
        </w:tc>
        <w:tc>
          <w:tcPr>
            <w:tcW w:w="6095" w:type="dxa"/>
          </w:tcPr>
          <w:p w14:paraId="3CB7D27F" w14:textId="16737D8F" w:rsidR="00EC28F6" w:rsidRPr="007E1EE3" w:rsidRDefault="00EC28F6" w:rsidP="000B1EBD">
            <w:pPr>
              <w:pStyle w:val="TableBodyText"/>
              <w:rPr>
                <w:szCs w:val="20"/>
              </w:rPr>
            </w:pPr>
            <w:r w:rsidRPr="007E1EE3">
              <w:rPr>
                <w:szCs w:val="20"/>
              </w:rPr>
              <w:t>Subsequent events</w:t>
            </w:r>
          </w:p>
        </w:tc>
        <w:tc>
          <w:tcPr>
            <w:tcW w:w="2118" w:type="dxa"/>
          </w:tcPr>
          <w:p w14:paraId="731326A7" w14:textId="0089D1AB" w:rsidR="00EC28F6" w:rsidRPr="007E1EE3" w:rsidRDefault="00BE03CB" w:rsidP="000B1EBD">
            <w:pPr>
              <w:pStyle w:val="TableBodyText"/>
              <w:rPr>
                <w:szCs w:val="20"/>
              </w:rPr>
            </w:pPr>
            <w:r>
              <w:rPr>
                <w:szCs w:val="20"/>
              </w:rPr>
              <w:fldChar w:fldCharType="begin"/>
            </w:r>
            <w:r>
              <w:rPr>
                <w:szCs w:val="20"/>
              </w:rPr>
              <w:instrText xml:space="preserve"> PAGEREF _Ref89798947 \h </w:instrText>
            </w:r>
            <w:r>
              <w:rPr>
                <w:szCs w:val="20"/>
              </w:rPr>
            </w:r>
            <w:r>
              <w:rPr>
                <w:szCs w:val="20"/>
              </w:rPr>
              <w:fldChar w:fldCharType="separate"/>
            </w:r>
            <w:r w:rsidR="00472151">
              <w:rPr>
                <w:noProof/>
                <w:szCs w:val="20"/>
              </w:rPr>
              <w:t>93</w:t>
            </w:r>
            <w:r>
              <w:rPr>
                <w:szCs w:val="20"/>
              </w:rPr>
              <w:fldChar w:fldCharType="end"/>
            </w:r>
          </w:p>
        </w:tc>
      </w:tr>
      <w:tr w:rsidR="00EC28F6" w:rsidRPr="007E1EE3" w14:paraId="068BEE8E" w14:textId="77777777" w:rsidTr="001F66C7">
        <w:tc>
          <w:tcPr>
            <w:tcW w:w="1418" w:type="dxa"/>
          </w:tcPr>
          <w:p w14:paraId="6CF34512" w14:textId="068E9144" w:rsidR="00EC28F6" w:rsidRPr="007E1EE3" w:rsidRDefault="00EC28F6" w:rsidP="000B1EBD">
            <w:pPr>
              <w:pStyle w:val="TableBodyText"/>
              <w:rPr>
                <w:szCs w:val="20"/>
              </w:rPr>
            </w:pPr>
            <w:r w:rsidRPr="007E1EE3">
              <w:rPr>
                <w:szCs w:val="20"/>
              </w:rPr>
              <w:t>FRD 221</w:t>
            </w:r>
          </w:p>
        </w:tc>
        <w:tc>
          <w:tcPr>
            <w:tcW w:w="6095" w:type="dxa"/>
          </w:tcPr>
          <w:p w14:paraId="4BADC6BD" w14:textId="7DD6A9F3" w:rsidR="00EC28F6" w:rsidRPr="007E1EE3" w:rsidRDefault="00EC28F6" w:rsidP="000B1EBD">
            <w:pPr>
              <w:pStyle w:val="TableBodyText"/>
              <w:rPr>
                <w:szCs w:val="20"/>
              </w:rPr>
            </w:pPr>
            <w:r w:rsidRPr="007E1EE3">
              <w:rPr>
                <w:szCs w:val="20"/>
              </w:rPr>
              <w:t xml:space="preserve">Application and operation of </w:t>
            </w:r>
            <w:r w:rsidRPr="007E1EE3">
              <w:rPr>
                <w:rStyle w:val="ItalicText"/>
                <w:szCs w:val="20"/>
              </w:rPr>
              <w:t>Freedom of Information Act 1982</w:t>
            </w:r>
          </w:p>
        </w:tc>
        <w:tc>
          <w:tcPr>
            <w:tcW w:w="2118" w:type="dxa"/>
          </w:tcPr>
          <w:p w14:paraId="64AE1C98" w14:textId="428DC323" w:rsidR="00EC28F6" w:rsidRPr="007E1EE3" w:rsidRDefault="00BE03CB" w:rsidP="000B1EBD">
            <w:pPr>
              <w:pStyle w:val="TableBodyText"/>
              <w:rPr>
                <w:szCs w:val="20"/>
              </w:rPr>
            </w:pPr>
            <w:r>
              <w:rPr>
                <w:szCs w:val="20"/>
              </w:rPr>
              <w:fldChar w:fldCharType="begin"/>
            </w:r>
            <w:r>
              <w:rPr>
                <w:szCs w:val="20"/>
              </w:rPr>
              <w:instrText xml:space="preserve"> PAGEREF _Ref89798998 \h </w:instrText>
            </w:r>
            <w:r>
              <w:rPr>
                <w:szCs w:val="20"/>
              </w:rPr>
            </w:r>
            <w:r>
              <w:rPr>
                <w:szCs w:val="20"/>
              </w:rPr>
              <w:fldChar w:fldCharType="separate"/>
            </w:r>
            <w:r w:rsidR="00472151">
              <w:rPr>
                <w:noProof/>
                <w:szCs w:val="20"/>
              </w:rPr>
              <w:t>93</w:t>
            </w:r>
            <w:r>
              <w:rPr>
                <w:szCs w:val="20"/>
              </w:rPr>
              <w:fldChar w:fldCharType="end"/>
            </w:r>
          </w:p>
        </w:tc>
      </w:tr>
      <w:tr w:rsidR="00EC28F6" w:rsidRPr="007E1EE3" w14:paraId="3C6543E2" w14:textId="77777777" w:rsidTr="001F66C7">
        <w:tc>
          <w:tcPr>
            <w:tcW w:w="1418" w:type="dxa"/>
          </w:tcPr>
          <w:p w14:paraId="5515F17C" w14:textId="2CEB5532" w:rsidR="00EC28F6" w:rsidRPr="007E1EE3" w:rsidRDefault="00EC28F6" w:rsidP="000B1EBD">
            <w:pPr>
              <w:pStyle w:val="TableBodyText"/>
              <w:rPr>
                <w:szCs w:val="20"/>
              </w:rPr>
            </w:pPr>
            <w:r w:rsidRPr="007E1EE3">
              <w:rPr>
                <w:szCs w:val="20"/>
              </w:rPr>
              <w:lastRenderedPageBreak/>
              <w:t>FRD 221</w:t>
            </w:r>
          </w:p>
        </w:tc>
        <w:tc>
          <w:tcPr>
            <w:tcW w:w="6095" w:type="dxa"/>
          </w:tcPr>
          <w:p w14:paraId="45DDF73E" w14:textId="2A3803A1" w:rsidR="00EC28F6" w:rsidRPr="007E1EE3" w:rsidRDefault="00EC28F6" w:rsidP="000B1EBD">
            <w:pPr>
              <w:pStyle w:val="TableBodyText"/>
              <w:rPr>
                <w:rStyle w:val="ItalicText"/>
                <w:szCs w:val="20"/>
              </w:rPr>
            </w:pPr>
            <w:r w:rsidRPr="007E1EE3">
              <w:rPr>
                <w:rStyle w:val="ItalicText"/>
                <w:szCs w:val="20"/>
              </w:rPr>
              <w:t>Building Act 1993</w:t>
            </w:r>
          </w:p>
        </w:tc>
        <w:tc>
          <w:tcPr>
            <w:tcW w:w="2118" w:type="dxa"/>
          </w:tcPr>
          <w:p w14:paraId="6F62CD27" w14:textId="04B86CB9" w:rsidR="00EC28F6" w:rsidRPr="007E1EE3" w:rsidRDefault="00BE03CB" w:rsidP="000B1EBD">
            <w:pPr>
              <w:pStyle w:val="TableBodyText"/>
              <w:rPr>
                <w:szCs w:val="20"/>
              </w:rPr>
            </w:pPr>
            <w:r>
              <w:rPr>
                <w:szCs w:val="20"/>
              </w:rPr>
              <w:fldChar w:fldCharType="begin"/>
            </w:r>
            <w:r>
              <w:rPr>
                <w:szCs w:val="20"/>
              </w:rPr>
              <w:instrText xml:space="preserve"> PAGEREF _Ref89799046 \h </w:instrText>
            </w:r>
            <w:r>
              <w:rPr>
                <w:szCs w:val="20"/>
              </w:rPr>
            </w:r>
            <w:r>
              <w:rPr>
                <w:szCs w:val="20"/>
              </w:rPr>
              <w:fldChar w:fldCharType="separate"/>
            </w:r>
            <w:r w:rsidR="00472151">
              <w:rPr>
                <w:noProof/>
                <w:szCs w:val="20"/>
              </w:rPr>
              <w:t>93</w:t>
            </w:r>
            <w:r>
              <w:rPr>
                <w:szCs w:val="20"/>
              </w:rPr>
              <w:fldChar w:fldCharType="end"/>
            </w:r>
          </w:p>
        </w:tc>
      </w:tr>
      <w:tr w:rsidR="00EC28F6" w:rsidRPr="007E1EE3" w14:paraId="1A73655F" w14:textId="77777777" w:rsidTr="001F66C7">
        <w:tc>
          <w:tcPr>
            <w:tcW w:w="1418" w:type="dxa"/>
          </w:tcPr>
          <w:p w14:paraId="38E277E2" w14:textId="64CC3FA6" w:rsidR="00EC28F6" w:rsidRPr="007E1EE3" w:rsidRDefault="00EC28F6" w:rsidP="000B1EBD">
            <w:pPr>
              <w:pStyle w:val="TableBodyText"/>
              <w:rPr>
                <w:szCs w:val="20"/>
              </w:rPr>
            </w:pPr>
            <w:r w:rsidRPr="007E1EE3">
              <w:rPr>
                <w:szCs w:val="20"/>
              </w:rPr>
              <w:t>FRD 221</w:t>
            </w:r>
          </w:p>
        </w:tc>
        <w:tc>
          <w:tcPr>
            <w:tcW w:w="6095" w:type="dxa"/>
          </w:tcPr>
          <w:p w14:paraId="631DE24E" w14:textId="2993EF7A" w:rsidR="00EC28F6" w:rsidRPr="007E1EE3" w:rsidRDefault="00EC28F6" w:rsidP="000B1EBD">
            <w:pPr>
              <w:pStyle w:val="TableBodyText"/>
              <w:rPr>
                <w:szCs w:val="20"/>
              </w:rPr>
            </w:pPr>
            <w:r w:rsidRPr="007E1EE3">
              <w:rPr>
                <w:szCs w:val="20"/>
              </w:rPr>
              <w:t>Competitive Neutrality Policy</w:t>
            </w:r>
          </w:p>
        </w:tc>
        <w:tc>
          <w:tcPr>
            <w:tcW w:w="2118" w:type="dxa"/>
          </w:tcPr>
          <w:p w14:paraId="0C7FB5F0" w14:textId="691F367A" w:rsidR="00EC28F6" w:rsidRPr="007E1EE3" w:rsidRDefault="00BE03CB" w:rsidP="000B1EBD">
            <w:pPr>
              <w:pStyle w:val="TableBodyText"/>
              <w:rPr>
                <w:szCs w:val="20"/>
              </w:rPr>
            </w:pPr>
            <w:r>
              <w:rPr>
                <w:szCs w:val="20"/>
              </w:rPr>
              <w:fldChar w:fldCharType="begin"/>
            </w:r>
            <w:r>
              <w:rPr>
                <w:szCs w:val="20"/>
              </w:rPr>
              <w:instrText xml:space="preserve"> PAGEREF _Ref89799074 \h </w:instrText>
            </w:r>
            <w:r>
              <w:rPr>
                <w:szCs w:val="20"/>
              </w:rPr>
            </w:r>
            <w:r>
              <w:rPr>
                <w:szCs w:val="20"/>
              </w:rPr>
              <w:fldChar w:fldCharType="separate"/>
            </w:r>
            <w:r w:rsidR="00472151">
              <w:rPr>
                <w:noProof/>
                <w:szCs w:val="20"/>
              </w:rPr>
              <w:t>93</w:t>
            </w:r>
            <w:r>
              <w:rPr>
                <w:szCs w:val="20"/>
              </w:rPr>
              <w:fldChar w:fldCharType="end"/>
            </w:r>
          </w:p>
        </w:tc>
      </w:tr>
      <w:tr w:rsidR="00EC28F6" w:rsidRPr="007E1EE3" w14:paraId="3A2AE003" w14:textId="77777777" w:rsidTr="001F66C7">
        <w:tc>
          <w:tcPr>
            <w:tcW w:w="1418" w:type="dxa"/>
          </w:tcPr>
          <w:p w14:paraId="2A9B6744" w14:textId="56FBE452" w:rsidR="00EC28F6" w:rsidRPr="007E1EE3" w:rsidRDefault="00EC28F6" w:rsidP="000B1EBD">
            <w:pPr>
              <w:pStyle w:val="TableBodyText"/>
              <w:rPr>
                <w:szCs w:val="20"/>
              </w:rPr>
            </w:pPr>
            <w:r w:rsidRPr="007E1EE3">
              <w:rPr>
                <w:szCs w:val="20"/>
              </w:rPr>
              <w:t>FRD 221</w:t>
            </w:r>
          </w:p>
        </w:tc>
        <w:tc>
          <w:tcPr>
            <w:tcW w:w="6095" w:type="dxa"/>
          </w:tcPr>
          <w:p w14:paraId="26D554A7" w14:textId="19E31B5C" w:rsidR="00EC28F6" w:rsidRPr="007E1EE3" w:rsidRDefault="00EC28F6" w:rsidP="000B1EBD">
            <w:pPr>
              <w:pStyle w:val="TableBodyText"/>
              <w:rPr>
                <w:rStyle w:val="ItalicText"/>
                <w:szCs w:val="20"/>
              </w:rPr>
            </w:pPr>
            <w:r w:rsidRPr="007E1EE3">
              <w:rPr>
                <w:rStyle w:val="ItalicText"/>
                <w:szCs w:val="20"/>
              </w:rPr>
              <w:t>Public Interest Disclosure Act 2012</w:t>
            </w:r>
          </w:p>
        </w:tc>
        <w:tc>
          <w:tcPr>
            <w:tcW w:w="2118" w:type="dxa"/>
          </w:tcPr>
          <w:p w14:paraId="611D3FF1" w14:textId="76AD69F2" w:rsidR="00EC28F6" w:rsidRPr="007E1EE3" w:rsidRDefault="00BE03CB" w:rsidP="000B1EBD">
            <w:pPr>
              <w:pStyle w:val="TableBodyText"/>
              <w:rPr>
                <w:szCs w:val="20"/>
              </w:rPr>
            </w:pPr>
            <w:r>
              <w:rPr>
                <w:szCs w:val="20"/>
              </w:rPr>
              <w:fldChar w:fldCharType="begin"/>
            </w:r>
            <w:r>
              <w:rPr>
                <w:szCs w:val="20"/>
              </w:rPr>
              <w:instrText xml:space="preserve"> PAGEREF _Ref89799094 \h </w:instrText>
            </w:r>
            <w:r>
              <w:rPr>
                <w:szCs w:val="20"/>
              </w:rPr>
            </w:r>
            <w:r>
              <w:rPr>
                <w:szCs w:val="20"/>
              </w:rPr>
              <w:fldChar w:fldCharType="separate"/>
            </w:r>
            <w:r w:rsidR="00472151">
              <w:rPr>
                <w:noProof/>
                <w:szCs w:val="20"/>
              </w:rPr>
              <w:t>93</w:t>
            </w:r>
            <w:r>
              <w:rPr>
                <w:szCs w:val="20"/>
              </w:rPr>
              <w:fldChar w:fldCharType="end"/>
            </w:r>
          </w:p>
        </w:tc>
      </w:tr>
      <w:tr w:rsidR="00EC28F6" w:rsidRPr="007E1EE3" w14:paraId="729657E2" w14:textId="77777777" w:rsidTr="001F66C7">
        <w:tc>
          <w:tcPr>
            <w:tcW w:w="1418" w:type="dxa"/>
          </w:tcPr>
          <w:p w14:paraId="2F09EF34" w14:textId="400ED98D" w:rsidR="00EC28F6" w:rsidRPr="007E1EE3" w:rsidRDefault="00EC28F6" w:rsidP="000B1EBD">
            <w:pPr>
              <w:pStyle w:val="TableBodyText"/>
              <w:rPr>
                <w:szCs w:val="20"/>
              </w:rPr>
            </w:pPr>
            <w:r w:rsidRPr="007E1EE3">
              <w:rPr>
                <w:szCs w:val="20"/>
              </w:rPr>
              <w:t>FRD 221</w:t>
            </w:r>
          </w:p>
        </w:tc>
        <w:tc>
          <w:tcPr>
            <w:tcW w:w="6095" w:type="dxa"/>
          </w:tcPr>
          <w:p w14:paraId="2B2A763C" w14:textId="339DEEF4" w:rsidR="00EC28F6" w:rsidRPr="007E1EE3" w:rsidRDefault="00EC28F6" w:rsidP="000B1EBD">
            <w:pPr>
              <w:pStyle w:val="TableBodyText"/>
              <w:rPr>
                <w:szCs w:val="20"/>
              </w:rPr>
            </w:pPr>
            <w:r w:rsidRPr="007E1EE3">
              <w:rPr>
                <w:szCs w:val="20"/>
              </w:rPr>
              <w:t>Statement of availability of other information</w:t>
            </w:r>
          </w:p>
        </w:tc>
        <w:tc>
          <w:tcPr>
            <w:tcW w:w="2118" w:type="dxa"/>
          </w:tcPr>
          <w:p w14:paraId="17069532" w14:textId="5753FA4D" w:rsidR="00EC28F6" w:rsidRPr="007E1EE3" w:rsidRDefault="00731F03" w:rsidP="000B1EBD">
            <w:pPr>
              <w:pStyle w:val="TableBodyText"/>
              <w:rPr>
                <w:szCs w:val="20"/>
              </w:rPr>
            </w:pPr>
            <w:r>
              <w:rPr>
                <w:szCs w:val="20"/>
              </w:rPr>
              <w:fldChar w:fldCharType="begin"/>
            </w:r>
            <w:r>
              <w:rPr>
                <w:szCs w:val="20"/>
              </w:rPr>
              <w:instrText xml:space="preserve"> PAGEREF _Ref89799128 \h </w:instrText>
            </w:r>
            <w:r>
              <w:rPr>
                <w:szCs w:val="20"/>
              </w:rPr>
            </w:r>
            <w:r>
              <w:rPr>
                <w:szCs w:val="20"/>
              </w:rPr>
              <w:fldChar w:fldCharType="separate"/>
            </w:r>
            <w:r w:rsidR="00472151">
              <w:rPr>
                <w:noProof/>
                <w:szCs w:val="20"/>
              </w:rPr>
              <w:t>93</w:t>
            </w:r>
            <w:r>
              <w:rPr>
                <w:szCs w:val="20"/>
              </w:rPr>
              <w:fldChar w:fldCharType="end"/>
            </w:r>
          </w:p>
        </w:tc>
      </w:tr>
      <w:tr w:rsidR="00EC28F6" w:rsidRPr="007E1EE3" w14:paraId="52A0EFFF" w14:textId="77777777" w:rsidTr="001F66C7">
        <w:tc>
          <w:tcPr>
            <w:tcW w:w="1418" w:type="dxa"/>
          </w:tcPr>
          <w:p w14:paraId="6A0E8569" w14:textId="2F3E0BF1" w:rsidR="00EC28F6" w:rsidRPr="007E1EE3" w:rsidRDefault="00EC28F6" w:rsidP="000B1EBD">
            <w:pPr>
              <w:pStyle w:val="TableBodyText"/>
              <w:rPr>
                <w:szCs w:val="20"/>
              </w:rPr>
            </w:pPr>
            <w:r w:rsidRPr="007E1EE3">
              <w:rPr>
                <w:szCs w:val="20"/>
              </w:rPr>
              <w:t>FRD 221</w:t>
            </w:r>
          </w:p>
        </w:tc>
        <w:tc>
          <w:tcPr>
            <w:tcW w:w="6095" w:type="dxa"/>
          </w:tcPr>
          <w:p w14:paraId="4A210029" w14:textId="378B3CBC" w:rsidR="00EC28F6" w:rsidRPr="007E1EE3" w:rsidRDefault="00EC28F6" w:rsidP="000B1EBD">
            <w:pPr>
              <w:pStyle w:val="TableBodyText"/>
              <w:rPr>
                <w:szCs w:val="20"/>
              </w:rPr>
            </w:pPr>
            <w:r w:rsidRPr="007E1EE3">
              <w:rPr>
                <w:szCs w:val="20"/>
              </w:rPr>
              <w:t>Government advertising expenditure</w:t>
            </w:r>
          </w:p>
        </w:tc>
        <w:tc>
          <w:tcPr>
            <w:tcW w:w="2118" w:type="dxa"/>
          </w:tcPr>
          <w:p w14:paraId="6F0FF7C3" w14:textId="2874BBA6" w:rsidR="00EC28F6" w:rsidRPr="007E1EE3" w:rsidRDefault="00731F03" w:rsidP="000B1EBD">
            <w:pPr>
              <w:pStyle w:val="TableBodyText"/>
              <w:rPr>
                <w:szCs w:val="20"/>
              </w:rPr>
            </w:pPr>
            <w:r>
              <w:rPr>
                <w:szCs w:val="20"/>
              </w:rPr>
              <w:fldChar w:fldCharType="begin"/>
            </w:r>
            <w:r>
              <w:rPr>
                <w:szCs w:val="20"/>
              </w:rPr>
              <w:instrText xml:space="preserve"> PAGEREF _Ref89799161 \h </w:instrText>
            </w:r>
            <w:r>
              <w:rPr>
                <w:szCs w:val="20"/>
              </w:rPr>
            </w:r>
            <w:r>
              <w:rPr>
                <w:szCs w:val="20"/>
              </w:rPr>
              <w:fldChar w:fldCharType="separate"/>
            </w:r>
            <w:r w:rsidR="00472151">
              <w:rPr>
                <w:noProof/>
                <w:szCs w:val="20"/>
              </w:rPr>
              <w:t>93</w:t>
            </w:r>
            <w:r>
              <w:rPr>
                <w:szCs w:val="20"/>
              </w:rPr>
              <w:fldChar w:fldCharType="end"/>
            </w:r>
          </w:p>
        </w:tc>
      </w:tr>
      <w:tr w:rsidR="00EC28F6" w:rsidRPr="007E1EE3" w14:paraId="1C301269" w14:textId="77777777" w:rsidTr="001F66C7">
        <w:tc>
          <w:tcPr>
            <w:tcW w:w="1418" w:type="dxa"/>
          </w:tcPr>
          <w:p w14:paraId="43603AB5" w14:textId="66DAEDD5" w:rsidR="00EC28F6" w:rsidRPr="007E1EE3" w:rsidRDefault="00EC28F6" w:rsidP="000B1EBD">
            <w:pPr>
              <w:pStyle w:val="TableBodyText"/>
              <w:rPr>
                <w:szCs w:val="20"/>
              </w:rPr>
            </w:pPr>
            <w:r w:rsidRPr="007E1EE3">
              <w:rPr>
                <w:szCs w:val="20"/>
              </w:rPr>
              <w:t>FRD 221</w:t>
            </w:r>
          </w:p>
        </w:tc>
        <w:tc>
          <w:tcPr>
            <w:tcW w:w="6095" w:type="dxa"/>
          </w:tcPr>
          <w:p w14:paraId="5DB90EE3" w14:textId="1FBA8C56" w:rsidR="00EC28F6" w:rsidRPr="007E1EE3" w:rsidRDefault="00EC28F6" w:rsidP="000B1EBD">
            <w:pPr>
              <w:pStyle w:val="TableBodyText"/>
              <w:rPr>
                <w:szCs w:val="20"/>
              </w:rPr>
            </w:pPr>
            <w:r w:rsidRPr="007E1EE3">
              <w:rPr>
                <w:szCs w:val="20"/>
              </w:rPr>
              <w:t>Consultancy expenditure</w:t>
            </w:r>
          </w:p>
        </w:tc>
        <w:tc>
          <w:tcPr>
            <w:tcW w:w="2118" w:type="dxa"/>
          </w:tcPr>
          <w:p w14:paraId="1F7D1234" w14:textId="072D0CB9" w:rsidR="00EC28F6" w:rsidRPr="007E1EE3" w:rsidRDefault="00731F03" w:rsidP="000B1EBD">
            <w:pPr>
              <w:pStyle w:val="TableBodyText"/>
              <w:rPr>
                <w:szCs w:val="20"/>
              </w:rPr>
            </w:pPr>
            <w:r>
              <w:rPr>
                <w:szCs w:val="20"/>
              </w:rPr>
              <w:fldChar w:fldCharType="begin"/>
            </w:r>
            <w:r>
              <w:rPr>
                <w:szCs w:val="20"/>
              </w:rPr>
              <w:instrText xml:space="preserve"> PAGEREF _Ref89799196 \h </w:instrText>
            </w:r>
            <w:r>
              <w:rPr>
                <w:szCs w:val="20"/>
              </w:rPr>
            </w:r>
            <w:r>
              <w:rPr>
                <w:szCs w:val="20"/>
              </w:rPr>
              <w:fldChar w:fldCharType="separate"/>
            </w:r>
            <w:r w:rsidR="00472151">
              <w:rPr>
                <w:noProof/>
                <w:szCs w:val="20"/>
              </w:rPr>
              <w:t>93</w:t>
            </w:r>
            <w:r>
              <w:rPr>
                <w:szCs w:val="20"/>
              </w:rPr>
              <w:fldChar w:fldCharType="end"/>
            </w:r>
          </w:p>
        </w:tc>
      </w:tr>
      <w:tr w:rsidR="00EC28F6" w:rsidRPr="007E1EE3" w14:paraId="6CECC2CC" w14:textId="77777777" w:rsidTr="001F66C7">
        <w:tc>
          <w:tcPr>
            <w:tcW w:w="1418" w:type="dxa"/>
          </w:tcPr>
          <w:p w14:paraId="0DF065DD" w14:textId="6F05C772" w:rsidR="00EC28F6" w:rsidRPr="007E1EE3" w:rsidRDefault="00EC28F6" w:rsidP="000B1EBD">
            <w:pPr>
              <w:pStyle w:val="TableBodyText"/>
              <w:rPr>
                <w:szCs w:val="20"/>
              </w:rPr>
            </w:pPr>
            <w:r w:rsidRPr="007E1EE3">
              <w:rPr>
                <w:szCs w:val="20"/>
              </w:rPr>
              <w:t>FRD 221</w:t>
            </w:r>
          </w:p>
        </w:tc>
        <w:tc>
          <w:tcPr>
            <w:tcW w:w="6095" w:type="dxa"/>
          </w:tcPr>
          <w:p w14:paraId="5A80768C" w14:textId="4F5EB816" w:rsidR="00EC28F6" w:rsidRPr="007E1EE3" w:rsidRDefault="00EC28F6" w:rsidP="000B1EBD">
            <w:pPr>
              <w:pStyle w:val="TableBodyText"/>
              <w:rPr>
                <w:szCs w:val="20"/>
              </w:rPr>
            </w:pPr>
            <w:r w:rsidRPr="007E1EE3">
              <w:rPr>
                <w:szCs w:val="20"/>
              </w:rPr>
              <w:t>Disclosure of ICT expenditure</w:t>
            </w:r>
          </w:p>
        </w:tc>
        <w:tc>
          <w:tcPr>
            <w:tcW w:w="2118" w:type="dxa"/>
          </w:tcPr>
          <w:p w14:paraId="0D50B998" w14:textId="4FEDC0B2" w:rsidR="00EC28F6" w:rsidRPr="007E1EE3" w:rsidRDefault="00731F03" w:rsidP="000B1EBD">
            <w:pPr>
              <w:pStyle w:val="TableBodyText"/>
              <w:rPr>
                <w:szCs w:val="20"/>
              </w:rPr>
            </w:pPr>
            <w:r>
              <w:rPr>
                <w:szCs w:val="20"/>
              </w:rPr>
              <w:fldChar w:fldCharType="begin"/>
            </w:r>
            <w:r>
              <w:rPr>
                <w:szCs w:val="20"/>
              </w:rPr>
              <w:instrText xml:space="preserve"> PAGEREF _Ref89799202 \h </w:instrText>
            </w:r>
            <w:r>
              <w:rPr>
                <w:szCs w:val="20"/>
              </w:rPr>
            </w:r>
            <w:r>
              <w:rPr>
                <w:szCs w:val="20"/>
              </w:rPr>
              <w:fldChar w:fldCharType="separate"/>
            </w:r>
            <w:r w:rsidR="00472151">
              <w:rPr>
                <w:noProof/>
                <w:szCs w:val="20"/>
              </w:rPr>
              <w:t>93</w:t>
            </w:r>
            <w:r>
              <w:rPr>
                <w:szCs w:val="20"/>
              </w:rPr>
              <w:fldChar w:fldCharType="end"/>
            </w:r>
          </w:p>
        </w:tc>
      </w:tr>
      <w:tr w:rsidR="00EC28F6" w:rsidRPr="007E1EE3" w14:paraId="7E3F08FD" w14:textId="77777777" w:rsidTr="001F66C7">
        <w:tc>
          <w:tcPr>
            <w:tcW w:w="1418" w:type="dxa"/>
          </w:tcPr>
          <w:p w14:paraId="43A6559A" w14:textId="3D136173" w:rsidR="00EC28F6" w:rsidRPr="007E1EE3" w:rsidRDefault="00EC28F6" w:rsidP="000B1EBD">
            <w:pPr>
              <w:pStyle w:val="TableBodyText"/>
              <w:rPr>
                <w:szCs w:val="20"/>
              </w:rPr>
            </w:pPr>
            <w:r w:rsidRPr="007E1EE3">
              <w:rPr>
                <w:szCs w:val="20"/>
              </w:rPr>
              <w:t>FRD 221</w:t>
            </w:r>
          </w:p>
        </w:tc>
        <w:tc>
          <w:tcPr>
            <w:tcW w:w="6095" w:type="dxa"/>
          </w:tcPr>
          <w:p w14:paraId="5F2EDB98" w14:textId="77624DC3" w:rsidR="00EC28F6" w:rsidRPr="007E1EE3" w:rsidRDefault="00EC28F6" w:rsidP="000B1EBD">
            <w:pPr>
              <w:pStyle w:val="TableBodyText"/>
              <w:rPr>
                <w:szCs w:val="20"/>
              </w:rPr>
            </w:pPr>
            <w:r w:rsidRPr="007E1EE3">
              <w:rPr>
                <w:szCs w:val="20"/>
              </w:rPr>
              <w:t>Workforce Inclusion Policy</w:t>
            </w:r>
          </w:p>
        </w:tc>
        <w:tc>
          <w:tcPr>
            <w:tcW w:w="2118" w:type="dxa"/>
          </w:tcPr>
          <w:p w14:paraId="23AB5094" w14:textId="1F2614C0" w:rsidR="00EC28F6" w:rsidRPr="007E1EE3" w:rsidRDefault="007E7528" w:rsidP="000B1EBD">
            <w:pPr>
              <w:pStyle w:val="TableBodyText"/>
              <w:rPr>
                <w:szCs w:val="20"/>
              </w:rPr>
            </w:pPr>
            <w:r>
              <w:rPr>
                <w:szCs w:val="20"/>
              </w:rPr>
              <w:fldChar w:fldCharType="begin"/>
            </w:r>
            <w:r>
              <w:rPr>
                <w:szCs w:val="20"/>
              </w:rPr>
              <w:instrText xml:space="preserve"> PAGEREF _Ref89799913 \h </w:instrText>
            </w:r>
            <w:r>
              <w:rPr>
                <w:szCs w:val="20"/>
              </w:rPr>
            </w:r>
            <w:r>
              <w:rPr>
                <w:szCs w:val="20"/>
              </w:rPr>
              <w:fldChar w:fldCharType="separate"/>
            </w:r>
            <w:r w:rsidR="00472151">
              <w:rPr>
                <w:noProof/>
                <w:szCs w:val="20"/>
              </w:rPr>
              <w:t>67</w:t>
            </w:r>
            <w:r>
              <w:rPr>
                <w:szCs w:val="20"/>
              </w:rPr>
              <w:fldChar w:fldCharType="end"/>
            </w:r>
            <w:r>
              <w:rPr>
                <w:szCs w:val="20"/>
              </w:rPr>
              <w:t>-</w:t>
            </w:r>
            <w:r>
              <w:rPr>
                <w:szCs w:val="20"/>
              </w:rPr>
              <w:fldChar w:fldCharType="begin"/>
            </w:r>
            <w:r>
              <w:rPr>
                <w:szCs w:val="20"/>
              </w:rPr>
              <w:instrText xml:space="preserve"> PAGEREF _Ref89799922 \h </w:instrText>
            </w:r>
            <w:r>
              <w:rPr>
                <w:szCs w:val="20"/>
              </w:rPr>
            </w:r>
            <w:r>
              <w:rPr>
                <w:szCs w:val="20"/>
              </w:rPr>
              <w:fldChar w:fldCharType="separate"/>
            </w:r>
            <w:r w:rsidR="00472151">
              <w:rPr>
                <w:noProof/>
                <w:szCs w:val="20"/>
              </w:rPr>
              <w:t>68</w:t>
            </w:r>
            <w:r>
              <w:rPr>
                <w:szCs w:val="20"/>
              </w:rPr>
              <w:fldChar w:fldCharType="end"/>
            </w:r>
          </w:p>
        </w:tc>
      </w:tr>
      <w:tr w:rsidR="00EC28F6" w:rsidRPr="007E1EE3" w14:paraId="695B7D05" w14:textId="77777777" w:rsidTr="001F66C7">
        <w:tc>
          <w:tcPr>
            <w:tcW w:w="1418" w:type="dxa"/>
          </w:tcPr>
          <w:p w14:paraId="3EF84E2D" w14:textId="1F800BE7" w:rsidR="00EC28F6" w:rsidRPr="007E1EE3" w:rsidRDefault="00EC28F6" w:rsidP="000B1EBD">
            <w:pPr>
              <w:pStyle w:val="TableBodyText"/>
              <w:rPr>
                <w:szCs w:val="20"/>
              </w:rPr>
            </w:pPr>
            <w:r w:rsidRPr="007E1EE3">
              <w:rPr>
                <w:szCs w:val="20"/>
              </w:rPr>
              <w:t>FRD 221</w:t>
            </w:r>
          </w:p>
        </w:tc>
        <w:tc>
          <w:tcPr>
            <w:tcW w:w="6095" w:type="dxa"/>
          </w:tcPr>
          <w:p w14:paraId="56DBFCF2" w14:textId="09EACD6E" w:rsidR="00EC28F6" w:rsidRPr="007E1EE3" w:rsidRDefault="00EC28F6" w:rsidP="000B1EBD">
            <w:pPr>
              <w:pStyle w:val="TableBodyText"/>
              <w:rPr>
                <w:szCs w:val="20"/>
              </w:rPr>
            </w:pPr>
            <w:r w:rsidRPr="007E1EE3">
              <w:rPr>
                <w:szCs w:val="20"/>
              </w:rPr>
              <w:t>Asset Management Accountability Framework maturity assessment</w:t>
            </w:r>
          </w:p>
        </w:tc>
        <w:tc>
          <w:tcPr>
            <w:tcW w:w="2118" w:type="dxa"/>
          </w:tcPr>
          <w:p w14:paraId="5083BFA2" w14:textId="1F6164C3" w:rsidR="00EC28F6" w:rsidRPr="007E1EE3" w:rsidRDefault="007E7528" w:rsidP="000B1EBD">
            <w:pPr>
              <w:pStyle w:val="TableBodyText"/>
              <w:rPr>
                <w:szCs w:val="20"/>
              </w:rPr>
            </w:pPr>
            <w:r>
              <w:rPr>
                <w:szCs w:val="20"/>
              </w:rPr>
              <w:fldChar w:fldCharType="begin"/>
            </w:r>
            <w:r>
              <w:rPr>
                <w:szCs w:val="20"/>
              </w:rPr>
              <w:instrText xml:space="preserve"> PAGEREF _Ref89799967 \h </w:instrText>
            </w:r>
            <w:r>
              <w:rPr>
                <w:szCs w:val="20"/>
              </w:rPr>
            </w:r>
            <w:r>
              <w:rPr>
                <w:szCs w:val="20"/>
              </w:rPr>
              <w:fldChar w:fldCharType="separate"/>
            </w:r>
            <w:r w:rsidR="00472151">
              <w:rPr>
                <w:noProof/>
                <w:szCs w:val="20"/>
              </w:rPr>
              <w:t>84</w:t>
            </w:r>
            <w:r>
              <w:rPr>
                <w:szCs w:val="20"/>
              </w:rPr>
              <w:fldChar w:fldCharType="end"/>
            </w:r>
          </w:p>
        </w:tc>
      </w:tr>
      <w:tr w:rsidR="00EC28F6" w:rsidRPr="007E1EE3" w14:paraId="586ECBF9" w14:textId="77777777" w:rsidTr="001F66C7">
        <w:tc>
          <w:tcPr>
            <w:tcW w:w="1418" w:type="dxa"/>
          </w:tcPr>
          <w:p w14:paraId="0EBC2970" w14:textId="3E0C698F" w:rsidR="00EC28F6" w:rsidRPr="007E1EE3" w:rsidRDefault="00EC28F6" w:rsidP="000B1EBD">
            <w:pPr>
              <w:pStyle w:val="TableBodyText"/>
              <w:rPr>
                <w:szCs w:val="20"/>
              </w:rPr>
            </w:pPr>
            <w:r w:rsidRPr="007E1EE3">
              <w:rPr>
                <w:szCs w:val="20"/>
              </w:rPr>
              <w:t>FRD 25D</w:t>
            </w:r>
          </w:p>
        </w:tc>
        <w:tc>
          <w:tcPr>
            <w:tcW w:w="6095" w:type="dxa"/>
          </w:tcPr>
          <w:p w14:paraId="638E7910" w14:textId="7C9AB4D9" w:rsidR="00EC28F6" w:rsidRPr="007E1EE3" w:rsidRDefault="00EC28F6" w:rsidP="000B1EBD">
            <w:pPr>
              <w:pStyle w:val="TableBodyText"/>
              <w:rPr>
                <w:szCs w:val="20"/>
              </w:rPr>
            </w:pPr>
            <w:r w:rsidRPr="007E1EE3">
              <w:rPr>
                <w:szCs w:val="20"/>
              </w:rPr>
              <w:t>Local Jobs First</w:t>
            </w:r>
          </w:p>
        </w:tc>
        <w:tc>
          <w:tcPr>
            <w:tcW w:w="2118" w:type="dxa"/>
          </w:tcPr>
          <w:p w14:paraId="6BC750AC" w14:textId="59BB28AE" w:rsidR="00EC28F6" w:rsidRPr="007E1EE3" w:rsidRDefault="007E7528" w:rsidP="000B1EBD">
            <w:pPr>
              <w:pStyle w:val="TableBodyText"/>
              <w:rPr>
                <w:szCs w:val="20"/>
              </w:rPr>
            </w:pPr>
            <w:r>
              <w:rPr>
                <w:szCs w:val="20"/>
              </w:rPr>
              <w:fldChar w:fldCharType="begin"/>
            </w:r>
            <w:r>
              <w:rPr>
                <w:szCs w:val="20"/>
              </w:rPr>
              <w:instrText xml:space="preserve"> PAGEREF _Ref89799994 \h </w:instrText>
            </w:r>
            <w:r>
              <w:rPr>
                <w:szCs w:val="20"/>
              </w:rPr>
            </w:r>
            <w:r>
              <w:rPr>
                <w:szCs w:val="20"/>
              </w:rPr>
              <w:fldChar w:fldCharType="separate"/>
            </w:r>
            <w:r w:rsidR="00472151">
              <w:rPr>
                <w:noProof/>
                <w:szCs w:val="20"/>
              </w:rPr>
              <w:t>71</w:t>
            </w:r>
            <w:r>
              <w:rPr>
                <w:szCs w:val="20"/>
              </w:rPr>
              <w:fldChar w:fldCharType="end"/>
            </w:r>
          </w:p>
        </w:tc>
      </w:tr>
      <w:tr w:rsidR="00EC28F6" w:rsidRPr="007E1EE3" w14:paraId="698681D6" w14:textId="77777777" w:rsidTr="001F66C7">
        <w:tc>
          <w:tcPr>
            <w:tcW w:w="1418" w:type="dxa"/>
          </w:tcPr>
          <w:p w14:paraId="655A169E" w14:textId="10B07D82" w:rsidR="00EC28F6" w:rsidRPr="007E1EE3" w:rsidRDefault="00EC28F6" w:rsidP="000B1EBD">
            <w:pPr>
              <w:pStyle w:val="TableBodyText"/>
              <w:rPr>
                <w:szCs w:val="20"/>
              </w:rPr>
            </w:pPr>
            <w:r w:rsidRPr="007E1EE3">
              <w:rPr>
                <w:szCs w:val="20"/>
              </w:rPr>
              <w:t>FRD 27C</w:t>
            </w:r>
          </w:p>
        </w:tc>
        <w:tc>
          <w:tcPr>
            <w:tcW w:w="6095" w:type="dxa"/>
          </w:tcPr>
          <w:p w14:paraId="4C229652" w14:textId="420536BB" w:rsidR="00EC28F6" w:rsidRPr="007E1EE3" w:rsidRDefault="00EC28F6" w:rsidP="000B1EBD">
            <w:pPr>
              <w:pStyle w:val="TableBodyText"/>
              <w:rPr>
                <w:szCs w:val="20"/>
              </w:rPr>
            </w:pPr>
            <w:r w:rsidRPr="007E1EE3">
              <w:rPr>
                <w:szCs w:val="20"/>
              </w:rPr>
              <w:t>Presentation and reporting of performance information</w:t>
            </w:r>
          </w:p>
        </w:tc>
        <w:tc>
          <w:tcPr>
            <w:tcW w:w="2118" w:type="dxa"/>
          </w:tcPr>
          <w:p w14:paraId="65EDA958" w14:textId="4F7F7328" w:rsidR="00EC28F6" w:rsidRPr="007E1EE3" w:rsidRDefault="007E7528" w:rsidP="000B1EBD">
            <w:pPr>
              <w:pStyle w:val="TableBodyText"/>
              <w:rPr>
                <w:szCs w:val="20"/>
              </w:rPr>
            </w:pPr>
            <w:r>
              <w:rPr>
                <w:szCs w:val="20"/>
              </w:rPr>
              <w:fldChar w:fldCharType="begin"/>
            </w:r>
            <w:r>
              <w:rPr>
                <w:szCs w:val="20"/>
              </w:rPr>
              <w:instrText xml:space="preserve"> PAGEREF _Ref89718080 \h </w:instrText>
            </w:r>
            <w:r>
              <w:rPr>
                <w:szCs w:val="20"/>
              </w:rPr>
            </w:r>
            <w:r>
              <w:rPr>
                <w:szCs w:val="20"/>
              </w:rPr>
              <w:fldChar w:fldCharType="separate"/>
            </w:r>
            <w:r w:rsidR="00472151">
              <w:rPr>
                <w:noProof/>
                <w:szCs w:val="20"/>
              </w:rPr>
              <w:t>93</w:t>
            </w:r>
            <w:r>
              <w:rPr>
                <w:szCs w:val="20"/>
              </w:rPr>
              <w:fldChar w:fldCharType="end"/>
            </w:r>
            <w:r>
              <w:rPr>
                <w:szCs w:val="20"/>
              </w:rPr>
              <w:t>-</w:t>
            </w:r>
            <w:r>
              <w:rPr>
                <w:szCs w:val="20"/>
              </w:rPr>
              <w:fldChar w:fldCharType="begin"/>
            </w:r>
            <w:r>
              <w:rPr>
                <w:szCs w:val="20"/>
              </w:rPr>
              <w:instrText xml:space="preserve"> PAGEREF _Ref89800049 \h </w:instrText>
            </w:r>
            <w:r>
              <w:rPr>
                <w:szCs w:val="20"/>
              </w:rPr>
            </w:r>
            <w:r>
              <w:rPr>
                <w:szCs w:val="20"/>
              </w:rPr>
              <w:fldChar w:fldCharType="separate"/>
            </w:r>
            <w:r w:rsidR="00472151">
              <w:rPr>
                <w:noProof/>
                <w:szCs w:val="20"/>
              </w:rPr>
              <w:t>93</w:t>
            </w:r>
            <w:r>
              <w:rPr>
                <w:szCs w:val="20"/>
              </w:rPr>
              <w:fldChar w:fldCharType="end"/>
            </w:r>
          </w:p>
        </w:tc>
      </w:tr>
      <w:tr w:rsidR="00EC28F6" w:rsidRPr="007E1EE3" w14:paraId="0636B7EF" w14:textId="77777777" w:rsidTr="001F66C7">
        <w:tc>
          <w:tcPr>
            <w:tcW w:w="1418" w:type="dxa"/>
          </w:tcPr>
          <w:p w14:paraId="1A9FBE6C" w14:textId="317CFFEC" w:rsidR="00EC28F6" w:rsidRPr="007E1EE3" w:rsidRDefault="00EC28F6" w:rsidP="000B1EBD">
            <w:pPr>
              <w:pStyle w:val="TableBodyText"/>
              <w:rPr>
                <w:szCs w:val="20"/>
              </w:rPr>
            </w:pPr>
            <w:r w:rsidRPr="007E1EE3">
              <w:rPr>
                <w:szCs w:val="20"/>
              </w:rPr>
              <w:t>FRD 29C</w:t>
            </w:r>
          </w:p>
        </w:tc>
        <w:tc>
          <w:tcPr>
            <w:tcW w:w="6095" w:type="dxa"/>
          </w:tcPr>
          <w:p w14:paraId="7D58F0E0" w14:textId="597C61AB" w:rsidR="00EC28F6" w:rsidRPr="007E1EE3" w:rsidRDefault="00EC28F6" w:rsidP="000B1EBD">
            <w:pPr>
              <w:pStyle w:val="TableBodyText"/>
              <w:rPr>
                <w:szCs w:val="20"/>
              </w:rPr>
            </w:pPr>
            <w:r w:rsidRPr="007E1EE3">
              <w:rPr>
                <w:szCs w:val="20"/>
              </w:rPr>
              <w:t>Workforce data</w:t>
            </w:r>
          </w:p>
        </w:tc>
        <w:tc>
          <w:tcPr>
            <w:tcW w:w="2118" w:type="dxa"/>
          </w:tcPr>
          <w:p w14:paraId="581DB1B1" w14:textId="0D586187" w:rsidR="00EC28F6" w:rsidRPr="007E1EE3" w:rsidRDefault="007E7528" w:rsidP="007E7528">
            <w:pPr>
              <w:pStyle w:val="TableBodyText"/>
              <w:tabs>
                <w:tab w:val="center" w:pos="1002"/>
              </w:tabs>
              <w:rPr>
                <w:szCs w:val="20"/>
              </w:rPr>
            </w:pPr>
            <w:r>
              <w:rPr>
                <w:szCs w:val="20"/>
              </w:rPr>
              <w:fldChar w:fldCharType="begin"/>
            </w:r>
            <w:r>
              <w:rPr>
                <w:szCs w:val="20"/>
              </w:rPr>
              <w:instrText xml:space="preserve"> PAGEREF _Ref89800098 \h </w:instrText>
            </w:r>
            <w:r>
              <w:rPr>
                <w:szCs w:val="20"/>
              </w:rPr>
            </w:r>
            <w:r>
              <w:rPr>
                <w:szCs w:val="20"/>
              </w:rPr>
              <w:fldChar w:fldCharType="separate"/>
            </w:r>
            <w:r w:rsidR="00472151">
              <w:rPr>
                <w:noProof/>
                <w:szCs w:val="20"/>
              </w:rPr>
              <w:t>68</w:t>
            </w:r>
            <w:r>
              <w:rPr>
                <w:szCs w:val="20"/>
              </w:rPr>
              <w:fldChar w:fldCharType="end"/>
            </w:r>
            <w:r>
              <w:rPr>
                <w:szCs w:val="20"/>
              </w:rPr>
              <w:t>-</w:t>
            </w:r>
            <w:r>
              <w:rPr>
                <w:szCs w:val="20"/>
              </w:rPr>
              <w:fldChar w:fldCharType="begin"/>
            </w:r>
            <w:r>
              <w:rPr>
                <w:szCs w:val="20"/>
              </w:rPr>
              <w:instrText xml:space="preserve"> PAGEREF _Ref89797299 \h </w:instrText>
            </w:r>
            <w:r>
              <w:rPr>
                <w:szCs w:val="20"/>
              </w:rPr>
            </w:r>
            <w:r>
              <w:rPr>
                <w:szCs w:val="20"/>
              </w:rPr>
              <w:fldChar w:fldCharType="separate"/>
            </w:r>
            <w:r w:rsidR="00472151">
              <w:rPr>
                <w:noProof/>
                <w:szCs w:val="20"/>
              </w:rPr>
              <w:t>75</w:t>
            </w:r>
            <w:r>
              <w:rPr>
                <w:szCs w:val="20"/>
              </w:rPr>
              <w:fldChar w:fldCharType="end"/>
            </w:r>
          </w:p>
        </w:tc>
      </w:tr>
      <w:tr w:rsidR="00EC28F6" w:rsidRPr="007E1EE3" w14:paraId="42DF53C0" w14:textId="77777777" w:rsidTr="001F66C7">
        <w:tc>
          <w:tcPr>
            <w:tcW w:w="1418" w:type="dxa"/>
          </w:tcPr>
          <w:p w14:paraId="039D2A2C" w14:textId="0324019F" w:rsidR="00EC28F6" w:rsidRPr="007E1EE3" w:rsidRDefault="00EC28F6" w:rsidP="000B1EBD">
            <w:pPr>
              <w:pStyle w:val="TableBodyText"/>
              <w:rPr>
                <w:szCs w:val="20"/>
              </w:rPr>
            </w:pPr>
            <w:r w:rsidRPr="007E1EE3">
              <w:rPr>
                <w:szCs w:val="20"/>
              </w:rPr>
              <w:t>FRD 30D</w:t>
            </w:r>
          </w:p>
        </w:tc>
        <w:tc>
          <w:tcPr>
            <w:tcW w:w="6095" w:type="dxa"/>
          </w:tcPr>
          <w:p w14:paraId="3F679BB2" w14:textId="30183AB5" w:rsidR="00EC28F6" w:rsidRPr="007E1EE3" w:rsidRDefault="00EC28F6" w:rsidP="000B1EBD">
            <w:pPr>
              <w:pStyle w:val="TableBodyText"/>
              <w:rPr>
                <w:szCs w:val="20"/>
              </w:rPr>
            </w:pPr>
            <w:r w:rsidRPr="007E1EE3">
              <w:rPr>
                <w:szCs w:val="20"/>
              </w:rPr>
              <w:t>Standard requirements for the design and print of annual reports</w:t>
            </w:r>
          </w:p>
        </w:tc>
        <w:tc>
          <w:tcPr>
            <w:tcW w:w="2118" w:type="dxa"/>
          </w:tcPr>
          <w:p w14:paraId="04CCE0F9" w14:textId="239CE5FD" w:rsidR="00EC28F6" w:rsidRPr="007E1EE3" w:rsidRDefault="005F573D" w:rsidP="000B1EBD">
            <w:pPr>
              <w:pStyle w:val="TableBodyText"/>
              <w:rPr>
                <w:szCs w:val="20"/>
              </w:rPr>
            </w:pPr>
            <w:r>
              <w:rPr>
                <w:szCs w:val="20"/>
              </w:rPr>
              <w:t>entire report</w:t>
            </w:r>
          </w:p>
        </w:tc>
      </w:tr>
      <w:tr w:rsidR="00EC28F6" w:rsidRPr="007E1EE3" w14:paraId="1DA6A384" w14:textId="77777777" w:rsidTr="001F66C7">
        <w:tc>
          <w:tcPr>
            <w:tcW w:w="1418" w:type="dxa"/>
          </w:tcPr>
          <w:p w14:paraId="5F94561D" w14:textId="10F7CFD1" w:rsidR="00EC28F6" w:rsidRPr="007E1EE3" w:rsidRDefault="00EC28F6" w:rsidP="000B1EBD">
            <w:pPr>
              <w:pStyle w:val="TableBodyText"/>
              <w:rPr>
                <w:szCs w:val="20"/>
              </w:rPr>
            </w:pPr>
            <w:r w:rsidRPr="007E1EE3">
              <w:rPr>
                <w:szCs w:val="20"/>
              </w:rPr>
              <w:t>SD 5.2</w:t>
            </w:r>
          </w:p>
        </w:tc>
        <w:tc>
          <w:tcPr>
            <w:tcW w:w="6095" w:type="dxa"/>
          </w:tcPr>
          <w:p w14:paraId="58B8898D" w14:textId="11486D3F" w:rsidR="00EC28F6" w:rsidRPr="007E1EE3" w:rsidRDefault="00EC28F6" w:rsidP="000B1EBD">
            <w:pPr>
              <w:pStyle w:val="TableBodyText"/>
              <w:rPr>
                <w:szCs w:val="20"/>
              </w:rPr>
            </w:pPr>
            <w:r w:rsidRPr="007E1EE3">
              <w:rPr>
                <w:szCs w:val="20"/>
              </w:rPr>
              <w:t>Specific Information Requirements</w:t>
            </w:r>
          </w:p>
        </w:tc>
        <w:tc>
          <w:tcPr>
            <w:tcW w:w="2118" w:type="dxa"/>
          </w:tcPr>
          <w:p w14:paraId="3A81B918" w14:textId="485AA912" w:rsidR="00EC28F6" w:rsidRPr="007E1EE3" w:rsidRDefault="005F573D" w:rsidP="000B1EBD">
            <w:pPr>
              <w:pStyle w:val="TableBodyText"/>
              <w:rPr>
                <w:szCs w:val="20"/>
              </w:rPr>
            </w:pPr>
            <w:r>
              <w:rPr>
                <w:szCs w:val="20"/>
              </w:rPr>
              <w:fldChar w:fldCharType="begin"/>
            </w:r>
            <w:r>
              <w:rPr>
                <w:szCs w:val="20"/>
              </w:rPr>
              <w:instrText xml:space="preserve"> PAGEREF _Ref89719951 \h </w:instrText>
            </w:r>
            <w:r>
              <w:rPr>
                <w:szCs w:val="20"/>
              </w:rPr>
            </w:r>
            <w:r>
              <w:rPr>
                <w:szCs w:val="20"/>
              </w:rPr>
              <w:fldChar w:fldCharType="separate"/>
            </w:r>
            <w:r w:rsidR="00472151">
              <w:rPr>
                <w:noProof/>
                <w:szCs w:val="20"/>
              </w:rPr>
              <w:t>2</w:t>
            </w:r>
            <w:r>
              <w:rPr>
                <w:szCs w:val="20"/>
              </w:rPr>
              <w:fldChar w:fldCharType="end"/>
            </w:r>
            <w:r>
              <w:rPr>
                <w:szCs w:val="20"/>
              </w:rPr>
              <w:t>-</w:t>
            </w:r>
            <w:r>
              <w:rPr>
                <w:szCs w:val="20"/>
              </w:rPr>
              <w:fldChar w:fldCharType="begin"/>
            </w:r>
            <w:r>
              <w:rPr>
                <w:szCs w:val="20"/>
              </w:rPr>
              <w:instrText xml:space="preserve"> PAGEREF _Ref89805036 \h </w:instrText>
            </w:r>
            <w:r>
              <w:rPr>
                <w:szCs w:val="20"/>
              </w:rPr>
            </w:r>
            <w:r>
              <w:rPr>
                <w:szCs w:val="20"/>
              </w:rPr>
              <w:fldChar w:fldCharType="separate"/>
            </w:r>
            <w:r w:rsidR="00472151">
              <w:rPr>
                <w:noProof/>
                <w:szCs w:val="20"/>
              </w:rPr>
              <w:t>92</w:t>
            </w:r>
            <w:r>
              <w:rPr>
                <w:szCs w:val="20"/>
              </w:rPr>
              <w:fldChar w:fldCharType="end"/>
            </w:r>
          </w:p>
        </w:tc>
      </w:tr>
      <w:tr w:rsidR="00EC28F6" w:rsidRPr="007E1EE3" w14:paraId="75703E60" w14:textId="77777777" w:rsidTr="001F66C7">
        <w:tc>
          <w:tcPr>
            <w:tcW w:w="1418" w:type="dxa"/>
          </w:tcPr>
          <w:p w14:paraId="0EFC8C30" w14:textId="3748C1F0" w:rsidR="00EC28F6" w:rsidRPr="007E1EE3" w:rsidRDefault="00EC28F6" w:rsidP="000B1EBD">
            <w:pPr>
              <w:pStyle w:val="TableBodyText"/>
              <w:rPr>
                <w:szCs w:val="20"/>
              </w:rPr>
            </w:pPr>
            <w:r w:rsidRPr="007E1EE3">
              <w:rPr>
                <w:szCs w:val="20"/>
              </w:rPr>
              <w:t>SD 5.1.4</w:t>
            </w:r>
          </w:p>
        </w:tc>
        <w:tc>
          <w:tcPr>
            <w:tcW w:w="6095" w:type="dxa"/>
          </w:tcPr>
          <w:p w14:paraId="099AD85F" w14:textId="12E38241" w:rsidR="00EC28F6" w:rsidRPr="007E1EE3" w:rsidRDefault="00EC28F6" w:rsidP="000B1EBD">
            <w:pPr>
              <w:pStyle w:val="TableBodyText"/>
              <w:rPr>
                <w:szCs w:val="20"/>
              </w:rPr>
            </w:pPr>
            <w:r w:rsidRPr="007E1EE3">
              <w:rPr>
                <w:szCs w:val="20"/>
              </w:rPr>
              <w:t>Attestation in report of operations</w:t>
            </w:r>
          </w:p>
        </w:tc>
        <w:tc>
          <w:tcPr>
            <w:tcW w:w="2118" w:type="dxa"/>
          </w:tcPr>
          <w:p w14:paraId="146B5A34" w14:textId="1368C8D2" w:rsidR="00EC28F6" w:rsidRPr="007E1EE3" w:rsidRDefault="005F573D" w:rsidP="000B1EBD">
            <w:pPr>
              <w:pStyle w:val="TableBodyText"/>
              <w:rPr>
                <w:szCs w:val="20"/>
              </w:rPr>
            </w:pPr>
            <w:r>
              <w:rPr>
                <w:szCs w:val="20"/>
              </w:rPr>
              <w:fldChar w:fldCharType="begin"/>
            </w:r>
            <w:r>
              <w:rPr>
                <w:szCs w:val="20"/>
              </w:rPr>
              <w:instrText xml:space="preserve"> PAGEREF _Ref89805036 \h </w:instrText>
            </w:r>
            <w:r>
              <w:rPr>
                <w:szCs w:val="20"/>
              </w:rPr>
            </w:r>
            <w:r>
              <w:rPr>
                <w:szCs w:val="20"/>
              </w:rPr>
              <w:fldChar w:fldCharType="separate"/>
            </w:r>
            <w:r w:rsidR="00472151">
              <w:rPr>
                <w:noProof/>
                <w:szCs w:val="20"/>
              </w:rPr>
              <w:t>92</w:t>
            </w:r>
            <w:r>
              <w:rPr>
                <w:szCs w:val="20"/>
              </w:rPr>
              <w:fldChar w:fldCharType="end"/>
            </w:r>
          </w:p>
        </w:tc>
      </w:tr>
      <w:tr w:rsidR="00EC28F6" w:rsidRPr="007E1EE3" w14:paraId="7B8E71E1" w14:textId="77777777" w:rsidTr="001F66C7">
        <w:tc>
          <w:tcPr>
            <w:tcW w:w="1418" w:type="dxa"/>
          </w:tcPr>
          <w:p w14:paraId="74E83933" w14:textId="7A42F94A" w:rsidR="00EC28F6" w:rsidRPr="007E1EE3" w:rsidRDefault="00EC28F6" w:rsidP="000B1EBD">
            <w:pPr>
              <w:pStyle w:val="TableBodyText"/>
              <w:rPr>
                <w:szCs w:val="20"/>
              </w:rPr>
            </w:pPr>
            <w:r w:rsidRPr="007E1EE3">
              <w:rPr>
                <w:szCs w:val="20"/>
              </w:rPr>
              <w:t>SD 5.2.3</w:t>
            </w:r>
          </w:p>
        </w:tc>
        <w:tc>
          <w:tcPr>
            <w:tcW w:w="6095" w:type="dxa"/>
          </w:tcPr>
          <w:p w14:paraId="0BE75DA1" w14:textId="0AA8E036" w:rsidR="00EC28F6" w:rsidRPr="007E1EE3" w:rsidRDefault="00EC28F6" w:rsidP="000B1EBD">
            <w:pPr>
              <w:pStyle w:val="TableBodyText"/>
              <w:rPr>
                <w:szCs w:val="20"/>
              </w:rPr>
            </w:pPr>
            <w:r w:rsidRPr="007E1EE3">
              <w:rPr>
                <w:szCs w:val="20"/>
              </w:rPr>
              <w:t>Declaration in report of operations</w:t>
            </w:r>
          </w:p>
        </w:tc>
        <w:tc>
          <w:tcPr>
            <w:tcW w:w="2118" w:type="dxa"/>
          </w:tcPr>
          <w:p w14:paraId="45FFA5F5" w14:textId="58068913" w:rsidR="00EC28F6" w:rsidRPr="007E1EE3" w:rsidRDefault="005F573D" w:rsidP="000B1EBD">
            <w:pPr>
              <w:pStyle w:val="TableBodyText"/>
              <w:rPr>
                <w:szCs w:val="20"/>
              </w:rPr>
            </w:pPr>
            <w:r>
              <w:rPr>
                <w:szCs w:val="20"/>
              </w:rPr>
              <w:fldChar w:fldCharType="begin"/>
            </w:r>
            <w:r>
              <w:rPr>
                <w:szCs w:val="20"/>
              </w:rPr>
              <w:instrText xml:space="preserve"> PAGEREF Attestation \h </w:instrText>
            </w:r>
            <w:r>
              <w:rPr>
                <w:szCs w:val="20"/>
              </w:rPr>
            </w:r>
            <w:r>
              <w:rPr>
                <w:szCs w:val="20"/>
              </w:rPr>
              <w:fldChar w:fldCharType="separate"/>
            </w:r>
            <w:r w:rsidR="00472151">
              <w:rPr>
                <w:noProof/>
                <w:szCs w:val="20"/>
              </w:rPr>
              <w:t>11</w:t>
            </w:r>
            <w:r>
              <w:rPr>
                <w:szCs w:val="20"/>
              </w:rPr>
              <w:fldChar w:fldCharType="end"/>
            </w:r>
          </w:p>
        </w:tc>
      </w:tr>
      <w:tr w:rsidR="00EC28F6" w:rsidRPr="007E1EE3" w14:paraId="0F82934B" w14:textId="77777777" w:rsidTr="001F66C7">
        <w:tc>
          <w:tcPr>
            <w:tcW w:w="1418" w:type="dxa"/>
          </w:tcPr>
          <w:p w14:paraId="1E403585" w14:textId="72319BFD" w:rsidR="00EC28F6" w:rsidRPr="007E1EE3" w:rsidRDefault="00EC28F6" w:rsidP="000B1EBD">
            <w:pPr>
              <w:pStyle w:val="TableBodyText"/>
              <w:rPr>
                <w:szCs w:val="20"/>
              </w:rPr>
            </w:pPr>
            <w:r w:rsidRPr="007E1EE3">
              <w:rPr>
                <w:szCs w:val="20"/>
              </w:rPr>
              <w:t>Disability Act</w:t>
            </w:r>
          </w:p>
        </w:tc>
        <w:tc>
          <w:tcPr>
            <w:tcW w:w="6095" w:type="dxa"/>
          </w:tcPr>
          <w:p w14:paraId="2051FB72" w14:textId="24C5C557" w:rsidR="00EC28F6" w:rsidRPr="007E1EE3" w:rsidRDefault="00EC28F6" w:rsidP="000B1EBD">
            <w:pPr>
              <w:pStyle w:val="TableBodyText"/>
              <w:rPr>
                <w:rStyle w:val="ItalicText"/>
                <w:szCs w:val="20"/>
              </w:rPr>
            </w:pPr>
            <w:r w:rsidRPr="007E1EE3">
              <w:rPr>
                <w:rStyle w:val="ItalicText"/>
                <w:szCs w:val="20"/>
              </w:rPr>
              <w:t>Disability Act 2006</w:t>
            </w:r>
          </w:p>
        </w:tc>
        <w:tc>
          <w:tcPr>
            <w:tcW w:w="2118" w:type="dxa"/>
          </w:tcPr>
          <w:p w14:paraId="04280CE0" w14:textId="6D24D375" w:rsidR="00EC28F6" w:rsidRPr="007E1EE3" w:rsidRDefault="005F573D" w:rsidP="000B1EBD">
            <w:pPr>
              <w:pStyle w:val="TableBodyText"/>
              <w:rPr>
                <w:szCs w:val="20"/>
              </w:rPr>
            </w:pPr>
            <w:r>
              <w:rPr>
                <w:szCs w:val="20"/>
              </w:rPr>
              <w:fldChar w:fldCharType="begin"/>
            </w:r>
            <w:r>
              <w:rPr>
                <w:szCs w:val="20"/>
              </w:rPr>
              <w:instrText xml:space="preserve"> PAGEREF _Ref89805202 \h </w:instrText>
            </w:r>
            <w:r>
              <w:rPr>
                <w:szCs w:val="20"/>
              </w:rPr>
            </w:r>
            <w:r>
              <w:rPr>
                <w:szCs w:val="20"/>
              </w:rPr>
              <w:fldChar w:fldCharType="separate"/>
            </w:r>
            <w:r w:rsidR="00472151">
              <w:rPr>
                <w:noProof/>
                <w:szCs w:val="20"/>
              </w:rPr>
              <w:t>68</w:t>
            </w:r>
            <w:r>
              <w:rPr>
                <w:szCs w:val="20"/>
              </w:rPr>
              <w:fldChar w:fldCharType="end"/>
            </w:r>
          </w:p>
        </w:tc>
      </w:tr>
      <w:tr w:rsidR="00EC28F6" w:rsidRPr="007E1EE3" w14:paraId="29FECDC9" w14:textId="77777777" w:rsidTr="001F66C7">
        <w:tc>
          <w:tcPr>
            <w:tcW w:w="1418" w:type="dxa"/>
          </w:tcPr>
          <w:p w14:paraId="3B58887F" w14:textId="74BE09AE" w:rsidR="00EC28F6" w:rsidRPr="007E1EE3" w:rsidRDefault="00EC28F6" w:rsidP="000B1EBD">
            <w:pPr>
              <w:pStyle w:val="TableBodyText"/>
              <w:rPr>
                <w:szCs w:val="20"/>
              </w:rPr>
            </w:pPr>
            <w:r w:rsidRPr="007E1EE3">
              <w:rPr>
                <w:szCs w:val="20"/>
              </w:rPr>
              <w:t>N/A</w:t>
            </w:r>
          </w:p>
        </w:tc>
        <w:tc>
          <w:tcPr>
            <w:tcW w:w="6095" w:type="dxa"/>
          </w:tcPr>
          <w:p w14:paraId="4E794362" w14:textId="69ABFA67" w:rsidR="00EC28F6" w:rsidRPr="007E1EE3" w:rsidRDefault="00EC28F6" w:rsidP="000B1EBD">
            <w:pPr>
              <w:pStyle w:val="TableBodyText"/>
              <w:rPr>
                <w:szCs w:val="20"/>
              </w:rPr>
            </w:pPr>
            <w:r w:rsidRPr="007E1EE3">
              <w:rPr>
                <w:szCs w:val="20"/>
              </w:rPr>
              <w:t>Social Procurement Framework</w:t>
            </w:r>
          </w:p>
        </w:tc>
        <w:tc>
          <w:tcPr>
            <w:tcW w:w="2118" w:type="dxa"/>
          </w:tcPr>
          <w:p w14:paraId="1D1AD8E0" w14:textId="4B372F0D" w:rsidR="00EC28F6" w:rsidRPr="007E1EE3" w:rsidRDefault="005F573D" w:rsidP="000B1EBD">
            <w:pPr>
              <w:pStyle w:val="TableBodyText"/>
              <w:rPr>
                <w:szCs w:val="20"/>
              </w:rPr>
            </w:pPr>
            <w:r>
              <w:rPr>
                <w:szCs w:val="20"/>
              </w:rPr>
              <w:fldChar w:fldCharType="begin"/>
            </w:r>
            <w:r>
              <w:rPr>
                <w:szCs w:val="20"/>
              </w:rPr>
              <w:instrText xml:space="preserve"> PAGEREF _Ref89805249 \h </w:instrText>
            </w:r>
            <w:r>
              <w:rPr>
                <w:szCs w:val="20"/>
              </w:rPr>
            </w:r>
            <w:r>
              <w:rPr>
                <w:szCs w:val="20"/>
              </w:rPr>
              <w:fldChar w:fldCharType="separate"/>
            </w:r>
            <w:r w:rsidR="00472151">
              <w:rPr>
                <w:noProof/>
                <w:szCs w:val="20"/>
              </w:rPr>
              <w:t>86</w:t>
            </w:r>
            <w:r>
              <w:rPr>
                <w:szCs w:val="20"/>
              </w:rPr>
              <w:fldChar w:fldCharType="end"/>
            </w:r>
          </w:p>
        </w:tc>
      </w:tr>
      <w:tr w:rsidR="000B1EBD" w:rsidRPr="007E1EE3" w14:paraId="4CC7CDB5" w14:textId="77777777" w:rsidTr="001F66C7">
        <w:tc>
          <w:tcPr>
            <w:tcW w:w="1418" w:type="dxa"/>
          </w:tcPr>
          <w:p w14:paraId="4755AFB3" w14:textId="0BE474D7" w:rsidR="000B1EBD" w:rsidRPr="007E1EE3" w:rsidRDefault="000B1EBD" w:rsidP="000B1EBD">
            <w:pPr>
              <w:pStyle w:val="TableBodyText"/>
              <w:rPr>
                <w:szCs w:val="20"/>
              </w:rPr>
            </w:pPr>
            <w:r w:rsidRPr="007E1EE3">
              <w:rPr>
                <w:szCs w:val="20"/>
              </w:rPr>
              <w:t>N/A</w:t>
            </w:r>
          </w:p>
        </w:tc>
        <w:tc>
          <w:tcPr>
            <w:tcW w:w="6095" w:type="dxa"/>
          </w:tcPr>
          <w:p w14:paraId="3D423ED1" w14:textId="586D0C56" w:rsidR="000B1EBD" w:rsidRPr="007E1EE3" w:rsidRDefault="000B1EBD" w:rsidP="000B1EBD">
            <w:pPr>
              <w:pStyle w:val="TableBodyText"/>
              <w:rPr>
                <w:rStyle w:val="Bold"/>
                <w:szCs w:val="20"/>
              </w:rPr>
            </w:pPr>
            <w:r w:rsidRPr="007E1EE3">
              <w:rPr>
                <w:rStyle w:val="Bold"/>
                <w:szCs w:val="20"/>
              </w:rPr>
              <w:t>Ministerial Reporting Directions</w:t>
            </w:r>
          </w:p>
        </w:tc>
        <w:tc>
          <w:tcPr>
            <w:tcW w:w="2118" w:type="dxa"/>
          </w:tcPr>
          <w:p w14:paraId="3170BB22" w14:textId="4A93CAE8" w:rsidR="000B1EBD" w:rsidRPr="007E1EE3" w:rsidRDefault="000B1EBD" w:rsidP="000B1EBD">
            <w:pPr>
              <w:pStyle w:val="TableBodyText"/>
              <w:rPr>
                <w:szCs w:val="20"/>
              </w:rPr>
            </w:pPr>
            <w:r w:rsidRPr="007E1EE3">
              <w:rPr>
                <w:szCs w:val="20"/>
              </w:rPr>
              <w:t>N/A</w:t>
            </w:r>
          </w:p>
        </w:tc>
      </w:tr>
      <w:tr w:rsidR="00EC28F6" w:rsidRPr="007E1EE3" w14:paraId="2E58CE16" w14:textId="77777777" w:rsidTr="001F66C7">
        <w:tc>
          <w:tcPr>
            <w:tcW w:w="1418" w:type="dxa"/>
          </w:tcPr>
          <w:p w14:paraId="30E7D32C" w14:textId="7A602E77" w:rsidR="00EC28F6" w:rsidRPr="007E1EE3" w:rsidRDefault="00DA0ABF" w:rsidP="000B1EBD">
            <w:pPr>
              <w:pStyle w:val="TableBodyText"/>
              <w:rPr>
                <w:szCs w:val="20"/>
              </w:rPr>
            </w:pPr>
            <w:r w:rsidRPr="007E1EE3">
              <w:rPr>
                <w:szCs w:val="20"/>
              </w:rPr>
              <w:t>MRD 01</w:t>
            </w:r>
          </w:p>
        </w:tc>
        <w:tc>
          <w:tcPr>
            <w:tcW w:w="6095" w:type="dxa"/>
          </w:tcPr>
          <w:p w14:paraId="489D0EDC" w14:textId="267ED741" w:rsidR="00EC28F6" w:rsidRPr="007E1EE3" w:rsidRDefault="00DA0ABF" w:rsidP="000B1EBD">
            <w:pPr>
              <w:pStyle w:val="TableBodyText"/>
              <w:rPr>
                <w:szCs w:val="20"/>
              </w:rPr>
            </w:pPr>
            <w:r w:rsidRPr="007E1EE3">
              <w:rPr>
                <w:szCs w:val="20"/>
              </w:rPr>
              <w:t>Performance reporting</w:t>
            </w:r>
          </w:p>
        </w:tc>
        <w:tc>
          <w:tcPr>
            <w:tcW w:w="2118" w:type="dxa"/>
          </w:tcPr>
          <w:p w14:paraId="4C4FD986" w14:textId="1CFA8EE4" w:rsidR="00EC28F6" w:rsidRPr="007E1EE3" w:rsidRDefault="00B83F70" w:rsidP="000B1EBD">
            <w:pPr>
              <w:pStyle w:val="TableBodyText"/>
              <w:rPr>
                <w:szCs w:val="20"/>
              </w:rPr>
            </w:pPr>
            <w:r>
              <w:rPr>
                <w:szCs w:val="20"/>
              </w:rPr>
              <w:fldChar w:fldCharType="begin"/>
            </w:r>
            <w:r>
              <w:rPr>
                <w:szCs w:val="20"/>
              </w:rPr>
              <w:instrText xml:space="preserve"> PAGEREF _Ref89718080 \h </w:instrText>
            </w:r>
            <w:r>
              <w:rPr>
                <w:szCs w:val="20"/>
              </w:rPr>
            </w:r>
            <w:r>
              <w:rPr>
                <w:szCs w:val="20"/>
              </w:rPr>
              <w:fldChar w:fldCharType="separate"/>
            </w:r>
            <w:r w:rsidR="00472151">
              <w:rPr>
                <w:noProof/>
                <w:szCs w:val="20"/>
              </w:rPr>
              <w:t>93</w:t>
            </w:r>
            <w:r>
              <w:rPr>
                <w:szCs w:val="20"/>
              </w:rPr>
              <w:fldChar w:fldCharType="end"/>
            </w:r>
            <w:r>
              <w:rPr>
                <w:szCs w:val="20"/>
              </w:rPr>
              <w:t>-</w:t>
            </w:r>
            <w:r>
              <w:rPr>
                <w:szCs w:val="20"/>
              </w:rPr>
              <w:fldChar w:fldCharType="begin"/>
            </w:r>
            <w:r>
              <w:rPr>
                <w:szCs w:val="20"/>
              </w:rPr>
              <w:instrText xml:space="preserve"> PAGEREF _Ref89797616 \h </w:instrText>
            </w:r>
            <w:r>
              <w:rPr>
                <w:szCs w:val="20"/>
              </w:rPr>
            </w:r>
            <w:r>
              <w:rPr>
                <w:szCs w:val="20"/>
              </w:rPr>
              <w:fldChar w:fldCharType="separate"/>
            </w:r>
            <w:r w:rsidR="00472151">
              <w:rPr>
                <w:noProof/>
                <w:szCs w:val="20"/>
              </w:rPr>
              <w:t>93</w:t>
            </w:r>
            <w:r>
              <w:rPr>
                <w:szCs w:val="20"/>
              </w:rPr>
              <w:fldChar w:fldCharType="end"/>
            </w:r>
          </w:p>
        </w:tc>
      </w:tr>
      <w:tr w:rsidR="00DA0ABF" w:rsidRPr="007E1EE3" w14:paraId="4FF5C21B" w14:textId="77777777" w:rsidTr="001F66C7">
        <w:tc>
          <w:tcPr>
            <w:tcW w:w="1418" w:type="dxa"/>
          </w:tcPr>
          <w:p w14:paraId="4D139599" w14:textId="5B3E170A" w:rsidR="00DA0ABF" w:rsidRPr="007E1EE3" w:rsidRDefault="00DA0ABF" w:rsidP="000B1EBD">
            <w:pPr>
              <w:pStyle w:val="TableBodyText"/>
              <w:rPr>
                <w:szCs w:val="20"/>
              </w:rPr>
            </w:pPr>
            <w:r w:rsidRPr="007E1EE3">
              <w:rPr>
                <w:szCs w:val="20"/>
              </w:rPr>
              <w:t>MRD 02</w:t>
            </w:r>
          </w:p>
        </w:tc>
        <w:tc>
          <w:tcPr>
            <w:tcW w:w="6095" w:type="dxa"/>
          </w:tcPr>
          <w:p w14:paraId="035EFF6E" w14:textId="6CB3FB92" w:rsidR="00DA0ABF" w:rsidRPr="007E1EE3" w:rsidRDefault="00DA0ABF" w:rsidP="000B1EBD">
            <w:pPr>
              <w:pStyle w:val="TableBodyText"/>
              <w:rPr>
                <w:szCs w:val="20"/>
              </w:rPr>
            </w:pPr>
            <w:r w:rsidRPr="007E1EE3">
              <w:rPr>
                <w:szCs w:val="20"/>
              </w:rPr>
              <w:t>Reporting on water consumption and drought response</w:t>
            </w:r>
          </w:p>
        </w:tc>
        <w:tc>
          <w:tcPr>
            <w:tcW w:w="2118" w:type="dxa"/>
          </w:tcPr>
          <w:p w14:paraId="6E79C133" w14:textId="1A4B3125" w:rsidR="00DA0ABF" w:rsidRPr="007E1EE3" w:rsidRDefault="00B83F70" w:rsidP="000B1EBD">
            <w:pPr>
              <w:pStyle w:val="TableBodyText"/>
              <w:rPr>
                <w:szCs w:val="20"/>
              </w:rPr>
            </w:pPr>
            <w:r>
              <w:rPr>
                <w:szCs w:val="20"/>
              </w:rPr>
              <w:fldChar w:fldCharType="begin"/>
            </w:r>
            <w:r>
              <w:rPr>
                <w:szCs w:val="20"/>
              </w:rPr>
              <w:instrText xml:space="preserve"> PAGEREF _Ref89805358 \h </w:instrText>
            </w:r>
            <w:r>
              <w:rPr>
                <w:szCs w:val="20"/>
              </w:rPr>
            </w:r>
            <w:r>
              <w:rPr>
                <w:szCs w:val="20"/>
              </w:rPr>
              <w:fldChar w:fldCharType="separate"/>
            </w:r>
            <w:r w:rsidR="00472151">
              <w:rPr>
                <w:noProof/>
                <w:szCs w:val="20"/>
              </w:rPr>
              <w:t>24</w:t>
            </w:r>
            <w:r>
              <w:rPr>
                <w:szCs w:val="20"/>
              </w:rPr>
              <w:fldChar w:fldCharType="end"/>
            </w:r>
            <w:r>
              <w:rPr>
                <w:szCs w:val="20"/>
              </w:rPr>
              <w:t>-</w:t>
            </w:r>
            <w:r>
              <w:rPr>
                <w:szCs w:val="20"/>
              </w:rPr>
              <w:fldChar w:fldCharType="begin"/>
            </w:r>
            <w:r>
              <w:rPr>
                <w:szCs w:val="20"/>
              </w:rPr>
              <w:instrText xml:space="preserve"> PAGEREF _Ref89805368 \h </w:instrText>
            </w:r>
            <w:r>
              <w:rPr>
                <w:szCs w:val="20"/>
              </w:rPr>
            </w:r>
            <w:r>
              <w:rPr>
                <w:szCs w:val="20"/>
              </w:rPr>
              <w:fldChar w:fldCharType="separate"/>
            </w:r>
            <w:r w:rsidR="00472151">
              <w:rPr>
                <w:noProof/>
                <w:szCs w:val="20"/>
              </w:rPr>
              <w:t>27</w:t>
            </w:r>
            <w:r>
              <w:rPr>
                <w:szCs w:val="20"/>
              </w:rPr>
              <w:fldChar w:fldCharType="end"/>
            </w:r>
          </w:p>
        </w:tc>
      </w:tr>
      <w:tr w:rsidR="00DA0ABF" w:rsidRPr="007E1EE3" w14:paraId="07B02784" w14:textId="77777777" w:rsidTr="001F66C7">
        <w:tc>
          <w:tcPr>
            <w:tcW w:w="1418" w:type="dxa"/>
          </w:tcPr>
          <w:p w14:paraId="06EDEA37" w14:textId="32FE9BFC" w:rsidR="00DA0ABF" w:rsidRPr="007E1EE3" w:rsidRDefault="00DA0ABF" w:rsidP="000B1EBD">
            <w:pPr>
              <w:pStyle w:val="TableBodyText"/>
              <w:rPr>
                <w:szCs w:val="20"/>
              </w:rPr>
            </w:pPr>
            <w:r w:rsidRPr="007E1EE3">
              <w:rPr>
                <w:szCs w:val="20"/>
              </w:rPr>
              <w:t>MRD 03</w:t>
            </w:r>
          </w:p>
        </w:tc>
        <w:tc>
          <w:tcPr>
            <w:tcW w:w="6095" w:type="dxa"/>
          </w:tcPr>
          <w:p w14:paraId="703EF1A8" w14:textId="5C830CB1" w:rsidR="00DA0ABF" w:rsidRPr="007E1EE3" w:rsidRDefault="00DA0ABF" w:rsidP="000B1EBD">
            <w:pPr>
              <w:pStyle w:val="TableBodyText"/>
              <w:rPr>
                <w:szCs w:val="20"/>
              </w:rPr>
            </w:pPr>
            <w:r w:rsidRPr="007E1EE3">
              <w:rPr>
                <w:szCs w:val="20"/>
              </w:rPr>
              <w:t>Environmental and social sustainability reporting</w:t>
            </w:r>
          </w:p>
        </w:tc>
        <w:tc>
          <w:tcPr>
            <w:tcW w:w="2118" w:type="dxa"/>
          </w:tcPr>
          <w:p w14:paraId="39C9A448" w14:textId="4CC5D1F7" w:rsidR="00DA0ABF" w:rsidRPr="007E1EE3" w:rsidRDefault="008260FC" w:rsidP="000B1EBD">
            <w:pPr>
              <w:pStyle w:val="TableBodyText"/>
              <w:rPr>
                <w:szCs w:val="20"/>
              </w:rPr>
            </w:pPr>
            <w:r>
              <w:rPr>
                <w:szCs w:val="20"/>
              </w:rPr>
              <w:fldChar w:fldCharType="begin"/>
            </w:r>
            <w:r>
              <w:rPr>
                <w:szCs w:val="20"/>
              </w:rPr>
              <w:instrText xml:space="preserve"> PAGEREF _Ref89805422 \h </w:instrText>
            </w:r>
            <w:r>
              <w:rPr>
                <w:szCs w:val="20"/>
              </w:rPr>
            </w:r>
            <w:r>
              <w:rPr>
                <w:szCs w:val="20"/>
              </w:rPr>
              <w:fldChar w:fldCharType="separate"/>
            </w:r>
            <w:r w:rsidR="00472151">
              <w:rPr>
                <w:noProof/>
                <w:szCs w:val="20"/>
              </w:rPr>
              <w:t>20</w:t>
            </w:r>
            <w:r>
              <w:rPr>
                <w:szCs w:val="20"/>
              </w:rPr>
              <w:fldChar w:fldCharType="end"/>
            </w:r>
            <w:r>
              <w:rPr>
                <w:szCs w:val="20"/>
              </w:rPr>
              <w:t>-</w:t>
            </w:r>
            <w:r>
              <w:rPr>
                <w:szCs w:val="20"/>
              </w:rPr>
              <w:fldChar w:fldCharType="begin"/>
            </w:r>
            <w:r>
              <w:rPr>
                <w:szCs w:val="20"/>
              </w:rPr>
              <w:instrText xml:space="preserve"> PAGEREF _Ref89805451 \h </w:instrText>
            </w:r>
            <w:r>
              <w:rPr>
                <w:szCs w:val="20"/>
              </w:rPr>
            </w:r>
            <w:r>
              <w:rPr>
                <w:szCs w:val="20"/>
              </w:rPr>
              <w:fldChar w:fldCharType="separate"/>
            </w:r>
            <w:r w:rsidR="00472151">
              <w:rPr>
                <w:noProof/>
                <w:szCs w:val="20"/>
              </w:rPr>
              <w:t>45</w:t>
            </w:r>
            <w:r>
              <w:rPr>
                <w:szCs w:val="20"/>
              </w:rPr>
              <w:fldChar w:fldCharType="end"/>
            </w:r>
            <w:r>
              <w:rPr>
                <w:szCs w:val="20"/>
              </w:rPr>
              <w:t xml:space="preserve">, </w:t>
            </w:r>
            <w:r>
              <w:rPr>
                <w:szCs w:val="20"/>
              </w:rPr>
              <w:fldChar w:fldCharType="begin"/>
            </w:r>
            <w:r>
              <w:rPr>
                <w:szCs w:val="20"/>
              </w:rPr>
              <w:instrText xml:space="preserve"> PAGEREF _Ref89805491 \h </w:instrText>
            </w:r>
            <w:r>
              <w:rPr>
                <w:szCs w:val="20"/>
              </w:rPr>
            </w:r>
            <w:r>
              <w:rPr>
                <w:szCs w:val="20"/>
              </w:rPr>
              <w:fldChar w:fldCharType="separate"/>
            </w:r>
            <w:r w:rsidR="00472151">
              <w:rPr>
                <w:noProof/>
                <w:szCs w:val="20"/>
              </w:rPr>
              <w:t>63</w:t>
            </w:r>
            <w:r>
              <w:rPr>
                <w:szCs w:val="20"/>
              </w:rPr>
              <w:fldChar w:fldCharType="end"/>
            </w:r>
            <w:r>
              <w:rPr>
                <w:szCs w:val="20"/>
              </w:rPr>
              <w:t>-</w:t>
            </w:r>
            <w:r>
              <w:rPr>
                <w:szCs w:val="20"/>
              </w:rPr>
              <w:fldChar w:fldCharType="begin"/>
            </w:r>
            <w:r>
              <w:rPr>
                <w:szCs w:val="20"/>
              </w:rPr>
              <w:instrText xml:space="preserve"> PAGEREF _Ref89805502 \h </w:instrText>
            </w:r>
            <w:r>
              <w:rPr>
                <w:szCs w:val="20"/>
              </w:rPr>
            </w:r>
            <w:r>
              <w:rPr>
                <w:szCs w:val="20"/>
              </w:rPr>
              <w:fldChar w:fldCharType="separate"/>
            </w:r>
            <w:r w:rsidR="00472151">
              <w:rPr>
                <w:noProof/>
                <w:szCs w:val="20"/>
              </w:rPr>
              <w:t>65</w:t>
            </w:r>
            <w:r>
              <w:rPr>
                <w:szCs w:val="20"/>
              </w:rPr>
              <w:fldChar w:fldCharType="end"/>
            </w:r>
            <w:r>
              <w:rPr>
                <w:szCs w:val="20"/>
              </w:rPr>
              <w:t xml:space="preserve">, </w:t>
            </w:r>
            <w:r>
              <w:rPr>
                <w:szCs w:val="20"/>
              </w:rPr>
              <w:fldChar w:fldCharType="begin"/>
            </w:r>
            <w:r>
              <w:rPr>
                <w:szCs w:val="20"/>
              </w:rPr>
              <w:instrText xml:space="preserve"> PAGEREF _Ref89805521 \h </w:instrText>
            </w:r>
            <w:r>
              <w:rPr>
                <w:szCs w:val="20"/>
              </w:rPr>
            </w:r>
            <w:r>
              <w:rPr>
                <w:szCs w:val="20"/>
              </w:rPr>
              <w:fldChar w:fldCharType="separate"/>
            </w:r>
            <w:r w:rsidR="00472151">
              <w:rPr>
                <w:noProof/>
                <w:szCs w:val="20"/>
              </w:rPr>
              <w:t>93</w:t>
            </w:r>
            <w:r>
              <w:rPr>
                <w:szCs w:val="20"/>
              </w:rPr>
              <w:fldChar w:fldCharType="end"/>
            </w:r>
            <w:r>
              <w:rPr>
                <w:szCs w:val="20"/>
              </w:rPr>
              <w:t>-</w:t>
            </w:r>
            <w:r w:rsidR="00342D4B">
              <w:rPr>
                <w:szCs w:val="20"/>
              </w:rPr>
              <w:fldChar w:fldCharType="begin"/>
            </w:r>
            <w:r w:rsidR="00342D4B">
              <w:rPr>
                <w:szCs w:val="20"/>
              </w:rPr>
              <w:instrText xml:space="preserve"> PAGEREF AppendixFend \h </w:instrText>
            </w:r>
            <w:r w:rsidR="00342D4B">
              <w:rPr>
                <w:szCs w:val="20"/>
              </w:rPr>
            </w:r>
            <w:r w:rsidR="00342D4B">
              <w:rPr>
                <w:szCs w:val="20"/>
              </w:rPr>
              <w:fldChar w:fldCharType="separate"/>
            </w:r>
            <w:r w:rsidR="00472151">
              <w:rPr>
                <w:noProof/>
                <w:szCs w:val="20"/>
              </w:rPr>
              <w:t>93</w:t>
            </w:r>
            <w:r w:rsidR="00342D4B">
              <w:rPr>
                <w:szCs w:val="20"/>
              </w:rPr>
              <w:fldChar w:fldCharType="end"/>
            </w:r>
          </w:p>
        </w:tc>
      </w:tr>
      <w:tr w:rsidR="00DA0ABF" w:rsidRPr="007E1EE3" w14:paraId="1FFA5C36" w14:textId="77777777" w:rsidTr="001F66C7">
        <w:tc>
          <w:tcPr>
            <w:tcW w:w="1418" w:type="dxa"/>
          </w:tcPr>
          <w:p w14:paraId="02E089B5" w14:textId="53C0A9B2" w:rsidR="00DA0ABF" w:rsidRPr="007E1EE3" w:rsidRDefault="00DA0ABF" w:rsidP="000B1EBD">
            <w:pPr>
              <w:pStyle w:val="TableBodyText"/>
              <w:rPr>
                <w:szCs w:val="20"/>
              </w:rPr>
            </w:pPr>
            <w:r w:rsidRPr="007E1EE3">
              <w:rPr>
                <w:szCs w:val="20"/>
              </w:rPr>
              <w:t>MRD 04</w:t>
            </w:r>
          </w:p>
        </w:tc>
        <w:tc>
          <w:tcPr>
            <w:tcW w:w="6095" w:type="dxa"/>
          </w:tcPr>
          <w:p w14:paraId="7B0F90BC" w14:textId="002CFB66" w:rsidR="00DA0ABF" w:rsidRPr="007E1EE3" w:rsidRDefault="00DA0ABF" w:rsidP="000B1EBD">
            <w:pPr>
              <w:pStyle w:val="TableBodyText"/>
              <w:rPr>
                <w:szCs w:val="20"/>
              </w:rPr>
            </w:pPr>
            <w:r w:rsidRPr="007E1EE3">
              <w:rPr>
                <w:szCs w:val="20"/>
              </w:rPr>
              <w:t>Disclosure of information on bulk entitlements, transfers of water entitlements, allocations and licences, irrigation water usage and licence entitlements</w:t>
            </w:r>
          </w:p>
        </w:tc>
        <w:tc>
          <w:tcPr>
            <w:tcW w:w="2118" w:type="dxa"/>
          </w:tcPr>
          <w:p w14:paraId="1F306E0B" w14:textId="103DFED0" w:rsidR="00DA0ABF" w:rsidRPr="007E1EE3" w:rsidRDefault="00342D4B" w:rsidP="000B1EBD">
            <w:pPr>
              <w:pStyle w:val="TableBodyText"/>
              <w:rPr>
                <w:szCs w:val="20"/>
              </w:rPr>
            </w:pPr>
            <w:r>
              <w:rPr>
                <w:szCs w:val="20"/>
              </w:rPr>
              <w:fldChar w:fldCharType="begin"/>
            </w:r>
            <w:r>
              <w:rPr>
                <w:szCs w:val="20"/>
              </w:rPr>
              <w:instrText xml:space="preserve"> PAGEREF _Ref89805614 \h </w:instrText>
            </w:r>
            <w:r>
              <w:rPr>
                <w:szCs w:val="20"/>
              </w:rPr>
            </w:r>
            <w:r>
              <w:rPr>
                <w:szCs w:val="20"/>
              </w:rPr>
              <w:fldChar w:fldCharType="separate"/>
            </w:r>
            <w:r w:rsidR="00472151">
              <w:rPr>
                <w:noProof/>
                <w:szCs w:val="20"/>
              </w:rPr>
              <w:t>93</w:t>
            </w:r>
            <w:r>
              <w:rPr>
                <w:szCs w:val="20"/>
              </w:rPr>
              <w:fldChar w:fldCharType="end"/>
            </w:r>
            <w:r>
              <w:rPr>
                <w:szCs w:val="20"/>
              </w:rPr>
              <w:t>-</w:t>
            </w:r>
            <w:r>
              <w:rPr>
                <w:szCs w:val="20"/>
              </w:rPr>
              <w:fldChar w:fldCharType="begin"/>
            </w:r>
            <w:r>
              <w:rPr>
                <w:szCs w:val="20"/>
              </w:rPr>
              <w:instrText xml:space="preserve"> PAGEREF _Ref89805648 \h </w:instrText>
            </w:r>
            <w:r>
              <w:rPr>
                <w:szCs w:val="20"/>
              </w:rPr>
            </w:r>
            <w:r>
              <w:rPr>
                <w:szCs w:val="20"/>
              </w:rPr>
              <w:fldChar w:fldCharType="separate"/>
            </w:r>
            <w:r w:rsidR="00472151">
              <w:rPr>
                <w:noProof/>
                <w:szCs w:val="20"/>
              </w:rPr>
              <w:t>93</w:t>
            </w:r>
            <w:r>
              <w:rPr>
                <w:szCs w:val="20"/>
              </w:rPr>
              <w:fldChar w:fldCharType="end"/>
            </w:r>
          </w:p>
        </w:tc>
      </w:tr>
      <w:tr w:rsidR="00DA0ABF" w:rsidRPr="007E1EE3" w14:paraId="2DE7DE43" w14:textId="77777777" w:rsidTr="001F66C7">
        <w:tc>
          <w:tcPr>
            <w:tcW w:w="1418" w:type="dxa"/>
          </w:tcPr>
          <w:p w14:paraId="5C17E436" w14:textId="3D17951D" w:rsidR="00DA0ABF" w:rsidRPr="007E1EE3" w:rsidRDefault="00DA0ABF" w:rsidP="000B1EBD">
            <w:pPr>
              <w:pStyle w:val="TableBodyText"/>
              <w:rPr>
                <w:szCs w:val="20"/>
              </w:rPr>
            </w:pPr>
            <w:r w:rsidRPr="007E1EE3">
              <w:rPr>
                <w:szCs w:val="20"/>
              </w:rPr>
              <w:t>MRD 05</w:t>
            </w:r>
          </w:p>
        </w:tc>
        <w:tc>
          <w:tcPr>
            <w:tcW w:w="6095" w:type="dxa"/>
          </w:tcPr>
          <w:p w14:paraId="1B9AD21F" w14:textId="60CCB02C" w:rsidR="00DA0ABF" w:rsidRPr="007E1EE3" w:rsidRDefault="00DA0ABF" w:rsidP="000B1EBD">
            <w:pPr>
              <w:pStyle w:val="TableBodyText"/>
              <w:rPr>
                <w:szCs w:val="20"/>
              </w:rPr>
            </w:pPr>
            <w:r w:rsidRPr="007E1EE3">
              <w:rPr>
                <w:szCs w:val="20"/>
              </w:rPr>
              <w:t>Annual reporting of major non-residential water users</w:t>
            </w:r>
          </w:p>
        </w:tc>
        <w:tc>
          <w:tcPr>
            <w:tcW w:w="2118" w:type="dxa"/>
          </w:tcPr>
          <w:p w14:paraId="1D7BB552" w14:textId="7E206546" w:rsidR="00DA0ABF" w:rsidRPr="007E1EE3" w:rsidRDefault="00342D4B" w:rsidP="000B1EBD">
            <w:pPr>
              <w:pStyle w:val="TableBodyText"/>
              <w:rPr>
                <w:szCs w:val="20"/>
              </w:rPr>
            </w:pPr>
            <w:r>
              <w:rPr>
                <w:szCs w:val="20"/>
              </w:rPr>
              <w:fldChar w:fldCharType="begin"/>
            </w:r>
            <w:r>
              <w:rPr>
                <w:szCs w:val="20"/>
              </w:rPr>
              <w:instrText xml:space="preserve"> PAGEREF _Ref89805358 \h </w:instrText>
            </w:r>
            <w:r>
              <w:rPr>
                <w:szCs w:val="20"/>
              </w:rPr>
            </w:r>
            <w:r>
              <w:rPr>
                <w:szCs w:val="20"/>
              </w:rPr>
              <w:fldChar w:fldCharType="separate"/>
            </w:r>
            <w:r w:rsidR="00472151">
              <w:rPr>
                <w:noProof/>
                <w:szCs w:val="20"/>
              </w:rPr>
              <w:t>24</w:t>
            </w:r>
            <w:r>
              <w:rPr>
                <w:szCs w:val="20"/>
              </w:rPr>
              <w:fldChar w:fldCharType="end"/>
            </w:r>
            <w:r>
              <w:rPr>
                <w:szCs w:val="20"/>
              </w:rPr>
              <w:t>-</w:t>
            </w:r>
            <w:r>
              <w:rPr>
                <w:szCs w:val="20"/>
              </w:rPr>
              <w:fldChar w:fldCharType="begin"/>
            </w:r>
            <w:r>
              <w:rPr>
                <w:szCs w:val="20"/>
              </w:rPr>
              <w:instrText xml:space="preserve"> PAGEREF _Ref89805368 \h </w:instrText>
            </w:r>
            <w:r>
              <w:rPr>
                <w:szCs w:val="20"/>
              </w:rPr>
            </w:r>
            <w:r>
              <w:rPr>
                <w:szCs w:val="20"/>
              </w:rPr>
              <w:fldChar w:fldCharType="separate"/>
            </w:r>
            <w:r w:rsidR="00472151">
              <w:rPr>
                <w:noProof/>
                <w:szCs w:val="20"/>
              </w:rPr>
              <w:t>27</w:t>
            </w:r>
            <w:r>
              <w:rPr>
                <w:szCs w:val="20"/>
              </w:rPr>
              <w:fldChar w:fldCharType="end"/>
            </w:r>
          </w:p>
        </w:tc>
      </w:tr>
      <w:tr w:rsidR="00DA0ABF" w:rsidRPr="007E1EE3" w14:paraId="5ACF3326" w14:textId="77777777" w:rsidTr="001F66C7">
        <w:tc>
          <w:tcPr>
            <w:tcW w:w="1418" w:type="dxa"/>
          </w:tcPr>
          <w:p w14:paraId="30DB3AC7" w14:textId="16C2E253" w:rsidR="00DA0ABF" w:rsidRPr="007E1EE3" w:rsidRDefault="00DA0ABF" w:rsidP="000B1EBD">
            <w:pPr>
              <w:pStyle w:val="TableBodyText"/>
              <w:rPr>
                <w:szCs w:val="20"/>
              </w:rPr>
            </w:pPr>
            <w:r w:rsidRPr="007E1EE3">
              <w:rPr>
                <w:szCs w:val="20"/>
              </w:rPr>
              <w:t>MRD 06</w:t>
            </w:r>
          </w:p>
        </w:tc>
        <w:tc>
          <w:tcPr>
            <w:tcW w:w="6095" w:type="dxa"/>
          </w:tcPr>
          <w:p w14:paraId="656AA302" w14:textId="075AFA82" w:rsidR="00DA0ABF" w:rsidRPr="007E1EE3" w:rsidRDefault="00DA0ABF" w:rsidP="000B1EBD">
            <w:pPr>
              <w:pStyle w:val="TableBodyText"/>
              <w:rPr>
                <w:szCs w:val="20"/>
              </w:rPr>
            </w:pPr>
            <w:r w:rsidRPr="007E1EE3">
              <w:rPr>
                <w:szCs w:val="20"/>
              </w:rPr>
              <w:t>Greenhouse gas and energy reporting</w:t>
            </w:r>
          </w:p>
        </w:tc>
        <w:tc>
          <w:tcPr>
            <w:tcW w:w="2118" w:type="dxa"/>
          </w:tcPr>
          <w:p w14:paraId="46FC5ED7" w14:textId="3C6984AA" w:rsidR="00DA0ABF" w:rsidRPr="007E1EE3" w:rsidRDefault="00342D4B" w:rsidP="000B1EBD">
            <w:pPr>
              <w:pStyle w:val="TableBodyText"/>
              <w:rPr>
                <w:szCs w:val="20"/>
              </w:rPr>
            </w:pPr>
            <w:r>
              <w:rPr>
                <w:szCs w:val="20"/>
              </w:rPr>
              <w:fldChar w:fldCharType="begin"/>
            </w:r>
            <w:r>
              <w:rPr>
                <w:szCs w:val="20"/>
              </w:rPr>
              <w:instrText xml:space="preserve"> PAGEREF _Ref89805710 \h </w:instrText>
            </w:r>
            <w:r>
              <w:rPr>
                <w:szCs w:val="20"/>
              </w:rPr>
            </w:r>
            <w:r>
              <w:rPr>
                <w:szCs w:val="20"/>
              </w:rPr>
              <w:fldChar w:fldCharType="separate"/>
            </w:r>
            <w:r w:rsidR="00472151">
              <w:rPr>
                <w:noProof/>
                <w:szCs w:val="20"/>
              </w:rPr>
              <w:t>59</w:t>
            </w:r>
            <w:r>
              <w:rPr>
                <w:szCs w:val="20"/>
              </w:rPr>
              <w:fldChar w:fldCharType="end"/>
            </w:r>
            <w:r>
              <w:rPr>
                <w:szCs w:val="20"/>
              </w:rPr>
              <w:t>-</w:t>
            </w:r>
            <w:r>
              <w:rPr>
                <w:szCs w:val="20"/>
              </w:rPr>
              <w:fldChar w:fldCharType="begin"/>
            </w:r>
            <w:r>
              <w:rPr>
                <w:szCs w:val="20"/>
              </w:rPr>
              <w:instrText xml:space="preserve"> PAGEREF _Ref89805727 \h </w:instrText>
            </w:r>
            <w:r>
              <w:rPr>
                <w:szCs w:val="20"/>
              </w:rPr>
            </w:r>
            <w:r>
              <w:rPr>
                <w:szCs w:val="20"/>
              </w:rPr>
              <w:fldChar w:fldCharType="separate"/>
            </w:r>
            <w:r w:rsidR="00472151">
              <w:rPr>
                <w:noProof/>
                <w:szCs w:val="20"/>
              </w:rPr>
              <w:t>63</w:t>
            </w:r>
            <w:r>
              <w:rPr>
                <w:szCs w:val="20"/>
              </w:rPr>
              <w:fldChar w:fldCharType="end"/>
            </w:r>
          </w:p>
        </w:tc>
      </w:tr>
      <w:tr w:rsidR="00DA0ABF" w:rsidRPr="007E1EE3" w14:paraId="36483741" w14:textId="77777777" w:rsidTr="001F66C7">
        <w:tc>
          <w:tcPr>
            <w:tcW w:w="1418" w:type="dxa"/>
          </w:tcPr>
          <w:p w14:paraId="220D81A8" w14:textId="51E760E6" w:rsidR="00DA0ABF" w:rsidRPr="007E1EE3" w:rsidRDefault="00DA0ABF" w:rsidP="000B1EBD">
            <w:pPr>
              <w:pStyle w:val="TableBodyText"/>
              <w:rPr>
                <w:szCs w:val="20"/>
              </w:rPr>
            </w:pPr>
            <w:r w:rsidRPr="007E1EE3">
              <w:rPr>
                <w:szCs w:val="20"/>
              </w:rPr>
              <w:t>MRD 07</w:t>
            </w:r>
          </w:p>
        </w:tc>
        <w:tc>
          <w:tcPr>
            <w:tcW w:w="6095" w:type="dxa"/>
          </w:tcPr>
          <w:p w14:paraId="7B33BE07" w14:textId="6B14AF01" w:rsidR="00DA0ABF" w:rsidRPr="007E1EE3" w:rsidRDefault="00DA0ABF" w:rsidP="000B1EBD">
            <w:pPr>
              <w:pStyle w:val="TableBodyText"/>
              <w:rPr>
                <w:szCs w:val="20"/>
              </w:rPr>
            </w:pPr>
            <w:r w:rsidRPr="007E1EE3">
              <w:rPr>
                <w:szCs w:val="20"/>
              </w:rPr>
              <w:t>Disclosure of information on Letter of Expectations</w:t>
            </w:r>
          </w:p>
        </w:tc>
        <w:tc>
          <w:tcPr>
            <w:tcW w:w="2118" w:type="dxa"/>
          </w:tcPr>
          <w:p w14:paraId="0B0E14FF" w14:textId="7916311B" w:rsidR="00DA0ABF" w:rsidRPr="007E1EE3" w:rsidRDefault="00342D4B" w:rsidP="000B1EBD">
            <w:pPr>
              <w:pStyle w:val="TableBodyText"/>
              <w:rPr>
                <w:szCs w:val="20"/>
              </w:rPr>
            </w:pPr>
            <w:r>
              <w:rPr>
                <w:szCs w:val="20"/>
              </w:rPr>
              <w:fldChar w:fldCharType="begin"/>
            </w:r>
            <w:r>
              <w:rPr>
                <w:szCs w:val="20"/>
              </w:rPr>
              <w:instrText xml:space="preserve"> PAGEREF _Ref89805749 \h </w:instrText>
            </w:r>
            <w:r>
              <w:rPr>
                <w:szCs w:val="20"/>
              </w:rPr>
            </w:r>
            <w:r>
              <w:rPr>
                <w:szCs w:val="20"/>
              </w:rPr>
              <w:fldChar w:fldCharType="separate"/>
            </w:r>
            <w:r w:rsidR="00472151">
              <w:rPr>
                <w:noProof/>
                <w:szCs w:val="20"/>
              </w:rPr>
              <w:t>93</w:t>
            </w:r>
            <w:r>
              <w:rPr>
                <w:szCs w:val="20"/>
              </w:rPr>
              <w:fldChar w:fldCharType="end"/>
            </w:r>
          </w:p>
        </w:tc>
      </w:tr>
      <w:tr w:rsidR="00DA0ABF" w:rsidRPr="007E1EE3" w14:paraId="0D0F5168" w14:textId="77777777" w:rsidTr="001F66C7">
        <w:tc>
          <w:tcPr>
            <w:tcW w:w="1418" w:type="dxa"/>
          </w:tcPr>
          <w:p w14:paraId="2E964264" w14:textId="38F514AE" w:rsidR="00DA0ABF" w:rsidRPr="007E1EE3" w:rsidRDefault="00DA0ABF" w:rsidP="000B1EBD">
            <w:pPr>
              <w:pStyle w:val="TableBodyText"/>
              <w:rPr>
                <w:szCs w:val="20"/>
              </w:rPr>
            </w:pPr>
            <w:r w:rsidRPr="007E1EE3">
              <w:rPr>
                <w:szCs w:val="20"/>
              </w:rPr>
              <w:t>N/A</w:t>
            </w:r>
          </w:p>
        </w:tc>
        <w:tc>
          <w:tcPr>
            <w:tcW w:w="6095" w:type="dxa"/>
          </w:tcPr>
          <w:p w14:paraId="557DD470" w14:textId="1C6444B5" w:rsidR="00DA0ABF" w:rsidRPr="007E1EE3" w:rsidRDefault="00DA0ABF" w:rsidP="000B1EBD">
            <w:pPr>
              <w:pStyle w:val="TableBodyText"/>
              <w:rPr>
                <w:rStyle w:val="Bold"/>
                <w:szCs w:val="20"/>
              </w:rPr>
            </w:pPr>
            <w:r w:rsidRPr="007E1EE3">
              <w:rPr>
                <w:rStyle w:val="Bold"/>
                <w:szCs w:val="20"/>
              </w:rPr>
              <w:t>Financial Report</w:t>
            </w:r>
          </w:p>
        </w:tc>
        <w:tc>
          <w:tcPr>
            <w:tcW w:w="2118" w:type="dxa"/>
          </w:tcPr>
          <w:p w14:paraId="574BABEC" w14:textId="437D9E12" w:rsidR="00DA0ABF" w:rsidRPr="007E1EE3" w:rsidRDefault="00DA0ABF" w:rsidP="000B1EBD">
            <w:pPr>
              <w:pStyle w:val="TableBodyText"/>
              <w:rPr>
                <w:szCs w:val="20"/>
              </w:rPr>
            </w:pPr>
            <w:r w:rsidRPr="007E1EE3">
              <w:rPr>
                <w:szCs w:val="20"/>
              </w:rPr>
              <w:t>N/A</w:t>
            </w:r>
          </w:p>
        </w:tc>
      </w:tr>
      <w:tr w:rsidR="00DA0ABF" w:rsidRPr="007E1EE3" w14:paraId="1DBCDC8E" w14:textId="77777777" w:rsidTr="001F66C7">
        <w:tc>
          <w:tcPr>
            <w:tcW w:w="1418" w:type="dxa"/>
          </w:tcPr>
          <w:p w14:paraId="10351541" w14:textId="0F87AB48" w:rsidR="00DA0ABF" w:rsidRPr="007E1EE3" w:rsidRDefault="00DA0ABF" w:rsidP="000B1EBD">
            <w:pPr>
              <w:pStyle w:val="TableBodyText"/>
              <w:rPr>
                <w:szCs w:val="20"/>
              </w:rPr>
            </w:pPr>
            <w:r w:rsidRPr="007E1EE3">
              <w:rPr>
                <w:szCs w:val="20"/>
              </w:rPr>
              <w:t>N/A</w:t>
            </w:r>
          </w:p>
        </w:tc>
        <w:tc>
          <w:tcPr>
            <w:tcW w:w="6095" w:type="dxa"/>
          </w:tcPr>
          <w:p w14:paraId="5F7D06B3" w14:textId="79C7E919" w:rsidR="00DA0ABF" w:rsidRPr="007E1EE3" w:rsidRDefault="00DA0ABF" w:rsidP="000B1EBD">
            <w:pPr>
              <w:pStyle w:val="TableBodyText"/>
              <w:rPr>
                <w:rStyle w:val="Bold"/>
                <w:szCs w:val="20"/>
              </w:rPr>
            </w:pPr>
            <w:r w:rsidRPr="007E1EE3">
              <w:rPr>
                <w:rStyle w:val="Bold"/>
                <w:szCs w:val="20"/>
              </w:rPr>
              <w:t>Financial statements required under Part 7 of the FMA</w:t>
            </w:r>
          </w:p>
        </w:tc>
        <w:tc>
          <w:tcPr>
            <w:tcW w:w="2118" w:type="dxa"/>
          </w:tcPr>
          <w:p w14:paraId="5A76E1AF" w14:textId="311D1C3C" w:rsidR="00DA0ABF" w:rsidRPr="007E1EE3" w:rsidRDefault="00761BBB" w:rsidP="000B1EBD">
            <w:pPr>
              <w:pStyle w:val="TableBodyText"/>
              <w:rPr>
                <w:szCs w:val="20"/>
              </w:rPr>
            </w:pPr>
            <w:r w:rsidRPr="007E1EE3">
              <w:rPr>
                <w:szCs w:val="20"/>
              </w:rPr>
              <w:t>N/A</w:t>
            </w:r>
          </w:p>
        </w:tc>
      </w:tr>
      <w:tr w:rsidR="00DA0ABF" w:rsidRPr="007E1EE3" w14:paraId="47969137" w14:textId="77777777" w:rsidTr="001F66C7">
        <w:tc>
          <w:tcPr>
            <w:tcW w:w="1418" w:type="dxa"/>
          </w:tcPr>
          <w:p w14:paraId="436044F6" w14:textId="50F534C5" w:rsidR="00DA0ABF" w:rsidRPr="007E1EE3" w:rsidRDefault="00DA0ABF" w:rsidP="000B1EBD">
            <w:pPr>
              <w:pStyle w:val="TableBodyText"/>
              <w:rPr>
                <w:szCs w:val="20"/>
              </w:rPr>
            </w:pPr>
            <w:r w:rsidRPr="007E1EE3">
              <w:rPr>
                <w:szCs w:val="20"/>
              </w:rPr>
              <w:t>SD 5.2.2(b)</w:t>
            </w:r>
          </w:p>
        </w:tc>
        <w:tc>
          <w:tcPr>
            <w:tcW w:w="6095" w:type="dxa"/>
          </w:tcPr>
          <w:p w14:paraId="5F425FBE" w14:textId="7DF731D6" w:rsidR="00DA0ABF" w:rsidRPr="007E1EE3" w:rsidRDefault="00DA0ABF" w:rsidP="000B1EBD">
            <w:pPr>
              <w:pStyle w:val="TableBodyText"/>
              <w:rPr>
                <w:szCs w:val="20"/>
              </w:rPr>
            </w:pPr>
            <w:r w:rsidRPr="007E1EE3">
              <w:rPr>
                <w:szCs w:val="20"/>
              </w:rPr>
              <w:t>Income statement</w:t>
            </w:r>
          </w:p>
        </w:tc>
        <w:tc>
          <w:tcPr>
            <w:tcW w:w="2118" w:type="dxa"/>
          </w:tcPr>
          <w:p w14:paraId="105FD5B7" w14:textId="79CB8ED7" w:rsidR="00DA0ABF" w:rsidRPr="007E1EE3" w:rsidRDefault="00342D4B" w:rsidP="000B1EBD">
            <w:pPr>
              <w:pStyle w:val="TableBodyText"/>
              <w:rPr>
                <w:szCs w:val="20"/>
              </w:rPr>
            </w:pPr>
            <w:r>
              <w:rPr>
                <w:szCs w:val="20"/>
              </w:rPr>
              <w:fldChar w:fldCharType="begin"/>
            </w:r>
            <w:r>
              <w:rPr>
                <w:szCs w:val="20"/>
              </w:rPr>
              <w:instrText xml:space="preserve"> PAGEREF _Ref89805824 \h </w:instrText>
            </w:r>
            <w:r>
              <w:rPr>
                <w:szCs w:val="20"/>
              </w:rPr>
            </w:r>
            <w:r>
              <w:rPr>
                <w:szCs w:val="20"/>
              </w:rPr>
              <w:fldChar w:fldCharType="separate"/>
            </w:r>
            <w:r w:rsidR="00472151">
              <w:rPr>
                <w:noProof/>
                <w:szCs w:val="20"/>
              </w:rPr>
              <w:t>93</w:t>
            </w:r>
            <w:r>
              <w:rPr>
                <w:szCs w:val="20"/>
              </w:rPr>
              <w:fldChar w:fldCharType="end"/>
            </w:r>
          </w:p>
        </w:tc>
      </w:tr>
      <w:tr w:rsidR="00DA0ABF" w:rsidRPr="007E1EE3" w14:paraId="101F9F8F" w14:textId="77777777" w:rsidTr="001F66C7">
        <w:tc>
          <w:tcPr>
            <w:tcW w:w="1418" w:type="dxa"/>
          </w:tcPr>
          <w:p w14:paraId="4F927888" w14:textId="6F878F4E" w:rsidR="00DA0ABF" w:rsidRPr="007E1EE3" w:rsidRDefault="00DA0ABF" w:rsidP="000B1EBD">
            <w:pPr>
              <w:pStyle w:val="TableBodyText"/>
              <w:rPr>
                <w:szCs w:val="20"/>
              </w:rPr>
            </w:pPr>
            <w:r w:rsidRPr="007E1EE3">
              <w:rPr>
                <w:szCs w:val="20"/>
              </w:rPr>
              <w:t>SD 5.2.2(b)</w:t>
            </w:r>
          </w:p>
        </w:tc>
        <w:tc>
          <w:tcPr>
            <w:tcW w:w="6095" w:type="dxa"/>
          </w:tcPr>
          <w:p w14:paraId="4126CE4D" w14:textId="22A91F31" w:rsidR="00DA0ABF" w:rsidRPr="007E1EE3" w:rsidRDefault="00DA0ABF" w:rsidP="000B1EBD">
            <w:pPr>
              <w:pStyle w:val="TableBodyText"/>
              <w:rPr>
                <w:szCs w:val="20"/>
              </w:rPr>
            </w:pPr>
            <w:r w:rsidRPr="007E1EE3">
              <w:rPr>
                <w:szCs w:val="20"/>
              </w:rPr>
              <w:t>Balance sheet</w:t>
            </w:r>
          </w:p>
        </w:tc>
        <w:tc>
          <w:tcPr>
            <w:tcW w:w="2118" w:type="dxa"/>
          </w:tcPr>
          <w:p w14:paraId="08C53219" w14:textId="089BBFC3" w:rsidR="00DA0ABF" w:rsidRPr="007E1EE3" w:rsidRDefault="00C911B9" w:rsidP="000B1EBD">
            <w:pPr>
              <w:pStyle w:val="TableBodyText"/>
              <w:rPr>
                <w:szCs w:val="20"/>
              </w:rPr>
            </w:pPr>
            <w:r>
              <w:rPr>
                <w:szCs w:val="20"/>
              </w:rPr>
              <w:fldChar w:fldCharType="begin"/>
            </w:r>
            <w:r>
              <w:rPr>
                <w:szCs w:val="20"/>
              </w:rPr>
              <w:instrText xml:space="preserve"> PAGEREF _Ref89806031 \h </w:instrText>
            </w:r>
            <w:r>
              <w:rPr>
                <w:szCs w:val="20"/>
              </w:rPr>
            </w:r>
            <w:r>
              <w:rPr>
                <w:szCs w:val="20"/>
              </w:rPr>
              <w:fldChar w:fldCharType="separate"/>
            </w:r>
            <w:r w:rsidR="00472151">
              <w:rPr>
                <w:noProof/>
                <w:szCs w:val="20"/>
              </w:rPr>
              <w:t>93</w:t>
            </w:r>
            <w:r>
              <w:rPr>
                <w:szCs w:val="20"/>
              </w:rPr>
              <w:fldChar w:fldCharType="end"/>
            </w:r>
          </w:p>
        </w:tc>
      </w:tr>
      <w:tr w:rsidR="00DA0ABF" w:rsidRPr="007E1EE3" w14:paraId="7A893E13" w14:textId="77777777" w:rsidTr="001F66C7">
        <w:tc>
          <w:tcPr>
            <w:tcW w:w="1418" w:type="dxa"/>
          </w:tcPr>
          <w:p w14:paraId="1BEFF62E" w14:textId="5676B481" w:rsidR="00DA0ABF" w:rsidRPr="007E1EE3" w:rsidRDefault="00DA0ABF" w:rsidP="000B1EBD">
            <w:pPr>
              <w:pStyle w:val="TableBodyText"/>
              <w:rPr>
                <w:szCs w:val="20"/>
              </w:rPr>
            </w:pPr>
            <w:r w:rsidRPr="007E1EE3">
              <w:rPr>
                <w:szCs w:val="20"/>
              </w:rPr>
              <w:lastRenderedPageBreak/>
              <w:t>SD 5.2.2(b)</w:t>
            </w:r>
          </w:p>
        </w:tc>
        <w:tc>
          <w:tcPr>
            <w:tcW w:w="6095" w:type="dxa"/>
          </w:tcPr>
          <w:p w14:paraId="5FC3F942" w14:textId="3D5645EC" w:rsidR="00DA0ABF" w:rsidRPr="007E1EE3" w:rsidRDefault="00DA0ABF" w:rsidP="000B1EBD">
            <w:pPr>
              <w:pStyle w:val="TableBodyText"/>
              <w:rPr>
                <w:szCs w:val="20"/>
              </w:rPr>
            </w:pPr>
            <w:r w:rsidRPr="007E1EE3">
              <w:rPr>
                <w:szCs w:val="20"/>
              </w:rPr>
              <w:t>Cash flow statement</w:t>
            </w:r>
          </w:p>
        </w:tc>
        <w:tc>
          <w:tcPr>
            <w:tcW w:w="2118" w:type="dxa"/>
          </w:tcPr>
          <w:p w14:paraId="7C3E3BCE" w14:textId="716B4AD0" w:rsidR="00DA0ABF" w:rsidRPr="007E1EE3" w:rsidRDefault="00C911B9" w:rsidP="000B1EBD">
            <w:pPr>
              <w:pStyle w:val="TableBodyText"/>
              <w:rPr>
                <w:szCs w:val="20"/>
              </w:rPr>
            </w:pPr>
            <w:r>
              <w:rPr>
                <w:szCs w:val="20"/>
              </w:rPr>
              <w:fldChar w:fldCharType="begin"/>
            </w:r>
            <w:r>
              <w:rPr>
                <w:szCs w:val="20"/>
              </w:rPr>
              <w:instrText xml:space="preserve"> PAGEREF _Ref89806044 \h </w:instrText>
            </w:r>
            <w:r>
              <w:rPr>
                <w:szCs w:val="20"/>
              </w:rPr>
            </w:r>
            <w:r>
              <w:rPr>
                <w:szCs w:val="20"/>
              </w:rPr>
              <w:fldChar w:fldCharType="separate"/>
            </w:r>
            <w:r w:rsidR="00472151">
              <w:rPr>
                <w:noProof/>
                <w:szCs w:val="20"/>
              </w:rPr>
              <w:t>93</w:t>
            </w:r>
            <w:r>
              <w:rPr>
                <w:szCs w:val="20"/>
              </w:rPr>
              <w:fldChar w:fldCharType="end"/>
            </w:r>
          </w:p>
        </w:tc>
      </w:tr>
      <w:tr w:rsidR="00DA0ABF" w:rsidRPr="007E1EE3" w14:paraId="11A6A347" w14:textId="77777777" w:rsidTr="001F66C7">
        <w:tc>
          <w:tcPr>
            <w:tcW w:w="1418" w:type="dxa"/>
          </w:tcPr>
          <w:p w14:paraId="061F757F" w14:textId="4FE37379" w:rsidR="00DA0ABF" w:rsidRPr="007E1EE3" w:rsidRDefault="00DA0ABF" w:rsidP="000B1EBD">
            <w:pPr>
              <w:pStyle w:val="TableBodyText"/>
              <w:rPr>
                <w:szCs w:val="20"/>
              </w:rPr>
            </w:pPr>
            <w:r w:rsidRPr="007E1EE3">
              <w:rPr>
                <w:szCs w:val="20"/>
              </w:rPr>
              <w:t>SD 5.2.2(b)</w:t>
            </w:r>
          </w:p>
        </w:tc>
        <w:tc>
          <w:tcPr>
            <w:tcW w:w="6095" w:type="dxa"/>
          </w:tcPr>
          <w:p w14:paraId="7FEB4D05" w14:textId="476B901C" w:rsidR="00DA0ABF" w:rsidRPr="007E1EE3" w:rsidRDefault="00DA0ABF" w:rsidP="000B1EBD">
            <w:pPr>
              <w:pStyle w:val="TableBodyText"/>
              <w:rPr>
                <w:szCs w:val="20"/>
              </w:rPr>
            </w:pPr>
            <w:r w:rsidRPr="007E1EE3">
              <w:rPr>
                <w:szCs w:val="20"/>
              </w:rPr>
              <w:t>Notes to the financial statements</w:t>
            </w:r>
          </w:p>
        </w:tc>
        <w:tc>
          <w:tcPr>
            <w:tcW w:w="2118" w:type="dxa"/>
          </w:tcPr>
          <w:p w14:paraId="00F6A864" w14:textId="29C7621C" w:rsidR="00DA0ABF" w:rsidRPr="007E1EE3" w:rsidRDefault="00C911B9" w:rsidP="000B1EBD">
            <w:pPr>
              <w:pStyle w:val="TableBodyText"/>
              <w:rPr>
                <w:szCs w:val="20"/>
              </w:rPr>
            </w:pPr>
            <w:r>
              <w:rPr>
                <w:szCs w:val="20"/>
              </w:rPr>
              <w:fldChar w:fldCharType="begin"/>
            </w:r>
            <w:r>
              <w:rPr>
                <w:szCs w:val="20"/>
              </w:rPr>
              <w:instrText xml:space="preserve"> PAGEREF _Ref89806055 \h </w:instrText>
            </w:r>
            <w:r>
              <w:rPr>
                <w:szCs w:val="20"/>
              </w:rPr>
            </w:r>
            <w:r>
              <w:rPr>
                <w:szCs w:val="20"/>
              </w:rPr>
              <w:fldChar w:fldCharType="separate"/>
            </w:r>
            <w:r w:rsidR="00472151">
              <w:rPr>
                <w:noProof/>
                <w:szCs w:val="20"/>
              </w:rPr>
              <w:t>93</w:t>
            </w:r>
            <w:r>
              <w:rPr>
                <w:szCs w:val="20"/>
              </w:rPr>
              <w:fldChar w:fldCharType="end"/>
            </w:r>
            <w:r>
              <w:rPr>
                <w:szCs w:val="20"/>
              </w:rPr>
              <w:t>-</w:t>
            </w:r>
            <w:r>
              <w:rPr>
                <w:szCs w:val="20"/>
              </w:rPr>
              <w:fldChar w:fldCharType="begin"/>
            </w:r>
            <w:r>
              <w:rPr>
                <w:szCs w:val="20"/>
              </w:rPr>
              <w:instrText xml:space="preserve"> PAGEREF _Ref89806075 \h </w:instrText>
            </w:r>
            <w:r>
              <w:rPr>
                <w:szCs w:val="20"/>
              </w:rPr>
            </w:r>
            <w:r>
              <w:rPr>
                <w:szCs w:val="20"/>
              </w:rPr>
              <w:fldChar w:fldCharType="separate"/>
            </w:r>
            <w:r w:rsidR="00472151">
              <w:rPr>
                <w:noProof/>
                <w:szCs w:val="20"/>
              </w:rPr>
              <w:t>93</w:t>
            </w:r>
            <w:r>
              <w:rPr>
                <w:szCs w:val="20"/>
              </w:rPr>
              <w:fldChar w:fldCharType="end"/>
            </w:r>
          </w:p>
        </w:tc>
      </w:tr>
      <w:tr w:rsidR="00DA0ABF" w:rsidRPr="007E1EE3" w14:paraId="31125DAE" w14:textId="77777777" w:rsidTr="001F66C7">
        <w:tc>
          <w:tcPr>
            <w:tcW w:w="1418" w:type="dxa"/>
          </w:tcPr>
          <w:p w14:paraId="670001A6" w14:textId="5FAFD3C7" w:rsidR="00DA0ABF" w:rsidRPr="007E1EE3" w:rsidRDefault="00DA0ABF" w:rsidP="000B1EBD">
            <w:pPr>
              <w:pStyle w:val="TableBodyText"/>
              <w:rPr>
                <w:szCs w:val="20"/>
              </w:rPr>
            </w:pPr>
            <w:r w:rsidRPr="007E1EE3">
              <w:rPr>
                <w:szCs w:val="20"/>
              </w:rPr>
              <w:t>N/A</w:t>
            </w:r>
          </w:p>
        </w:tc>
        <w:tc>
          <w:tcPr>
            <w:tcW w:w="6095" w:type="dxa"/>
          </w:tcPr>
          <w:p w14:paraId="064C1F8A" w14:textId="38BE70D4" w:rsidR="00DA0ABF" w:rsidRPr="007E1EE3" w:rsidRDefault="00DA0ABF" w:rsidP="000B1EBD">
            <w:pPr>
              <w:pStyle w:val="TableBodyText"/>
              <w:rPr>
                <w:rStyle w:val="Bold"/>
                <w:szCs w:val="20"/>
              </w:rPr>
            </w:pPr>
            <w:r w:rsidRPr="007E1EE3">
              <w:rPr>
                <w:rStyle w:val="Bold"/>
                <w:szCs w:val="20"/>
              </w:rPr>
              <w:t>Other requirements under Standing Director 5.2</w:t>
            </w:r>
          </w:p>
        </w:tc>
        <w:tc>
          <w:tcPr>
            <w:tcW w:w="2118" w:type="dxa"/>
          </w:tcPr>
          <w:p w14:paraId="3162A9A1" w14:textId="3D22424A" w:rsidR="00DA0ABF" w:rsidRPr="007E1EE3" w:rsidRDefault="00761BBB" w:rsidP="000B1EBD">
            <w:pPr>
              <w:pStyle w:val="TableBodyText"/>
              <w:rPr>
                <w:szCs w:val="20"/>
              </w:rPr>
            </w:pPr>
            <w:r w:rsidRPr="007E1EE3">
              <w:rPr>
                <w:szCs w:val="20"/>
              </w:rPr>
              <w:t>N/</w:t>
            </w:r>
            <w:r w:rsidR="00C911B9">
              <w:rPr>
                <w:szCs w:val="20"/>
              </w:rPr>
              <w:t>A</w:t>
            </w:r>
          </w:p>
        </w:tc>
      </w:tr>
      <w:tr w:rsidR="00DA0ABF" w:rsidRPr="007E1EE3" w14:paraId="50A61968" w14:textId="77777777" w:rsidTr="001F66C7">
        <w:tc>
          <w:tcPr>
            <w:tcW w:w="1418" w:type="dxa"/>
          </w:tcPr>
          <w:p w14:paraId="5A04E5F3" w14:textId="792AE18A" w:rsidR="00DA0ABF" w:rsidRPr="007E1EE3" w:rsidRDefault="00DA0ABF" w:rsidP="000B1EBD">
            <w:pPr>
              <w:pStyle w:val="TableBodyText"/>
              <w:rPr>
                <w:szCs w:val="20"/>
              </w:rPr>
            </w:pPr>
            <w:r w:rsidRPr="007E1EE3">
              <w:rPr>
                <w:szCs w:val="20"/>
              </w:rPr>
              <w:t>SD 5.2.1 (a)</w:t>
            </w:r>
          </w:p>
        </w:tc>
        <w:tc>
          <w:tcPr>
            <w:tcW w:w="6095" w:type="dxa"/>
          </w:tcPr>
          <w:p w14:paraId="08F686F4" w14:textId="035A9AC0" w:rsidR="00DA0ABF" w:rsidRPr="007E1EE3" w:rsidRDefault="00DA0ABF" w:rsidP="000B1EBD">
            <w:pPr>
              <w:pStyle w:val="TableBodyText"/>
              <w:rPr>
                <w:szCs w:val="20"/>
              </w:rPr>
            </w:pPr>
            <w:r w:rsidRPr="007E1EE3">
              <w:rPr>
                <w:szCs w:val="20"/>
              </w:rPr>
              <w:t>Compliance with Australian accounting standards and other authoritative pronouncements</w:t>
            </w:r>
          </w:p>
        </w:tc>
        <w:tc>
          <w:tcPr>
            <w:tcW w:w="2118" w:type="dxa"/>
          </w:tcPr>
          <w:p w14:paraId="74A3F2CA" w14:textId="142C5273" w:rsidR="00DA0ABF" w:rsidRPr="007E1EE3" w:rsidRDefault="003E6E9D" w:rsidP="000B1EBD">
            <w:pPr>
              <w:pStyle w:val="TableBodyText"/>
              <w:rPr>
                <w:szCs w:val="20"/>
              </w:rPr>
            </w:pPr>
            <w:r>
              <w:rPr>
                <w:szCs w:val="20"/>
              </w:rPr>
              <w:fldChar w:fldCharType="begin"/>
            </w:r>
            <w:r>
              <w:rPr>
                <w:szCs w:val="20"/>
              </w:rPr>
              <w:instrText xml:space="preserve"> PAGEREF _Ref89806165 \h </w:instrText>
            </w:r>
            <w:r>
              <w:rPr>
                <w:szCs w:val="20"/>
              </w:rPr>
            </w:r>
            <w:r>
              <w:rPr>
                <w:szCs w:val="20"/>
              </w:rPr>
              <w:fldChar w:fldCharType="separate"/>
            </w:r>
            <w:r w:rsidR="00472151">
              <w:rPr>
                <w:noProof/>
                <w:szCs w:val="20"/>
              </w:rPr>
              <w:t>93</w:t>
            </w:r>
            <w:r>
              <w:rPr>
                <w:szCs w:val="20"/>
              </w:rPr>
              <w:fldChar w:fldCharType="end"/>
            </w:r>
          </w:p>
        </w:tc>
      </w:tr>
      <w:tr w:rsidR="00DA0ABF" w:rsidRPr="007E1EE3" w14:paraId="67A6949D" w14:textId="77777777" w:rsidTr="001F66C7">
        <w:tc>
          <w:tcPr>
            <w:tcW w:w="1418" w:type="dxa"/>
          </w:tcPr>
          <w:p w14:paraId="2F854148" w14:textId="0D13AB81" w:rsidR="00DA0ABF" w:rsidRPr="007E1EE3" w:rsidRDefault="00DA0ABF" w:rsidP="000B1EBD">
            <w:pPr>
              <w:pStyle w:val="TableBodyText"/>
              <w:rPr>
                <w:szCs w:val="20"/>
              </w:rPr>
            </w:pPr>
            <w:r w:rsidRPr="007E1EE3">
              <w:rPr>
                <w:szCs w:val="20"/>
              </w:rPr>
              <w:t>SD 5.2.1 (a)</w:t>
            </w:r>
          </w:p>
        </w:tc>
        <w:tc>
          <w:tcPr>
            <w:tcW w:w="6095" w:type="dxa"/>
          </w:tcPr>
          <w:p w14:paraId="26263B27" w14:textId="1C3628DE" w:rsidR="00DA0ABF" w:rsidRPr="007E1EE3" w:rsidRDefault="00DA0ABF" w:rsidP="000B1EBD">
            <w:pPr>
              <w:pStyle w:val="TableBodyText"/>
              <w:rPr>
                <w:szCs w:val="20"/>
              </w:rPr>
            </w:pPr>
            <w:r w:rsidRPr="007E1EE3">
              <w:rPr>
                <w:szCs w:val="20"/>
              </w:rPr>
              <w:t>Compliance with Ministerial directions</w:t>
            </w:r>
          </w:p>
        </w:tc>
        <w:tc>
          <w:tcPr>
            <w:tcW w:w="2118" w:type="dxa"/>
          </w:tcPr>
          <w:p w14:paraId="23B81266" w14:textId="258A0FFC" w:rsidR="00DA0ABF" w:rsidRPr="007E1EE3" w:rsidRDefault="00011A4A" w:rsidP="000B1EBD">
            <w:pPr>
              <w:pStyle w:val="TableBodyText"/>
              <w:rPr>
                <w:szCs w:val="20"/>
              </w:rPr>
            </w:pPr>
            <w:r>
              <w:rPr>
                <w:szCs w:val="20"/>
              </w:rPr>
              <w:fldChar w:fldCharType="begin"/>
            </w:r>
            <w:r>
              <w:rPr>
                <w:szCs w:val="20"/>
              </w:rPr>
              <w:instrText xml:space="preserve"> PAGEREF _Ref89806199 \h </w:instrText>
            </w:r>
            <w:r>
              <w:rPr>
                <w:szCs w:val="20"/>
              </w:rPr>
            </w:r>
            <w:r>
              <w:rPr>
                <w:szCs w:val="20"/>
              </w:rPr>
              <w:fldChar w:fldCharType="separate"/>
            </w:r>
            <w:r w:rsidR="00472151">
              <w:rPr>
                <w:noProof/>
                <w:szCs w:val="20"/>
              </w:rPr>
              <w:t>93</w:t>
            </w:r>
            <w:r>
              <w:rPr>
                <w:szCs w:val="20"/>
              </w:rPr>
              <w:fldChar w:fldCharType="end"/>
            </w:r>
          </w:p>
        </w:tc>
      </w:tr>
      <w:tr w:rsidR="00DA0ABF" w:rsidRPr="007E1EE3" w14:paraId="7043E358" w14:textId="77777777" w:rsidTr="001F66C7">
        <w:tc>
          <w:tcPr>
            <w:tcW w:w="1418" w:type="dxa"/>
          </w:tcPr>
          <w:p w14:paraId="7289E4F8" w14:textId="63611B88" w:rsidR="00DA0ABF" w:rsidRPr="007E1EE3" w:rsidRDefault="00DA0ABF" w:rsidP="000B1EBD">
            <w:pPr>
              <w:pStyle w:val="TableBodyText"/>
              <w:rPr>
                <w:szCs w:val="20"/>
              </w:rPr>
            </w:pPr>
            <w:r w:rsidRPr="007E1EE3">
              <w:rPr>
                <w:szCs w:val="20"/>
              </w:rPr>
              <w:t>S.D 5.2.2</w:t>
            </w:r>
          </w:p>
        </w:tc>
        <w:tc>
          <w:tcPr>
            <w:tcW w:w="6095" w:type="dxa"/>
          </w:tcPr>
          <w:p w14:paraId="2F21ED37" w14:textId="64EA2067" w:rsidR="00DA0ABF" w:rsidRPr="007E1EE3" w:rsidRDefault="00DA0ABF" w:rsidP="000B1EBD">
            <w:pPr>
              <w:pStyle w:val="TableBodyText"/>
              <w:rPr>
                <w:szCs w:val="20"/>
              </w:rPr>
            </w:pPr>
            <w:r w:rsidRPr="007E1EE3">
              <w:rPr>
                <w:szCs w:val="20"/>
              </w:rPr>
              <w:t>Accountable officer’s declaration</w:t>
            </w:r>
          </w:p>
        </w:tc>
        <w:tc>
          <w:tcPr>
            <w:tcW w:w="2118" w:type="dxa"/>
          </w:tcPr>
          <w:p w14:paraId="439618D8" w14:textId="123AD1B5" w:rsidR="00DA0ABF" w:rsidRPr="007E1EE3" w:rsidRDefault="00011A4A" w:rsidP="000B1EBD">
            <w:pPr>
              <w:pStyle w:val="TableBodyText"/>
              <w:rPr>
                <w:szCs w:val="20"/>
              </w:rPr>
            </w:pPr>
            <w:r>
              <w:rPr>
                <w:szCs w:val="20"/>
              </w:rPr>
              <w:fldChar w:fldCharType="begin"/>
            </w:r>
            <w:r>
              <w:rPr>
                <w:szCs w:val="20"/>
              </w:rPr>
              <w:instrText xml:space="preserve"> PAGEREF _Ref89806228 \h </w:instrText>
            </w:r>
            <w:r>
              <w:rPr>
                <w:szCs w:val="20"/>
              </w:rPr>
            </w:r>
            <w:r>
              <w:rPr>
                <w:szCs w:val="20"/>
              </w:rPr>
              <w:fldChar w:fldCharType="separate"/>
            </w:r>
            <w:r w:rsidR="00472151">
              <w:rPr>
                <w:noProof/>
                <w:szCs w:val="20"/>
              </w:rPr>
              <w:t>93</w:t>
            </w:r>
            <w:r>
              <w:rPr>
                <w:szCs w:val="20"/>
              </w:rPr>
              <w:fldChar w:fldCharType="end"/>
            </w:r>
          </w:p>
        </w:tc>
      </w:tr>
      <w:tr w:rsidR="00DA0ABF" w:rsidRPr="007E1EE3" w14:paraId="6DE6D3AA" w14:textId="77777777" w:rsidTr="001F66C7">
        <w:tc>
          <w:tcPr>
            <w:tcW w:w="1418" w:type="dxa"/>
          </w:tcPr>
          <w:p w14:paraId="2A730732" w14:textId="48D10B00" w:rsidR="00DA0ABF" w:rsidRPr="007E1EE3" w:rsidRDefault="00DA0ABF" w:rsidP="000B1EBD">
            <w:pPr>
              <w:pStyle w:val="TableBodyText"/>
              <w:rPr>
                <w:szCs w:val="20"/>
              </w:rPr>
            </w:pPr>
            <w:r w:rsidRPr="007E1EE3">
              <w:rPr>
                <w:szCs w:val="20"/>
              </w:rPr>
              <w:t>N/A</w:t>
            </w:r>
          </w:p>
        </w:tc>
        <w:tc>
          <w:tcPr>
            <w:tcW w:w="6095" w:type="dxa"/>
          </w:tcPr>
          <w:p w14:paraId="19E7D54B" w14:textId="346CB9CE" w:rsidR="00DA0ABF" w:rsidRPr="007E1EE3" w:rsidRDefault="00DA0ABF" w:rsidP="000B1EBD">
            <w:pPr>
              <w:pStyle w:val="TableBodyText"/>
              <w:rPr>
                <w:rStyle w:val="Bold"/>
                <w:szCs w:val="20"/>
              </w:rPr>
            </w:pPr>
            <w:r w:rsidRPr="007E1EE3">
              <w:rPr>
                <w:rStyle w:val="Bold"/>
                <w:szCs w:val="20"/>
              </w:rPr>
              <w:t>Other disclosures as required by FRDs in Notes to the Financial Statements</w:t>
            </w:r>
          </w:p>
        </w:tc>
        <w:tc>
          <w:tcPr>
            <w:tcW w:w="2118" w:type="dxa"/>
          </w:tcPr>
          <w:p w14:paraId="6DEE66B3" w14:textId="1EAE6379" w:rsidR="00DA0ABF" w:rsidRPr="007E1EE3" w:rsidRDefault="00761BBB" w:rsidP="000B1EBD">
            <w:pPr>
              <w:pStyle w:val="TableBodyText"/>
              <w:rPr>
                <w:szCs w:val="20"/>
              </w:rPr>
            </w:pPr>
            <w:r w:rsidRPr="007E1EE3">
              <w:rPr>
                <w:szCs w:val="20"/>
              </w:rPr>
              <w:t>N/</w:t>
            </w:r>
            <w:r w:rsidR="00C911B9">
              <w:rPr>
                <w:szCs w:val="20"/>
              </w:rPr>
              <w:t>A</w:t>
            </w:r>
          </w:p>
        </w:tc>
      </w:tr>
      <w:tr w:rsidR="00DA0ABF" w:rsidRPr="007E1EE3" w14:paraId="5A5C5C61" w14:textId="77777777" w:rsidTr="001F66C7">
        <w:tc>
          <w:tcPr>
            <w:tcW w:w="1418" w:type="dxa"/>
          </w:tcPr>
          <w:p w14:paraId="5077B160" w14:textId="29C63501" w:rsidR="00DA0ABF" w:rsidRPr="007E1EE3" w:rsidRDefault="00DA0ABF" w:rsidP="000B1EBD">
            <w:pPr>
              <w:pStyle w:val="TableBodyText"/>
              <w:rPr>
                <w:szCs w:val="20"/>
              </w:rPr>
            </w:pPr>
            <w:r w:rsidRPr="007E1EE3">
              <w:rPr>
                <w:szCs w:val="20"/>
              </w:rPr>
              <w:t>FRD 03A</w:t>
            </w:r>
          </w:p>
        </w:tc>
        <w:tc>
          <w:tcPr>
            <w:tcW w:w="6095" w:type="dxa"/>
          </w:tcPr>
          <w:p w14:paraId="1ADC7D81" w14:textId="37A3AA61" w:rsidR="00DA0ABF" w:rsidRPr="007E1EE3" w:rsidRDefault="00DA0ABF" w:rsidP="000B1EBD">
            <w:pPr>
              <w:pStyle w:val="TableBodyText"/>
              <w:rPr>
                <w:szCs w:val="20"/>
              </w:rPr>
            </w:pPr>
            <w:r w:rsidRPr="007E1EE3">
              <w:rPr>
                <w:szCs w:val="20"/>
              </w:rPr>
              <w:t>Accounting for dividends</w:t>
            </w:r>
          </w:p>
        </w:tc>
        <w:tc>
          <w:tcPr>
            <w:tcW w:w="2118" w:type="dxa"/>
          </w:tcPr>
          <w:p w14:paraId="17C7783C" w14:textId="07D1285B" w:rsidR="00DA0ABF" w:rsidRPr="007E1EE3" w:rsidRDefault="00011A4A" w:rsidP="000B1EBD">
            <w:pPr>
              <w:pStyle w:val="TableBodyText"/>
              <w:rPr>
                <w:szCs w:val="20"/>
              </w:rPr>
            </w:pPr>
            <w:r>
              <w:rPr>
                <w:szCs w:val="20"/>
              </w:rPr>
              <w:fldChar w:fldCharType="begin"/>
            </w:r>
            <w:r>
              <w:rPr>
                <w:szCs w:val="20"/>
              </w:rPr>
              <w:instrText xml:space="preserve"> PAGEREF _Ref89806242 \h </w:instrText>
            </w:r>
            <w:r>
              <w:rPr>
                <w:szCs w:val="20"/>
              </w:rPr>
            </w:r>
            <w:r>
              <w:rPr>
                <w:szCs w:val="20"/>
              </w:rPr>
              <w:fldChar w:fldCharType="separate"/>
            </w:r>
            <w:r w:rsidR="00472151">
              <w:rPr>
                <w:noProof/>
                <w:szCs w:val="20"/>
              </w:rPr>
              <w:t>93</w:t>
            </w:r>
            <w:r>
              <w:rPr>
                <w:szCs w:val="20"/>
              </w:rPr>
              <w:fldChar w:fldCharType="end"/>
            </w:r>
            <w:r>
              <w:rPr>
                <w:szCs w:val="20"/>
              </w:rPr>
              <w:t xml:space="preserve">, </w:t>
            </w:r>
            <w:r>
              <w:rPr>
                <w:szCs w:val="20"/>
              </w:rPr>
              <w:fldChar w:fldCharType="begin"/>
            </w:r>
            <w:r>
              <w:rPr>
                <w:szCs w:val="20"/>
              </w:rPr>
              <w:instrText xml:space="preserve"> PAGEREF _Ref89806251 \h </w:instrText>
            </w:r>
            <w:r>
              <w:rPr>
                <w:szCs w:val="20"/>
              </w:rPr>
            </w:r>
            <w:r>
              <w:rPr>
                <w:szCs w:val="20"/>
              </w:rPr>
              <w:fldChar w:fldCharType="separate"/>
            </w:r>
            <w:r w:rsidR="00472151">
              <w:rPr>
                <w:noProof/>
                <w:szCs w:val="20"/>
              </w:rPr>
              <w:t>93</w:t>
            </w:r>
            <w:r>
              <w:rPr>
                <w:szCs w:val="20"/>
              </w:rPr>
              <w:fldChar w:fldCharType="end"/>
            </w:r>
            <w:r>
              <w:rPr>
                <w:szCs w:val="20"/>
              </w:rPr>
              <w:t xml:space="preserve">, </w:t>
            </w:r>
            <w:r>
              <w:rPr>
                <w:szCs w:val="20"/>
              </w:rPr>
              <w:fldChar w:fldCharType="begin"/>
            </w:r>
            <w:r>
              <w:rPr>
                <w:szCs w:val="20"/>
              </w:rPr>
              <w:instrText xml:space="preserve"> PAGEREF _Ref89806285 \h </w:instrText>
            </w:r>
            <w:r>
              <w:rPr>
                <w:szCs w:val="20"/>
              </w:rPr>
            </w:r>
            <w:r>
              <w:rPr>
                <w:szCs w:val="20"/>
              </w:rPr>
              <w:fldChar w:fldCharType="separate"/>
            </w:r>
            <w:r w:rsidR="00472151">
              <w:rPr>
                <w:noProof/>
                <w:szCs w:val="20"/>
              </w:rPr>
              <w:t>93</w:t>
            </w:r>
            <w:r>
              <w:rPr>
                <w:szCs w:val="20"/>
              </w:rPr>
              <w:fldChar w:fldCharType="end"/>
            </w:r>
            <w:r>
              <w:rPr>
                <w:szCs w:val="20"/>
              </w:rPr>
              <w:t xml:space="preserve">, </w:t>
            </w:r>
            <w:r>
              <w:rPr>
                <w:szCs w:val="20"/>
              </w:rPr>
              <w:fldChar w:fldCharType="begin"/>
            </w:r>
            <w:r>
              <w:rPr>
                <w:szCs w:val="20"/>
              </w:rPr>
              <w:instrText xml:space="preserve"> PAGEREF _Ref89806313 \h </w:instrText>
            </w:r>
            <w:r>
              <w:rPr>
                <w:szCs w:val="20"/>
              </w:rPr>
            </w:r>
            <w:r>
              <w:rPr>
                <w:szCs w:val="20"/>
              </w:rPr>
              <w:fldChar w:fldCharType="separate"/>
            </w:r>
            <w:r w:rsidR="00472151">
              <w:rPr>
                <w:noProof/>
                <w:szCs w:val="20"/>
              </w:rPr>
              <w:t>93</w:t>
            </w:r>
            <w:r>
              <w:rPr>
                <w:szCs w:val="20"/>
              </w:rPr>
              <w:fldChar w:fldCharType="end"/>
            </w:r>
          </w:p>
        </w:tc>
      </w:tr>
      <w:tr w:rsidR="00DA0ABF" w:rsidRPr="007E1EE3" w14:paraId="1888C5DE" w14:textId="77777777" w:rsidTr="001F66C7">
        <w:tc>
          <w:tcPr>
            <w:tcW w:w="1418" w:type="dxa"/>
          </w:tcPr>
          <w:p w14:paraId="3486E1DE" w14:textId="4FC3DF95" w:rsidR="00DA0ABF" w:rsidRPr="007E1EE3" w:rsidRDefault="00DA0ABF" w:rsidP="000B1EBD">
            <w:pPr>
              <w:pStyle w:val="TableBodyText"/>
              <w:rPr>
                <w:szCs w:val="20"/>
              </w:rPr>
            </w:pPr>
            <w:r w:rsidRPr="007E1EE3">
              <w:rPr>
                <w:szCs w:val="20"/>
              </w:rPr>
              <w:t>FRD 07B</w:t>
            </w:r>
          </w:p>
        </w:tc>
        <w:tc>
          <w:tcPr>
            <w:tcW w:w="6095" w:type="dxa"/>
          </w:tcPr>
          <w:p w14:paraId="3593C23D" w14:textId="0D25052E" w:rsidR="00DA0ABF" w:rsidRPr="007E1EE3" w:rsidRDefault="00DA0ABF" w:rsidP="000B1EBD">
            <w:pPr>
              <w:pStyle w:val="TableBodyText"/>
              <w:rPr>
                <w:szCs w:val="20"/>
              </w:rPr>
            </w:pPr>
            <w:r w:rsidRPr="007E1EE3">
              <w:rPr>
                <w:szCs w:val="20"/>
              </w:rPr>
              <w:t>Early adoption of authoritative accounting pronouncements</w:t>
            </w:r>
          </w:p>
        </w:tc>
        <w:tc>
          <w:tcPr>
            <w:tcW w:w="2118" w:type="dxa"/>
          </w:tcPr>
          <w:p w14:paraId="008F67AB" w14:textId="44FFDF5E" w:rsidR="00DA0ABF" w:rsidRPr="007E1EE3" w:rsidRDefault="00011A4A" w:rsidP="000B1EBD">
            <w:pPr>
              <w:pStyle w:val="TableBodyText"/>
              <w:rPr>
                <w:szCs w:val="20"/>
              </w:rPr>
            </w:pPr>
            <w:r>
              <w:rPr>
                <w:szCs w:val="20"/>
              </w:rPr>
              <w:fldChar w:fldCharType="begin"/>
            </w:r>
            <w:r>
              <w:rPr>
                <w:szCs w:val="20"/>
              </w:rPr>
              <w:instrText xml:space="preserve"> PAGEREF _Ref89806367 \h </w:instrText>
            </w:r>
            <w:r>
              <w:rPr>
                <w:szCs w:val="20"/>
              </w:rPr>
            </w:r>
            <w:r>
              <w:rPr>
                <w:szCs w:val="20"/>
              </w:rPr>
              <w:fldChar w:fldCharType="separate"/>
            </w:r>
            <w:r w:rsidR="00472151">
              <w:rPr>
                <w:noProof/>
                <w:szCs w:val="20"/>
              </w:rPr>
              <w:t>93</w:t>
            </w:r>
            <w:r>
              <w:rPr>
                <w:szCs w:val="20"/>
              </w:rPr>
              <w:fldChar w:fldCharType="end"/>
            </w:r>
          </w:p>
        </w:tc>
      </w:tr>
      <w:tr w:rsidR="00DA0ABF" w:rsidRPr="007E1EE3" w14:paraId="346A3EF4" w14:textId="77777777" w:rsidTr="001F66C7">
        <w:tc>
          <w:tcPr>
            <w:tcW w:w="1418" w:type="dxa"/>
          </w:tcPr>
          <w:p w14:paraId="467021AF" w14:textId="219456A5" w:rsidR="00DA0ABF" w:rsidRPr="007E1EE3" w:rsidRDefault="00DA0ABF" w:rsidP="000B1EBD">
            <w:pPr>
              <w:pStyle w:val="TableBodyText"/>
              <w:rPr>
                <w:szCs w:val="20"/>
              </w:rPr>
            </w:pPr>
            <w:r w:rsidRPr="007E1EE3">
              <w:rPr>
                <w:szCs w:val="20"/>
              </w:rPr>
              <w:t>FRD 11A</w:t>
            </w:r>
          </w:p>
        </w:tc>
        <w:tc>
          <w:tcPr>
            <w:tcW w:w="6095" w:type="dxa"/>
          </w:tcPr>
          <w:p w14:paraId="56C900C1" w14:textId="22A8757A" w:rsidR="00DA0ABF" w:rsidRPr="007E1EE3" w:rsidRDefault="00DA0ABF" w:rsidP="000B1EBD">
            <w:pPr>
              <w:pStyle w:val="TableBodyText"/>
              <w:rPr>
                <w:szCs w:val="20"/>
              </w:rPr>
            </w:pPr>
            <w:r w:rsidRPr="007E1EE3">
              <w:rPr>
                <w:szCs w:val="20"/>
              </w:rPr>
              <w:t>Disclosure of ex gratia expenses</w:t>
            </w:r>
          </w:p>
        </w:tc>
        <w:tc>
          <w:tcPr>
            <w:tcW w:w="2118" w:type="dxa"/>
          </w:tcPr>
          <w:p w14:paraId="782EBF35" w14:textId="6B040E4D" w:rsidR="00DA0ABF" w:rsidRPr="007E1EE3" w:rsidRDefault="00011A4A" w:rsidP="000B1EBD">
            <w:pPr>
              <w:pStyle w:val="TableBodyText"/>
              <w:rPr>
                <w:szCs w:val="20"/>
              </w:rPr>
            </w:pPr>
            <w:r>
              <w:rPr>
                <w:szCs w:val="20"/>
              </w:rPr>
              <w:fldChar w:fldCharType="begin"/>
            </w:r>
            <w:r>
              <w:rPr>
                <w:szCs w:val="20"/>
              </w:rPr>
              <w:instrText xml:space="preserve"> PAGEREF _Ref89806391 \h </w:instrText>
            </w:r>
            <w:r>
              <w:rPr>
                <w:szCs w:val="20"/>
              </w:rPr>
            </w:r>
            <w:r>
              <w:rPr>
                <w:szCs w:val="20"/>
              </w:rPr>
              <w:fldChar w:fldCharType="separate"/>
            </w:r>
            <w:r w:rsidR="00472151">
              <w:rPr>
                <w:noProof/>
                <w:szCs w:val="20"/>
              </w:rPr>
              <w:t>93</w:t>
            </w:r>
            <w:r>
              <w:rPr>
                <w:szCs w:val="20"/>
              </w:rPr>
              <w:fldChar w:fldCharType="end"/>
            </w:r>
          </w:p>
        </w:tc>
      </w:tr>
      <w:tr w:rsidR="00DA0ABF" w:rsidRPr="007E1EE3" w14:paraId="54E807CF" w14:textId="77777777" w:rsidTr="001F66C7">
        <w:tc>
          <w:tcPr>
            <w:tcW w:w="1418" w:type="dxa"/>
          </w:tcPr>
          <w:p w14:paraId="05F2A210" w14:textId="6F829D63" w:rsidR="00DA0ABF" w:rsidRPr="007E1EE3" w:rsidRDefault="00DA0ABF" w:rsidP="000B1EBD">
            <w:pPr>
              <w:pStyle w:val="TableBodyText"/>
              <w:rPr>
                <w:szCs w:val="20"/>
              </w:rPr>
            </w:pPr>
            <w:r w:rsidRPr="007E1EE3">
              <w:rPr>
                <w:szCs w:val="20"/>
              </w:rPr>
              <w:t>FRD 17B</w:t>
            </w:r>
          </w:p>
        </w:tc>
        <w:tc>
          <w:tcPr>
            <w:tcW w:w="6095" w:type="dxa"/>
          </w:tcPr>
          <w:p w14:paraId="483FE2F4" w14:textId="2BEF7526" w:rsidR="00DA0ABF" w:rsidRPr="007E1EE3" w:rsidRDefault="00DA0ABF" w:rsidP="000B1EBD">
            <w:pPr>
              <w:pStyle w:val="TableBodyText"/>
              <w:rPr>
                <w:szCs w:val="20"/>
              </w:rPr>
            </w:pPr>
            <w:r w:rsidRPr="007E1EE3">
              <w:rPr>
                <w:szCs w:val="20"/>
              </w:rPr>
              <w:t>Long service leave wage inflation and discount rates for employee benefits</w:t>
            </w:r>
          </w:p>
        </w:tc>
        <w:tc>
          <w:tcPr>
            <w:tcW w:w="2118" w:type="dxa"/>
          </w:tcPr>
          <w:p w14:paraId="55F28BBF" w14:textId="0BFF071E" w:rsidR="00DA0ABF" w:rsidRPr="007E1EE3" w:rsidRDefault="00011A4A" w:rsidP="000B1EBD">
            <w:pPr>
              <w:pStyle w:val="TableBodyText"/>
              <w:rPr>
                <w:szCs w:val="20"/>
              </w:rPr>
            </w:pPr>
            <w:r>
              <w:rPr>
                <w:szCs w:val="20"/>
              </w:rPr>
              <w:fldChar w:fldCharType="begin"/>
            </w:r>
            <w:r>
              <w:rPr>
                <w:szCs w:val="20"/>
              </w:rPr>
              <w:instrText xml:space="preserve"> PAGEREF Longserviceleave \h </w:instrText>
            </w:r>
            <w:r>
              <w:rPr>
                <w:szCs w:val="20"/>
              </w:rPr>
            </w:r>
            <w:r>
              <w:rPr>
                <w:szCs w:val="20"/>
              </w:rPr>
              <w:fldChar w:fldCharType="separate"/>
            </w:r>
            <w:r w:rsidR="00472151">
              <w:rPr>
                <w:noProof/>
                <w:szCs w:val="20"/>
              </w:rPr>
              <w:t>93</w:t>
            </w:r>
            <w:r>
              <w:rPr>
                <w:szCs w:val="20"/>
              </w:rPr>
              <w:fldChar w:fldCharType="end"/>
            </w:r>
          </w:p>
        </w:tc>
      </w:tr>
      <w:tr w:rsidR="00DA0ABF" w:rsidRPr="007E1EE3" w14:paraId="4A4DF02B" w14:textId="77777777" w:rsidTr="001F66C7">
        <w:tc>
          <w:tcPr>
            <w:tcW w:w="1418" w:type="dxa"/>
          </w:tcPr>
          <w:p w14:paraId="3D8448CD" w14:textId="1BCCCAC7" w:rsidR="00DA0ABF" w:rsidRPr="007E1EE3" w:rsidRDefault="00DA0ABF" w:rsidP="000B1EBD">
            <w:pPr>
              <w:pStyle w:val="TableBodyText"/>
              <w:rPr>
                <w:szCs w:val="20"/>
              </w:rPr>
            </w:pPr>
            <w:r w:rsidRPr="007E1EE3">
              <w:rPr>
                <w:szCs w:val="20"/>
              </w:rPr>
              <w:t>FRD 21C</w:t>
            </w:r>
          </w:p>
        </w:tc>
        <w:tc>
          <w:tcPr>
            <w:tcW w:w="6095" w:type="dxa"/>
          </w:tcPr>
          <w:p w14:paraId="16E9B73E" w14:textId="318D0809" w:rsidR="00DA0ABF" w:rsidRPr="007E1EE3" w:rsidRDefault="00DA0ABF" w:rsidP="000B1EBD">
            <w:pPr>
              <w:pStyle w:val="TableBodyText"/>
              <w:rPr>
                <w:szCs w:val="20"/>
              </w:rPr>
            </w:pPr>
            <w:r w:rsidRPr="007E1EE3">
              <w:rPr>
                <w:szCs w:val="20"/>
              </w:rPr>
              <w:t>Disclosures of responsible persons, executive officers and other personnel (contractors with significant management responsibilities) in the financial Report</w:t>
            </w:r>
          </w:p>
        </w:tc>
        <w:tc>
          <w:tcPr>
            <w:tcW w:w="2118" w:type="dxa"/>
          </w:tcPr>
          <w:p w14:paraId="1F27860A" w14:textId="6BDA2A46" w:rsidR="00DA0ABF" w:rsidRPr="007E1EE3" w:rsidRDefault="00980274" w:rsidP="000B1EBD">
            <w:pPr>
              <w:pStyle w:val="TableBodyText"/>
              <w:rPr>
                <w:szCs w:val="20"/>
              </w:rPr>
            </w:pPr>
            <w:r>
              <w:rPr>
                <w:szCs w:val="20"/>
              </w:rPr>
              <w:fldChar w:fldCharType="begin"/>
            </w:r>
            <w:r>
              <w:rPr>
                <w:szCs w:val="20"/>
              </w:rPr>
              <w:instrText xml:space="preserve"> PAGEREF _Ref89806510 \h </w:instrText>
            </w:r>
            <w:r>
              <w:rPr>
                <w:szCs w:val="20"/>
              </w:rPr>
            </w:r>
            <w:r>
              <w:rPr>
                <w:szCs w:val="20"/>
              </w:rPr>
              <w:fldChar w:fldCharType="separate"/>
            </w:r>
            <w:r w:rsidR="00472151">
              <w:rPr>
                <w:noProof/>
                <w:szCs w:val="20"/>
              </w:rPr>
              <w:t>93</w:t>
            </w:r>
            <w:r>
              <w:rPr>
                <w:szCs w:val="20"/>
              </w:rPr>
              <w:fldChar w:fldCharType="end"/>
            </w:r>
          </w:p>
        </w:tc>
      </w:tr>
      <w:tr w:rsidR="00DA0ABF" w:rsidRPr="007E1EE3" w14:paraId="741A0E3E" w14:textId="77777777" w:rsidTr="001F66C7">
        <w:tc>
          <w:tcPr>
            <w:tcW w:w="1418" w:type="dxa"/>
          </w:tcPr>
          <w:p w14:paraId="254473BA" w14:textId="30171F43" w:rsidR="00DA0ABF" w:rsidRPr="007E1EE3" w:rsidRDefault="00DA0ABF" w:rsidP="000B1EBD">
            <w:pPr>
              <w:pStyle w:val="TableBodyText"/>
              <w:rPr>
                <w:szCs w:val="20"/>
              </w:rPr>
            </w:pPr>
            <w:r w:rsidRPr="007E1EE3">
              <w:rPr>
                <w:szCs w:val="20"/>
              </w:rPr>
              <w:t>FRD 102A</w:t>
            </w:r>
          </w:p>
        </w:tc>
        <w:tc>
          <w:tcPr>
            <w:tcW w:w="6095" w:type="dxa"/>
          </w:tcPr>
          <w:p w14:paraId="4E18741F" w14:textId="7840B364" w:rsidR="00DA0ABF" w:rsidRPr="007E1EE3" w:rsidRDefault="00DA0ABF" w:rsidP="000B1EBD">
            <w:pPr>
              <w:pStyle w:val="TableBodyText"/>
              <w:rPr>
                <w:szCs w:val="20"/>
              </w:rPr>
            </w:pPr>
            <w:r w:rsidRPr="007E1EE3">
              <w:rPr>
                <w:szCs w:val="20"/>
              </w:rPr>
              <w:t>Inventories</w:t>
            </w:r>
          </w:p>
        </w:tc>
        <w:tc>
          <w:tcPr>
            <w:tcW w:w="2118" w:type="dxa"/>
          </w:tcPr>
          <w:p w14:paraId="1B2BA307" w14:textId="046E9CD7" w:rsidR="00DA0ABF" w:rsidRPr="007E1EE3" w:rsidRDefault="00980274" w:rsidP="000B1EBD">
            <w:pPr>
              <w:pStyle w:val="TableBodyText"/>
              <w:rPr>
                <w:szCs w:val="20"/>
              </w:rPr>
            </w:pPr>
            <w:r>
              <w:rPr>
                <w:szCs w:val="20"/>
              </w:rPr>
              <w:fldChar w:fldCharType="begin"/>
            </w:r>
            <w:r>
              <w:rPr>
                <w:szCs w:val="20"/>
              </w:rPr>
              <w:instrText xml:space="preserve"> PAGEREF _Ref89806542 \h </w:instrText>
            </w:r>
            <w:r>
              <w:rPr>
                <w:szCs w:val="20"/>
              </w:rPr>
            </w:r>
            <w:r>
              <w:rPr>
                <w:szCs w:val="20"/>
              </w:rPr>
              <w:fldChar w:fldCharType="separate"/>
            </w:r>
            <w:r w:rsidR="00472151">
              <w:rPr>
                <w:noProof/>
                <w:szCs w:val="20"/>
              </w:rPr>
              <w:t>93</w:t>
            </w:r>
            <w:r>
              <w:rPr>
                <w:szCs w:val="20"/>
              </w:rPr>
              <w:fldChar w:fldCharType="end"/>
            </w:r>
          </w:p>
        </w:tc>
      </w:tr>
      <w:tr w:rsidR="00DA0ABF" w:rsidRPr="007E1EE3" w14:paraId="17C761FB" w14:textId="77777777" w:rsidTr="001F66C7">
        <w:tc>
          <w:tcPr>
            <w:tcW w:w="1418" w:type="dxa"/>
          </w:tcPr>
          <w:p w14:paraId="3DCEC92B" w14:textId="1D4AB355" w:rsidR="00DA0ABF" w:rsidRPr="007E1EE3" w:rsidRDefault="00DA0ABF" w:rsidP="000B1EBD">
            <w:pPr>
              <w:pStyle w:val="TableBodyText"/>
              <w:rPr>
                <w:szCs w:val="20"/>
              </w:rPr>
            </w:pPr>
            <w:r w:rsidRPr="007E1EE3">
              <w:rPr>
                <w:szCs w:val="20"/>
              </w:rPr>
              <w:t>FRD 103H</w:t>
            </w:r>
          </w:p>
        </w:tc>
        <w:tc>
          <w:tcPr>
            <w:tcW w:w="6095" w:type="dxa"/>
          </w:tcPr>
          <w:p w14:paraId="410855A1" w14:textId="78A4DFE2" w:rsidR="00DA0ABF" w:rsidRPr="007E1EE3" w:rsidRDefault="00DA0ABF" w:rsidP="000B1EBD">
            <w:pPr>
              <w:pStyle w:val="TableBodyText"/>
              <w:rPr>
                <w:szCs w:val="20"/>
              </w:rPr>
            </w:pPr>
            <w:r w:rsidRPr="007E1EE3">
              <w:rPr>
                <w:szCs w:val="20"/>
              </w:rPr>
              <w:t>Non-financial physical assets</w:t>
            </w:r>
          </w:p>
        </w:tc>
        <w:tc>
          <w:tcPr>
            <w:tcW w:w="2118" w:type="dxa"/>
          </w:tcPr>
          <w:p w14:paraId="77C9E79D" w14:textId="2F2F8BB9" w:rsidR="00DA0ABF" w:rsidRPr="007E1EE3" w:rsidRDefault="00980274" w:rsidP="000B1EBD">
            <w:pPr>
              <w:pStyle w:val="TableBodyText"/>
              <w:rPr>
                <w:szCs w:val="20"/>
              </w:rPr>
            </w:pPr>
            <w:r>
              <w:rPr>
                <w:szCs w:val="20"/>
              </w:rPr>
              <w:fldChar w:fldCharType="begin"/>
            </w:r>
            <w:r>
              <w:rPr>
                <w:szCs w:val="20"/>
              </w:rPr>
              <w:instrText xml:space="preserve"> PAGEREF Nonfinancialphysicalassets \h </w:instrText>
            </w:r>
            <w:r>
              <w:rPr>
                <w:szCs w:val="20"/>
              </w:rPr>
            </w:r>
            <w:r>
              <w:rPr>
                <w:szCs w:val="20"/>
              </w:rPr>
              <w:fldChar w:fldCharType="separate"/>
            </w:r>
            <w:r w:rsidR="00472151">
              <w:rPr>
                <w:noProof/>
                <w:szCs w:val="20"/>
              </w:rPr>
              <w:t>93</w:t>
            </w:r>
            <w:r>
              <w:rPr>
                <w:szCs w:val="20"/>
              </w:rPr>
              <w:fldChar w:fldCharType="end"/>
            </w:r>
          </w:p>
        </w:tc>
      </w:tr>
      <w:tr w:rsidR="00DA0ABF" w:rsidRPr="007E1EE3" w14:paraId="12ED4B69" w14:textId="77777777" w:rsidTr="001F66C7">
        <w:tc>
          <w:tcPr>
            <w:tcW w:w="1418" w:type="dxa"/>
          </w:tcPr>
          <w:p w14:paraId="4F812ED5" w14:textId="43A25CDD" w:rsidR="00DA0ABF" w:rsidRPr="007E1EE3" w:rsidRDefault="00DA0ABF" w:rsidP="000B1EBD">
            <w:pPr>
              <w:pStyle w:val="TableBodyText"/>
              <w:rPr>
                <w:szCs w:val="20"/>
              </w:rPr>
            </w:pPr>
            <w:r w:rsidRPr="007E1EE3">
              <w:rPr>
                <w:szCs w:val="20"/>
              </w:rPr>
              <w:t>FRD 105B</w:t>
            </w:r>
          </w:p>
        </w:tc>
        <w:tc>
          <w:tcPr>
            <w:tcW w:w="6095" w:type="dxa"/>
          </w:tcPr>
          <w:p w14:paraId="29EE7B85" w14:textId="075E117D" w:rsidR="00DA0ABF" w:rsidRPr="007E1EE3" w:rsidRDefault="00DA0ABF" w:rsidP="000B1EBD">
            <w:pPr>
              <w:pStyle w:val="TableBodyText"/>
              <w:rPr>
                <w:szCs w:val="20"/>
              </w:rPr>
            </w:pPr>
            <w:r w:rsidRPr="007E1EE3">
              <w:rPr>
                <w:szCs w:val="20"/>
              </w:rPr>
              <w:t>Borrowing costs</w:t>
            </w:r>
          </w:p>
        </w:tc>
        <w:tc>
          <w:tcPr>
            <w:tcW w:w="2118" w:type="dxa"/>
          </w:tcPr>
          <w:p w14:paraId="3D056480" w14:textId="5427DC1C" w:rsidR="00DA0ABF" w:rsidRPr="007E1EE3" w:rsidRDefault="00980274" w:rsidP="000B1EBD">
            <w:pPr>
              <w:pStyle w:val="TableBodyText"/>
              <w:rPr>
                <w:szCs w:val="20"/>
              </w:rPr>
            </w:pPr>
            <w:r>
              <w:rPr>
                <w:szCs w:val="20"/>
              </w:rPr>
              <w:fldChar w:fldCharType="begin"/>
            </w:r>
            <w:r>
              <w:rPr>
                <w:szCs w:val="20"/>
              </w:rPr>
              <w:instrText xml:space="preserve"> PAGEREF _Ref89806658 \h </w:instrText>
            </w:r>
            <w:r>
              <w:rPr>
                <w:szCs w:val="20"/>
              </w:rPr>
            </w:r>
            <w:r>
              <w:rPr>
                <w:szCs w:val="20"/>
              </w:rPr>
              <w:fldChar w:fldCharType="separate"/>
            </w:r>
            <w:r w:rsidR="00472151">
              <w:rPr>
                <w:noProof/>
                <w:szCs w:val="20"/>
              </w:rPr>
              <w:t>93</w:t>
            </w:r>
            <w:r>
              <w:rPr>
                <w:szCs w:val="20"/>
              </w:rPr>
              <w:fldChar w:fldCharType="end"/>
            </w:r>
            <w:r>
              <w:rPr>
                <w:szCs w:val="20"/>
              </w:rPr>
              <w:t>-</w:t>
            </w:r>
            <w:r>
              <w:rPr>
                <w:szCs w:val="20"/>
              </w:rPr>
              <w:fldChar w:fldCharType="begin"/>
            </w:r>
            <w:r>
              <w:rPr>
                <w:szCs w:val="20"/>
              </w:rPr>
              <w:instrText xml:space="preserve"> PAGEREF _Ref89806668 \h </w:instrText>
            </w:r>
            <w:r>
              <w:rPr>
                <w:szCs w:val="20"/>
              </w:rPr>
            </w:r>
            <w:r>
              <w:rPr>
                <w:szCs w:val="20"/>
              </w:rPr>
              <w:fldChar w:fldCharType="separate"/>
            </w:r>
            <w:r w:rsidR="00472151">
              <w:rPr>
                <w:noProof/>
                <w:szCs w:val="20"/>
              </w:rPr>
              <w:t>93</w:t>
            </w:r>
            <w:r>
              <w:rPr>
                <w:szCs w:val="20"/>
              </w:rPr>
              <w:fldChar w:fldCharType="end"/>
            </w:r>
            <w:r>
              <w:rPr>
                <w:szCs w:val="20"/>
              </w:rPr>
              <w:t xml:space="preserve">, </w:t>
            </w:r>
            <w:r w:rsidR="00C45662">
              <w:rPr>
                <w:szCs w:val="20"/>
              </w:rPr>
              <w:fldChar w:fldCharType="begin"/>
            </w:r>
            <w:r w:rsidR="00C45662">
              <w:rPr>
                <w:szCs w:val="20"/>
              </w:rPr>
              <w:instrText xml:space="preserve"> PAGEREF _Ref89806874 \h </w:instrText>
            </w:r>
            <w:r w:rsidR="00C45662">
              <w:rPr>
                <w:szCs w:val="20"/>
              </w:rPr>
            </w:r>
            <w:r w:rsidR="00C45662">
              <w:rPr>
                <w:szCs w:val="20"/>
              </w:rPr>
              <w:fldChar w:fldCharType="separate"/>
            </w:r>
            <w:r w:rsidR="00472151">
              <w:rPr>
                <w:noProof/>
                <w:szCs w:val="20"/>
              </w:rPr>
              <w:t>93</w:t>
            </w:r>
            <w:r w:rsidR="00C45662">
              <w:rPr>
                <w:szCs w:val="20"/>
              </w:rPr>
              <w:fldChar w:fldCharType="end"/>
            </w:r>
            <w:r w:rsidR="00C45662">
              <w:rPr>
                <w:szCs w:val="20"/>
              </w:rPr>
              <w:t>-</w:t>
            </w:r>
            <w:r w:rsidR="00C45662">
              <w:rPr>
                <w:szCs w:val="20"/>
              </w:rPr>
              <w:fldChar w:fldCharType="begin"/>
            </w:r>
            <w:r w:rsidR="00C45662">
              <w:rPr>
                <w:szCs w:val="20"/>
              </w:rPr>
              <w:instrText xml:space="preserve"> PAGEREF Borrowingcostsend \h </w:instrText>
            </w:r>
            <w:r w:rsidR="00C45662">
              <w:rPr>
                <w:szCs w:val="20"/>
              </w:rPr>
            </w:r>
            <w:r w:rsidR="00C45662">
              <w:rPr>
                <w:szCs w:val="20"/>
              </w:rPr>
              <w:fldChar w:fldCharType="separate"/>
            </w:r>
            <w:r w:rsidR="00472151">
              <w:rPr>
                <w:noProof/>
                <w:szCs w:val="20"/>
              </w:rPr>
              <w:t>93</w:t>
            </w:r>
            <w:r w:rsidR="00C45662">
              <w:rPr>
                <w:szCs w:val="20"/>
              </w:rPr>
              <w:fldChar w:fldCharType="end"/>
            </w:r>
            <w:r w:rsidR="00C45662">
              <w:rPr>
                <w:szCs w:val="20"/>
              </w:rPr>
              <w:t xml:space="preserve">, </w:t>
            </w:r>
            <w:r w:rsidR="00C45662">
              <w:rPr>
                <w:szCs w:val="20"/>
              </w:rPr>
              <w:fldChar w:fldCharType="begin"/>
            </w:r>
            <w:r w:rsidR="00C45662">
              <w:rPr>
                <w:szCs w:val="20"/>
              </w:rPr>
              <w:instrText xml:space="preserve"> PAGEREF _Ref89806986 \h </w:instrText>
            </w:r>
            <w:r w:rsidR="00C45662">
              <w:rPr>
                <w:szCs w:val="20"/>
              </w:rPr>
            </w:r>
            <w:r w:rsidR="00C45662">
              <w:rPr>
                <w:szCs w:val="20"/>
              </w:rPr>
              <w:fldChar w:fldCharType="separate"/>
            </w:r>
            <w:r w:rsidR="00472151">
              <w:rPr>
                <w:noProof/>
                <w:szCs w:val="20"/>
              </w:rPr>
              <w:t>93</w:t>
            </w:r>
            <w:r w:rsidR="00C45662">
              <w:rPr>
                <w:szCs w:val="20"/>
              </w:rPr>
              <w:fldChar w:fldCharType="end"/>
            </w:r>
            <w:r w:rsidR="00C45662">
              <w:rPr>
                <w:szCs w:val="20"/>
              </w:rPr>
              <w:t>-</w:t>
            </w:r>
            <w:r w:rsidR="00C45662">
              <w:rPr>
                <w:szCs w:val="20"/>
              </w:rPr>
              <w:fldChar w:fldCharType="begin"/>
            </w:r>
            <w:r w:rsidR="00C45662">
              <w:rPr>
                <w:szCs w:val="20"/>
              </w:rPr>
              <w:instrText xml:space="preserve"> PAGEREF Carryingrisksend \h </w:instrText>
            </w:r>
            <w:r w:rsidR="00C45662">
              <w:rPr>
                <w:szCs w:val="20"/>
              </w:rPr>
            </w:r>
            <w:r w:rsidR="00C45662">
              <w:rPr>
                <w:szCs w:val="20"/>
              </w:rPr>
              <w:fldChar w:fldCharType="separate"/>
            </w:r>
            <w:r w:rsidR="00472151">
              <w:rPr>
                <w:noProof/>
                <w:szCs w:val="20"/>
              </w:rPr>
              <w:t>93</w:t>
            </w:r>
            <w:r w:rsidR="00C45662">
              <w:rPr>
                <w:szCs w:val="20"/>
              </w:rPr>
              <w:fldChar w:fldCharType="end"/>
            </w:r>
            <w:r w:rsidR="00C45662">
              <w:rPr>
                <w:szCs w:val="20"/>
              </w:rPr>
              <w:t xml:space="preserve">, </w:t>
            </w:r>
            <w:r w:rsidR="00C45662">
              <w:rPr>
                <w:szCs w:val="20"/>
              </w:rPr>
              <w:fldChar w:fldCharType="begin"/>
            </w:r>
            <w:r w:rsidR="00C45662">
              <w:rPr>
                <w:szCs w:val="20"/>
              </w:rPr>
              <w:instrText xml:space="preserve"> PAGEREF _Ref89807068 \h </w:instrText>
            </w:r>
            <w:r w:rsidR="00C45662">
              <w:rPr>
                <w:szCs w:val="20"/>
              </w:rPr>
            </w:r>
            <w:r w:rsidR="00C45662">
              <w:rPr>
                <w:szCs w:val="20"/>
              </w:rPr>
              <w:fldChar w:fldCharType="separate"/>
            </w:r>
            <w:r w:rsidR="00472151">
              <w:rPr>
                <w:noProof/>
                <w:szCs w:val="20"/>
              </w:rPr>
              <w:t>93</w:t>
            </w:r>
            <w:r w:rsidR="00C45662">
              <w:rPr>
                <w:szCs w:val="20"/>
              </w:rPr>
              <w:fldChar w:fldCharType="end"/>
            </w:r>
          </w:p>
        </w:tc>
      </w:tr>
      <w:tr w:rsidR="00DA0ABF" w:rsidRPr="007E1EE3" w14:paraId="6BD75ACF" w14:textId="77777777" w:rsidTr="001F66C7">
        <w:tc>
          <w:tcPr>
            <w:tcW w:w="1418" w:type="dxa"/>
          </w:tcPr>
          <w:p w14:paraId="18A59156" w14:textId="33A5E208" w:rsidR="00DA0ABF" w:rsidRPr="007E1EE3" w:rsidRDefault="00DA0ABF" w:rsidP="000B1EBD">
            <w:pPr>
              <w:pStyle w:val="TableBodyText"/>
              <w:rPr>
                <w:szCs w:val="20"/>
              </w:rPr>
            </w:pPr>
            <w:r w:rsidRPr="007E1EE3">
              <w:rPr>
                <w:szCs w:val="20"/>
              </w:rPr>
              <w:t>FRD 106B</w:t>
            </w:r>
          </w:p>
        </w:tc>
        <w:tc>
          <w:tcPr>
            <w:tcW w:w="6095" w:type="dxa"/>
          </w:tcPr>
          <w:p w14:paraId="22C544C5" w14:textId="5FBA1A3E" w:rsidR="00DA0ABF" w:rsidRPr="007E1EE3" w:rsidRDefault="00DA0ABF" w:rsidP="000B1EBD">
            <w:pPr>
              <w:pStyle w:val="TableBodyText"/>
              <w:rPr>
                <w:szCs w:val="20"/>
              </w:rPr>
            </w:pPr>
            <w:r w:rsidRPr="007E1EE3">
              <w:rPr>
                <w:szCs w:val="20"/>
              </w:rPr>
              <w:t>Impairment of assets</w:t>
            </w:r>
          </w:p>
        </w:tc>
        <w:tc>
          <w:tcPr>
            <w:tcW w:w="2118" w:type="dxa"/>
          </w:tcPr>
          <w:p w14:paraId="04EBF9B5" w14:textId="7921DAB7" w:rsidR="00DA0ABF" w:rsidRPr="007E1EE3" w:rsidRDefault="00C45662" w:rsidP="000B1EBD">
            <w:pPr>
              <w:pStyle w:val="TableBodyText"/>
              <w:rPr>
                <w:szCs w:val="20"/>
              </w:rPr>
            </w:pPr>
            <w:r>
              <w:rPr>
                <w:szCs w:val="20"/>
              </w:rPr>
              <w:fldChar w:fldCharType="begin"/>
            </w:r>
            <w:r>
              <w:rPr>
                <w:szCs w:val="20"/>
              </w:rPr>
              <w:instrText xml:space="preserve"> PAGEREF _Ref89807098 \h </w:instrText>
            </w:r>
            <w:r>
              <w:rPr>
                <w:szCs w:val="20"/>
              </w:rPr>
            </w:r>
            <w:r>
              <w:rPr>
                <w:szCs w:val="20"/>
              </w:rPr>
              <w:fldChar w:fldCharType="separate"/>
            </w:r>
            <w:r w:rsidR="00472151">
              <w:rPr>
                <w:noProof/>
                <w:szCs w:val="20"/>
              </w:rPr>
              <w:t>93</w:t>
            </w:r>
            <w:r>
              <w:rPr>
                <w:szCs w:val="20"/>
              </w:rPr>
              <w:fldChar w:fldCharType="end"/>
            </w:r>
            <w:r>
              <w:rPr>
                <w:szCs w:val="20"/>
              </w:rPr>
              <w:t>-</w:t>
            </w:r>
            <w:r w:rsidR="00E26CAC">
              <w:rPr>
                <w:szCs w:val="20"/>
              </w:rPr>
              <w:fldChar w:fldCharType="begin"/>
            </w:r>
            <w:r w:rsidR="00E26CAC">
              <w:rPr>
                <w:szCs w:val="20"/>
              </w:rPr>
              <w:instrText xml:space="preserve"> PAGEREF _Ref89807111 \h </w:instrText>
            </w:r>
            <w:r w:rsidR="00E26CAC">
              <w:rPr>
                <w:szCs w:val="20"/>
              </w:rPr>
            </w:r>
            <w:r w:rsidR="00E26CAC">
              <w:rPr>
                <w:szCs w:val="20"/>
              </w:rPr>
              <w:fldChar w:fldCharType="separate"/>
            </w:r>
            <w:r w:rsidR="00472151">
              <w:rPr>
                <w:noProof/>
                <w:szCs w:val="20"/>
              </w:rPr>
              <w:t>93</w:t>
            </w:r>
            <w:r w:rsidR="00E26CAC">
              <w:rPr>
                <w:szCs w:val="20"/>
              </w:rPr>
              <w:fldChar w:fldCharType="end"/>
            </w:r>
          </w:p>
        </w:tc>
      </w:tr>
      <w:tr w:rsidR="00DA0ABF" w:rsidRPr="007E1EE3" w14:paraId="7A5F59FC" w14:textId="77777777" w:rsidTr="001F66C7">
        <w:tc>
          <w:tcPr>
            <w:tcW w:w="1418" w:type="dxa"/>
          </w:tcPr>
          <w:p w14:paraId="3E637B29" w14:textId="7A67DF95" w:rsidR="00DA0ABF" w:rsidRPr="007E1EE3" w:rsidRDefault="00DA0ABF" w:rsidP="000B1EBD">
            <w:pPr>
              <w:pStyle w:val="TableBodyText"/>
              <w:rPr>
                <w:szCs w:val="20"/>
              </w:rPr>
            </w:pPr>
            <w:r w:rsidRPr="007E1EE3">
              <w:rPr>
                <w:szCs w:val="20"/>
              </w:rPr>
              <w:t>FRD 108C</w:t>
            </w:r>
          </w:p>
        </w:tc>
        <w:tc>
          <w:tcPr>
            <w:tcW w:w="6095" w:type="dxa"/>
          </w:tcPr>
          <w:p w14:paraId="097898D5" w14:textId="7D3E554C" w:rsidR="00DA0ABF" w:rsidRPr="007E1EE3" w:rsidRDefault="00DA0ABF" w:rsidP="000B1EBD">
            <w:pPr>
              <w:pStyle w:val="TableBodyText"/>
              <w:rPr>
                <w:szCs w:val="20"/>
              </w:rPr>
            </w:pPr>
            <w:r w:rsidRPr="007E1EE3">
              <w:rPr>
                <w:szCs w:val="20"/>
              </w:rPr>
              <w:t>Classification of entities as for-profit</w:t>
            </w:r>
          </w:p>
        </w:tc>
        <w:tc>
          <w:tcPr>
            <w:tcW w:w="2118" w:type="dxa"/>
          </w:tcPr>
          <w:p w14:paraId="728BDB0C" w14:textId="38E00BD6" w:rsidR="00DA0ABF" w:rsidRPr="007E1EE3" w:rsidRDefault="00E26CAC" w:rsidP="000B1EBD">
            <w:pPr>
              <w:pStyle w:val="TableBodyText"/>
              <w:rPr>
                <w:szCs w:val="20"/>
              </w:rPr>
            </w:pPr>
            <w:r>
              <w:rPr>
                <w:szCs w:val="20"/>
              </w:rPr>
              <w:fldChar w:fldCharType="begin"/>
            </w:r>
            <w:r>
              <w:rPr>
                <w:szCs w:val="20"/>
              </w:rPr>
              <w:instrText xml:space="preserve"> PAGEREF _Ref89807170 \h </w:instrText>
            </w:r>
            <w:r>
              <w:rPr>
                <w:szCs w:val="20"/>
              </w:rPr>
            </w:r>
            <w:r>
              <w:rPr>
                <w:szCs w:val="20"/>
              </w:rPr>
              <w:fldChar w:fldCharType="separate"/>
            </w:r>
            <w:r w:rsidR="00472151">
              <w:rPr>
                <w:noProof/>
                <w:szCs w:val="20"/>
              </w:rPr>
              <w:t>93</w:t>
            </w:r>
            <w:r>
              <w:rPr>
                <w:szCs w:val="20"/>
              </w:rPr>
              <w:fldChar w:fldCharType="end"/>
            </w:r>
          </w:p>
        </w:tc>
      </w:tr>
      <w:tr w:rsidR="00DA0ABF" w:rsidRPr="007E1EE3" w14:paraId="3F4AB40D" w14:textId="77777777" w:rsidTr="001F66C7">
        <w:tc>
          <w:tcPr>
            <w:tcW w:w="1418" w:type="dxa"/>
          </w:tcPr>
          <w:p w14:paraId="09B25ED0" w14:textId="7B57C6AB" w:rsidR="00DA0ABF" w:rsidRPr="007E1EE3" w:rsidRDefault="00DA0ABF" w:rsidP="000B1EBD">
            <w:pPr>
              <w:pStyle w:val="TableBodyText"/>
              <w:rPr>
                <w:szCs w:val="20"/>
              </w:rPr>
            </w:pPr>
            <w:r w:rsidRPr="007E1EE3">
              <w:rPr>
                <w:szCs w:val="20"/>
              </w:rPr>
              <w:t>FRD 109A</w:t>
            </w:r>
          </w:p>
        </w:tc>
        <w:tc>
          <w:tcPr>
            <w:tcW w:w="6095" w:type="dxa"/>
          </w:tcPr>
          <w:p w14:paraId="1AEBFB3A" w14:textId="5FCD99FC" w:rsidR="00DA0ABF" w:rsidRPr="007E1EE3" w:rsidRDefault="00DA0ABF" w:rsidP="000B1EBD">
            <w:pPr>
              <w:pStyle w:val="TableBodyText"/>
              <w:rPr>
                <w:szCs w:val="20"/>
              </w:rPr>
            </w:pPr>
            <w:r w:rsidRPr="007E1EE3">
              <w:rPr>
                <w:szCs w:val="20"/>
              </w:rPr>
              <w:t>Intangible assets</w:t>
            </w:r>
          </w:p>
        </w:tc>
        <w:tc>
          <w:tcPr>
            <w:tcW w:w="2118" w:type="dxa"/>
          </w:tcPr>
          <w:p w14:paraId="6A11933E" w14:textId="68D45984" w:rsidR="00DA0ABF" w:rsidRPr="007E1EE3" w:rsidRDefault="00E26CAC" w:rsidP="000B1EBD">
            <w:pPr>
              <w:pStyle w:val="TableBodyText"/>
              <w:rPr>
                <w:szCs w:val="20"/>
              </w:rPr>
            </w:pPr>
            <w:r>
              <w:rPr>
                <w:szCs w:val="20"/>
              </w:rPr>
              <w:fldChar w:fldCharType="begin"/>
            </w:r>
            <w:r>
              <w:rPr>
                <w:szCs w:val="20"/>
              </w:rPr>
              <w:instrText xml:space="preserve"> PAGEREF _Ref89807196 \h </w:instrText>
            </w:r>
            <w:r>
              <w:rPr>
                <w:szCs w:val="20"/>
              </w:rPr>
            </w:r>
            <w:r>
              <w:rPr>
                <w:szCs w:val="20"/>
              </w:rPr>
              <w:fldChar w:fldCharType="separate"/>
            </w:r>
            <w:r w:rsidR="00472151">
              <w:rPr>
                <w:noProof/>
                <w:szCs w:val="20"/>
              </w:rPr>
              <w:t>93</w:t>
            </w:r>
            <w:r>
              <w:rPr>
                <w:szCs w:val="20"/>
              </w:rPr>
              <w:fldChar w:fldCharType="end"/>
            </w:r>
          </w:p>
        </w:tc>
      </w:tr>
      <w:tr w:rsidR="00DA0ABF" w:rsidRPr="007E1EE3" w14:paraId="55CF1847" w14:textId="77777777" w:rsidTr="001F66C7">
        <w:tc>
          <w:tcPr>
            <w:tcW w:w="1418" w:type="dxa"/>
          </w:tcPr>
          <w:p w14:paraId="2B8B51FD" w14:textId="7F8EFE08" w:rsidR="00DA0ABF" w:rsidRPr="007E1EE3" w:rsidRDefault="00DA0ABF" w:rsidP="000B1EBD">
            <w:pPr>
              <w:pStyle w:val="TableBodyText"/>
              <w:rPr>
                <w:szCs w:val="20"/>
              </w:rPr>
            </w:pPr>
            <w:r w:rsidRPr="007E1EE3">
              <w:rPr>
                <w:szCs w:val="20"/>
              </w:rPr>
              <w:t>FRD 110A</w:t>
            </w:r>
          </w:p>
        </w:tc>
        <w:tc>
          <w:tcPr>
            <w:tcW w:w="6095" w:type="dxa"/>
          </w:tcPr>
          <w:p w14:paraId="1AD5304D" w14:textId="3CDF909D" w:rsidR="00DA0ABF" w:rsidRPr="007E1EE3" w:rsidRDefault="00DA0ABF" w:rsidP="000B1EBD">
            <w:pPr>
              <w:pStyle w:val="TableBodyText"/>
              <w:rPr>
                <w:szCs w:val="20"/>
              </w:rPr>
            </w:pPr>
            <w:r w:rsidRPr="007E1EE3">
              <w:rPr>
                <w:szCs w:val="20"/>
              </w:rPr>
              <w:t>Cash flow statements</w:t>
            </w:r>
          </w:p>
        </w:tc>
        <w:tc>
          <w:tcPr>
            <w:tcW w:w="2118" w:type="dxa"/>
          </w:tcPr>
          <w:p w14:paraId="7FAAC832" w14:textId="0650BEC4" w:rsidR="00DA0ABF" w:rsidRPr="007E1EE3" w:rsidRDefault="00E26CAC" w:rsidP="000B1EBD">
            <w:pPr>
              <w:pStyle w:val="TableBodyText"/>
              <w:rPr>
                <w:szCs w:val="20"/>
              </w:rPr>
            </w:pPr>
            <w:r>
              <w:rPr>
                <w:szCs w:val="20"/>
              </w:rPr>
              <w:fldChar w:fldCharType="begin"/>
            </w:r>
            <w:r>
              <w:rPr>
                <w:szCs w:val="20"/>
              </w:rPr>
              <w:instrText xml:space="preserve"> PAGEREF _Ref89807233 \h </w:instrText>
            </w:r>
            <w:r>
              <w:rPr>
                <w:szCs w:val="20"/>
              </w:rPr>
            </w:r>
            <w:r>
              <w:rPr>
                <w:szCs w:val="20"/>
              </w:rPr>
              <w:fldChar w:fldCharType="separate"/>
            </w:r>
            <w:r w:rsidR="00472151">
              <w:rPr>
                <w:noProof/>
                <w:szCs w:val="20"/>
              </w:rPr>
              <w:t>93</w:t>
            </w:r>
            <w:r>
              <w:rPr>
                <w:szCs w:val="20"/>
              </w:rPr>
              <w:fldChar w:fldCharType="end"/>
            </w:r>
            <w:r>
              <w:rPr>
                <w:szCs w:val="20"/>
              </w:rPr>
              <w:t xml:space="preserve">, </w:t>
            </w:r>
            <w:r>
              <w:rPr>
                <w:szCs w:val="20"/>
              </w:rPr>
              <w:fldChar w:fldCharType="begin"/>
            </w:r>
            <w:r>
              <w:rPr>
                <w:szCs w:val="20"/>
              </w:rPr>
              <w:instrText xml:space="preserve"> PAGEREF _Ref89807265 \h </w:instrText>
            </w:r>
            <w:r>
              <w:rPr>
                <w:szCs w:val="20"/>
              </w:rPr>
            </w:r>
            <w:r>
              <w:rPr>
                <w:szCs w:val="20"/>
              </w:rPr>
              <w:fldChar w:fldCharType="separate"/>
            </w:r>
            <w:r w:rsidR="00472151">
              <w:rPr>
                <w:noProof/>
                <w:szCs w:val="20"/>
              </w:rPr>
              <w:t>93</w:t>
            </w:r>
            <w:r>
              <w:rPr>
                <w:szCs w:val="20"/>
              </w:rPr>
              <w:fldChar w:fldCharType="end"/>
            </w:r>
          </w:p>
        </w:tc>
      </w:tr>
      <w:tr w:rsidR="00DA0ABF" w:rsidRPr="007E1EE3" w14:paraId="6959F799" w14:textId="77777777" w:rsidTr="001F66C7">
        <w:tc>
          <w:tcPr>
            <w:tcW w:w="1418" w:type="dxa"/>
          </w:tcPr>
          <w:p w14:paraId="76D09A45" w14:textId="775A5FE3" w:rsidR="00DA0ABF" w:rsidRPr="007E1EE3" w:rsidRDefault="00DA0ABF" w:rsidP="000B1EBD">
            <w:pPr>
              <w:pStyle w:val="TableBodyText"/>
              <w:rPr>
                <w:szCs w:val="20"/>
              </w:rPr>
            </w:pPr>
            <w:r w:rsidRPr="007E1EE3">
              <w:rPr>
                <w:szCs w:val="20"/>
              </w:rPr>
              <w:t>FRD 112D</w:t>
            </w:r>
          </w:p>
        </w:tc>
        <w:tc>
          <w:tcPr>
            <w:tcW w:w="6095" w:type="dxa"/>
          </w:tcPr>
          <w:p w14:paraId="3BBB36FD" w14:textId="4497C175" w:rsidR="00DA0ABF" w:rsidRPr="007E1EE3" w:rsidRDefault="00DA0ABF" w:rsidP="000B1EBD">
            <w:pPr>
              <w:pStyle w:val="TableBodyText"/>
              <w:rPr>
                <w:szCs w:val="20"/>
              </w:rPr>
            </w:pPr>
            <w:r w:rsidRPr="007E1EE3">
              <w:rPr>
                <w:szCs w:val="20"/>
              </w:rPr>
              <w:t>Defined benefit superannuation obligations</w:t>
            </w:r>
          </w:p>
        </w:tc>
        <w:tc>
          <w:tcPr>
            <w:tcW w:w="2118" w:type="dxa"/>
          </w:tcPr>
          <w:p w14:paraId="18394D5F" w14:textId="0E9DDC2B" w:rsidR="00DA0ABF" w:rsidRPr="007E1EE3" w:rsidRDefault="00E26CAC" w:rsidP="000B1EBD">
            <w:pPr>
              <w:pStyle w:val="TableBodyText"/>
              <w:rPr>
                <w:szCs w:val="20"/>
              </w:rPr>
            </w:pPr>
            <w:r>
              <w:rPr>
                <w:szCs w:val="20"/>
              </w:rPr>
              <w:fldChar w:fldCharType="begin"/>
            </w:r>
            <w:r>
              <w:rPr>
                <w:szCs w:val="20"/>
              </w:rPr>
              <w:instrText xml:space="preserve"> PAGEREF _Ref89807332 \h </w:instrText>
            </w:r>
            <w:r>
              <w:rPr>
                <w:szCs w:val="20"/>
              </w:rPr>
            </w:r>
            <w:r>
              <w:rPr>
                <w:szCs w:val="20"/>
              </w:rPr>
              <w:fldChar w:fldCharType="separate"/>
            </w:r>
            <w:r w:rsidR="00472151">
              <w:rPr>
                <w:noProof/>
                <w:szCs w:val="20"/>
              </w:rPr>
              <w:t>93</w:t>
            </w:r>
            <w:r>
              <w:rPr>
                <w:szCs w:val="20"/>
              </w:rPr>
              <w:fldChar w:fldCharType="end"/>
            </w:r>
          </w:p>
        </w:tc>
      </w:tr>
      <w:tr w:rsidR="00DA0ABF" w:rsidRPr="007E1EE3" w14:paraId="6DA7152A" w14:textId="77777777" w:rsidTr="001F66C7">
        <w:tc>
          <w:tcPr>
            <w:tcW w:w="1418" w:type="dxa"/>
          </w:tcPr>
          <w:p w14:paraId="321D5D34" w14:textId="716DDB3D" w:rsidR="00DA0ABF" w:rsidRPr="007E1EE3" w:rsidRDefault="00DA0ABF" w:rsidP="000B1EBD">
            <w:pPr>
              <w:pStyle w:val="TableBodyText"/>
              <w:rPr>
                <w:szCs w:val="20"/>
              </w:rPr>
            </w:pPr>
            <w:r w:rsidRPr="007E1EE3">
              <w:rPr>
                <w:szCs w:val="20"/>
              </w:rPr>
              <w:t>FRD 113A</w:t>
            </w:r>
          </w:p>
        </w:tc>
        <w:tc>
          <w:tcPr>
            <w:tcW w:w="6095" w:type="dxa"/>
          </w:tcPr>
          <w:p w14:paraId="2B8D69FC" w14:textId="5BC5F864" w:rsidR="00DA0ABF" w:rsidRPr="007E1EE3" w:rsidRDefault="00DA0ABF" w:rsidP="000B1EBD">
            <w:pPr>
              <w:pStyle w:val="TableBodyText"/>
              <w:rPr>
                <w:szCs w:val="20"/>
              </w:rPr>
            </w:pPr>
            <w:r w:rsidRPr="007E1EE3">
              <w:rPr>
                <w:szCs w:val="20"/>
              </w:rPr>
              <w:t>Investments in subsidiaries, joint venture and associates in the separate financial statements</w:t>
            </w:r>
          </w:p>
        </w:tc>
        <w:tc>
          <w:tcPr>
            <w:tcW w:w="2118" w:type="dxa"/>
          </w:tcPr>
          <w:p w14:paraId="6B27B712" w14:textId="70C9EA4C" w:rsidR="00DA0ABF" w:rsidRPr="007E1EE3" w:rsidRDefault="00E26CAC" w:rsidP="000B1EBD">
            <w:pPr>
              <w:pStyle w:val="TableBodyText"/>
              <w:rPr>
                <w:szCs w:val="20"/>
              </w:rPr>
            </w:pPr>
            <w:r>
              <w:rPr>
                <w:szCs w:val="20"/>
              </w:rPr>
              <w:fldChar w:fldCharType="begin"/>
            </w:r>
            <w:r>
              <w:rPr>
                <w:szCs w:val="20"/>
              </w:rPr>
              <w:instrText xml:space="preserve"> PAGEREF _Ref89807311 \h </w:instrText>
            </w:r>
            <w:r>
              <w:rPr>
                <w:szCs w:val="20"/>
              </w:rPr>
            </w:r>
            <w:r>
              <w:rPr>
                <w:szCs w:val="20"/>
              </w:rPr>
              <w:fldChar w:fldCharType="separate"/>
            </w:r>
            <w:r w:rsidR="00472151">
              <w:rPr>
                <w:noProof/>
                <w:szCs w:val="20"/>
              </w:rPr>
              <w:t>93</w:t>
            </w:r>
            <w:r>
              <w:rPr>
                <w:szCs w:val="20"/>
              </w:rPr>
              <w:fldChar w:fldCharType="end"/>
            </w:r>
          </w:p>
        </w:tc>
      </w:tr>
      <w:tr w:rsidR="00DA0ABF" w:rsidRPr="007E1EE3" w14:paraId="542A0446" w14:textId="77777777" w:rsidTr="001F66C7">
        <w:tc>
          <w:tcPr>
            <w:tcW w:w="1418" w:type="dxa"/>
          </w:tcPr>
          <w:p w14:paraId="4376E1E1" w14:textId="118D0180" w:rsidR="00DA0ABF" w:rsidRPr="007E1EE3" w:rsidRDefault="00DA0ABF" w:rsidP="000B1EBD">
            <w:pPr>
              <w:pStyle w:val="TableBodyText"/>
              <w:rPr>
                <w:szCs w:val="20"/>
              </w:rPr>
            </w:pPr>
            <w:r w:rsidRPr="007E1EE3">
              <w:rPr>
                <w:szCs w:val="20"/>
              </w:rPr>
              <w:t>FRD 114C</w:t>
            </w:r>
          </w:p>
        </w:tc>
        <w:tc>
          <w:tcPr>
            <w:tcW w:w="6095" w:type="dxa"/>
          </w:tcPr>
          <w:p w14:paraId="42C4442A" w14:textId="57CB249C" w:rsidR="00DA0ABF" w:rsidRPr="007E1EE3" w:rsidRDefault="00DA0ABF" w:rsidP="000B1EBD">
            <w:pPr>
              <w:pStyle w:val="TableBodyText"/>
              <w:rPr>
                <w:szCs w:val="20"/>
              </w:rPr>
            </w:pPr>
            <w:r w:rsidRPr="007E1EE3">
              <w:rPr>
                <w:szCs w:val="20"/>
              </w:rPr>
              <w:t>Financial instruments</w:t>
            </w:r>
          </w:p>
        </w:tc>
        <w:tc>
          <w:tcPr>
            <w:tcW w:w="2118" w:type="dxa"/>
          </w:tcPr>
          <w:p w14:paraId="7E77C769" w14:textId="449DB56C" w:rsidR="00DA0ABF" w:rsidRPr="007E1EE3" w:rsidRDefault="00E26CAC" w:rsidP="000B1EBD">
            <w:pPr>
              <w:pStyle w:val="TableBodyText"/>
              <w:rPr>
                <w:szCs w:val="20"/>
              </w:rPr>
            </w:pPr>
            <w:r>
              <w:rPr>
                <w:szCs w:val="20"/>
              </w:rPr>
              <w:fldChar w:fldCharType="begin"/>
            </w:r>
            <w:r>
              <w:rPr>
                <w:szCs w:val="20"/>
              </w:rPr>
              <w:instrText xml:space="preserve"> PAGEREF _Ref89807365 \h </w:instrText>
            </w:r>
            <w:r>
              <w:rPr>
                <w:szCs w:val="20"/>
              </w:rPr>
            </w:r>
            <w:r>
              <w:rPr>
                <w:szCs w:val="20"/>
              </w:rPr>
              <w:fldChar w:fldCharType="separate"/>
            </w:r>
            <w:r w:rsidR="00472151">
              <w:rPr>
                <w:noProof/>
                <w:szCs w:val="20"/>
              </w:rPr>
              <w:t>93</w:t>
            </w:r>
            <w:r>
              <w:rPr>
                <w:szCs w:val="20"/>
              </w:rPr>
              <w:fldChar w:fldCharType="end"/>
            </w:r>
          </w:p>
        </w:tc>
      </w:tr>
      <w:tr w:rsidR="00DA0ABF" w:rsidRPr="007E1EE3" w14:paraId="5BBEE97C" w14:textId="77777777" w:rsidTr="001F66C7">
        <w:tc>
          <w:tcPr>
            <w:tcW w:w="1418" w:type="dxa"/>
          </w:tcPr>
          <w:p w14:paraId="7D1DD1F0" w14:textId="3F3B7E69" w:rsidR="00DA0ABF" w:rsidRPr="007E1EE3" w:rsidRDefault="00DA0ABF" w:rsidP="000B1EBD">
            <w:pPr>
              <w:pStyle w:val="TableBodyText"/>
              <w:rPr>
                <w:szCs w:val="20"/>
              </w:rPr>
            </w:pPr>
            <w:r w:rsidRPr="007E1EE3">
              <w:rPr>
                <w:szCs w:val="20"/>
              </w:rPr>
              <w:t>FRD 117A</w:t>
            </w:r>
          </w:p>
        </w:tc>
        <w:tc>
          <w:tcPr>
            <w:tcW w:w="6095" w:type="dxa"/>
          </w:tcPr>
          <w:p w14:paraId="7C0BD7F3" w14:textId="70EACF36" w:rsidR="00DA0ABF" w:rsidRPr="007E1EE3" w:rsidRDefault="00DA0ABF" w:rsidP="000B1EBD">
            <w:pPr>
              <w:pStyle w:val="TableBodyText"/>
              <w:rPr>
                <w:szCs w:val="20"/>
              </w:rPr>
            </w:pPr>
            <w:r w:rsidRPr="007E1EE3">
              <w:rPr>
                <w:szCs w:val="20"/>
              </w:rPr>
              <w:t>Contributions of existing non-financial assets to third parties</w:t>
            </w:r>
          </w:p>
        </w:tc>
        <w:tc>
          <w:tcPr>
            <w:tcW w:w="2118" w:type="dxa"/>
          </w:tcPr>
          <w:p w14:paraId="6D68778A" w14:textId="1ABCCB3A" w:rsidR="00DA0ABF" w:rsidRPr="007E1EE3" w:rsidRDefault="00E26CAC" w:rsidP="000B1EBD">
            <w:pPr>
              <w:pStyle w:val="TableBodyText"/>
              <w:rPr>
                <w:szCs w:val="20"/>
              </w:rPr>
            </w:pPr>
            <w:r>
              <w:rPr>
                <w:szCs w:val="20"/>
              </w:rPr>
              <w:fldChar w:fldCharType="begin"/>
            </w:r>
            <w:r>
              <w:rPr>
                <w:szCs w:val="20"/>
              </w:rPr>
              <w:instrText xml:space="preserve"> PAGEREF _Ref89807395 \h </w:instrText>
            </w:r>
            <w:r>
              <w:rPr>
                <w:szCs w:val="20"/>
              </w:rPr>
            </w:r>
            <w:r>
              <w:rPr>
                <w:szCs w:val="20"/>
              </w:rPr>
              <w:fldChar w:fldCharType="separate"/>
            </w:r>
            <w:r w:rsidR="00472151">
              <w:rPr>
                <w:noProof/>
                <w:szCs w:val="20"/>
              </w:rPr>
              <w:t>93</w:t>
            </w:r>
            <w:r>
              <w:rPr>
                <w:szCs w:val="20"/>
              </w:rPr>
              <w:fldChar w:fldCharType="end"/>
            </w:r>
          </w:p>
        </w:tc>
      </w:tr>
      <w:tr w:rsidR="00DA0ABF" w:rsidRPr="007E1EE3" w14:paraId="501B45AA" w14:textId="77777777" w:rsidTr="001F66C7">
        <w:tc>
          <w:tcPr>
            <w:tcW w:w="1418" w:type="dxa"/>
          </w:tcPr>
          <w:p w14:paraId="4D6066ED" w14:textId="2777EAA3" w:rsidR="00DA0ABF" w:rsidRPr="007E1EE3" w:rsidRDefault="00DA0ABF" w:rsidP="000B1EBD">
            <w:pPr>
              <w:pStyle w:val="TableBodyText"/>
              <w:rPr>
                <w:szCs w:val="20"/>
              </w:rPr>
            </w:pPr>
            <w:r w:rsidRPr="007E1EE3">
              <w:rPr>
                <w:szCs w:val="20"/>
              </w:rPr>
              <w:t>FRD 119A</w:t>
            </w:r>
          </w:p>
        </w:tc>
        <w:tc>
          <w:tcPr>
            <w:tcW w:w="6095" w:type="dxa"/>
          </w:tcPr>
          <w:p w14:paraId="06595EAE" w14:textId="00F773A8" w:rsidR="00DA0ABF" w:rsidRPr="007E1EE3" w:rsidRDefault="00DA0ABF" w:rsidP="000B1EBD">
            <w:pPr>
              <w:pStyle w:val="TableBodyText"/>
              <w:rPr>
                <w:szCs w:val="20"/>
              </w:rPr>
            </w:pPr>
            <w:r w:rsidRPr="007E1EE3">
              <w:rPr>
                <w:szCs w:val="20"/>
              </w:rPr>
              <w:t>Transfers through contributed capital</w:t>
            </w:r>
          </w:p>
        </w:tc>
        <w:tc>
          <w:tcPr>
            <w:tcW w:w="2118" w:type="dxa"/>
          </w:tcPr>
          <w:p w14:paraId="2D91DEC0" w14:textId="766EA5C9" w:rsidR="00DA0ABF" w:rsidRPr="007E1EE3" w:rsidRDefault="00E26CAC" w:rsidP="000B1EBD">
            <w:pPr>
              <w:pStyle w:val="TableBodyText"/>
              <w:rPr>
                <w:szCs w:val="20"/>
              </w:rPr>
            </w:pPr>
            <w:r>
              <w:rPr>
                <w:szCs w:val="20"/>
              </w:rPr>
              <w:fldChar w:fldCharType="begin"/>
            </w:r>
            <w:r>
              <w:rPr>
                <w:szCs w:val="20"/>
              </w:rPr>
              <w:instrText xml:space="preserve"> PAGEREF _Ref89807401 \h </w:instrText>
            </w:r>
            <w:r>
              <w:rPr>
                <w:szCs w:val="20"/>
              </w:rPr>
            </w:r>
            <w:r>
              <w:rPr>
                <w:szCs w:val="20"/>
              </w:rPr>
              <w:fldChar w:fldCharType="separate"/>
            </w:r>
            <w:r w:rsidR="00472151">
              <w:rPr>
                <w:noProof/>
                <w:szCs w:val="20"/>
              </w:rPr>
              <w:t>93</w:t>
            </w:r>
            <w:r>
              <w:rPr>
                <w:szCs w:val="20"/>
              </w:rPr>
              <w:fldChar w:fldCharType="end"/>
            </w:r>
          </w:p>
        </w:tc>
      </w:tr>
      <w:tr w:rsidR="00DA0ABF" w:rsidRPr="007E1EE3" w14:paraId="0C905AA2" w14:textId="77777777" w:rsidTr="001F66C7">
        <w:tc>
          <w:tcPr>
            <w:tcW w:w="1418" w:type="dxa"/>
          </w:tcPr>
          <w:p w14:paraId="21D5618C" w14:textId="3708BF9F" w:rsidR="00DA0ABF" w:rsidRPr="007E1EE3" w:rsidRDefault="00DA0ABF" w:rsidP="000B1EBD">
            <w:pPr>
              <w:pStyle w:val="TableBodyText"/>
              <w:rPr>
                <w:szCs w:val="20"/>
              </w:rPr>
            </w:pPr>
            <w:r w:rsidRPr="007E1EE3">
              <w:rPr>
                <w:szCs w:val="20"/>
              </w:rPr>
              <w:t>FRD 120C</w:t>
            </w:r>
          </w:p>
        </w:tc>
        <w:tc>
          <w:tcPr>
            <w:tcW w:w="6095" w:type="dxa"/>
          </w:tcPr>
          <w:p w14:paraId="120C032A" w14:textId="1CCC0C21" w:rsidR="00DA0ABF" w:rsidRPr="007E1EE3" w:rsidRDefault="00DA0ABF" w:rsidP="000B1EBD">
            <w:pPr>
              <w:pStyle w:val="TableBodyText"/>
              <w:rPr>
                <w:szCs w:val="20"/>
              </w:rPr>
            </w:pPr>
            <w:r w:rsidRPr="007E1EE3">
              <w:rPr>
                <w:szCs w:val="20"/>
              </w:rPr>
              <w:t>Accounting and reporting pronouncements</w:t>
            </w:r>
          </w:p>
        </w:tc>
        <w:tc>
          <w:tcPr>
            <w:tcW w:w="2118" w:type="dxa"/>
          </w:tcPr>
          <w:p w14:paraId="71E22AC9" w14:textId="23E85C0C" w:rsidR="00DA0ABF" w:rsidRPr="007E1EE3" w:rsidRDefault="009448B0" w:rsidP="000B1EBD">
            <w:pPr>
              <w:pStyle w:val="TableBodyText"/>
              <w:rPr>
                <w:szCs w:val="20"/>
              </w:rPr>
            </w:pPr>
            <w:r>
              <w:rPr>
                <w:szCs w:val="20"/>
              </w:rPr>
              <w:fldChar w:fldCharType="begin"/>
            </w:r>
            <w:r>
              <w:rPr>
                <w:szCs w:val="20"/>
              </w:rPr>
              <w:instrText xml:space="preserve"> PAGEREF _Ref89807419 \h </w:instrText>
            </w:r>
            <w:r>
              <w:rPr>
                <w:szCs w:val="20"/>
              </w:rPr>
            </w:r>
            <w:r>
              <w:rPr>
                <w:szCs w:val="20"/>
              </w:rPr>
              <w:fldChar w:fldCharType="separate"/>
            </w:r>
            <w:r w:rsidR="00472151">
              <w:rPr>
                <w:noProof/>
                <w:szCs w:val="20"/>
              </w:rPr>
              <w:t>93</w:t>
            </w:r>
            <w:r>
              <w:rPr>
                <w:szCs w:val="20"/>
              </w:rPr>
              <w:fldChar w:fldCharType="end"/>
            </w:r>
          </w:p>
        </w:tc>
      </w:tr>
    </w:tbl>
    <w:p w14:paraId="57CEAE79" w14:textId="77777777" w:rsidR="00B529F1" w:rsidRDefault="00B529F1" w:rsidP="00B1710D">
      <w:pPr>
        <w:pStyle w:val="Heading2"/>
        <w:pageBreakBefore/>
      </w:pPr>
      <w:bookmarkStart w:id="1332" w:name="AppendixB"/>
      <w:bookmarkStart w:id="1333" w:name="_Toc89723169"/>
      <w:bookmarkStart w:id="1334" w:name="_Toc89723256"/>
      <w:bookmarkStart w:id="1335" w:name="_Toc89723316"/>
      <w:bookmarkStart w:id="1336" w:name="_Ref89799161"/>
      <w:bookmarkStart w:id="1337" w:name="_Ref89808103"/>
      <w:bookmarkStart w:id="1338" w:name="_Ref89810697"/>
      <w:bookmarkStart w:id="1339" w:name="_Toc89860581"/>
      <w:bookmarkStart w:id="1340" w:name="_Toc89860725"/>
      <w:bookmarkStart w:id="1341" w:name="_Toc90326111"/>
      <w:bookmarkStart w:id="1342" w:name="_Toc93659517"/>
      <w:r>
        <w:lastRenderedPageBreak/>
        <w:t>Appendix B</w:t>
      </w:r>
      <w:bookmarkEnd w:id="1332"/>
      <w:r>
        <w:t xml:space="preserve"> – Corporate Information</w:t>
      </w:r>
      <w:bookmarkEnd w:id="1333"/>
      <w:bookmarkEnd w:id="1334"/>
      <w:bookmarkEnd w:id="1335"/>
      <w:bookmarkEnd w:id="1336"/>
      <w:bookmarkEnd w:id="1337"/>
      <w:bookmarkEnd w:id="1338"/>
      <w:bookmarkEnd w:id="1339"/>
      <w:bookmarkEnd w:id="1340"/>
      <w:bookmarkEnd w:id="1341"/>
      <w:bookmarkEnd w:id="1342"/>
    </w:p>
    <w:p w14:paraId="6B4B0FAC" w14:textId="77777777" w:rsidR="00B529F1" w:rsidRDefault="00B529F1" w:rsidP="00B529F1">
      <w:pPr>
        <w:pStyle w:val="Heading3"/>
      </w:pPr>
      <w:bookmarkStart w:id="1343" w:name="_Toc89723170"/>
      <w:bookmarkStart w:id="1344" w:name="_Ref89799165"/>
      <w:bookmarkStart w:id="1345" w:name="_Ref89799196"/>
      <w:bookmarkStart w:id="1346" w:name="_Toc90326112"/>
      <w:bookmarkStart w:id="1347" w:name="_Toc93659518"/>
      <w:r>
        <w:t>Consultancy Expenditure</w:t>
      </w:r>
      <w:bookmarkEnd w:id="1343"/>
      <w:bookmarkEnd w:id="1344"/>
      <w:bookmarkEnd w:id="1345"/>
      <w:bookmarkEnd w:id="1346"/>
      <w:bookmarkEnd w:id="1347"/>
    </w:p>
    <w:p w14:paraId="0FB1C892" w14:textId="2EF421B5" w:rsidR="00B529F1" w:rsidRDefault="00B529F1" w:rsidP="00B529F1">
      <w:pPr>
        <w:pStyle w:val="BodyText"/>
      </w:pPr>
      <w:r>
        <w:t xml:space="preserve">The following is a summary of consultancy expenditure by Melbourne Water over the 2020-21 financial year. Details of individual consultancies are outlined on Melbourne Water’s </w:t>
      </w:r>
      <w:hyperlink r:id="rId33" w:history="1">
        <w:r w:rsidR="00D363B3" w:rsidRPr="00D363B3">
          <w:rPr>
            <w:rStyle w:val="Hyperlink"/>
          </w:rPr>
          <w:t>website</w:t>
        </w:r>
      </w:hyperlink>
      <w:r w:rsidR="00D363B3">
        <w:rPr>
          <w:rStyle w:val="FootnoteReference"/>
        </w:rPr>
        <w:footnoteReference w:id="7"/>
      </w:r>
      <w:r w:rsidR="00D363B3">
        <w:t>.</w:t>
      </w:r>
    </w:p>
    <w:p w14:paraId="32684894" w14:textId="77777777" w:rsidR="00B529F1" w:rsidRDefault="00B529F1" w:rsidP="00B529F1">
      <w:pPr>
        <w:pStyle w:val="Heading4"/>
      </w:pPr>
      <w:r>
        <w:t>Consultancies valued at $10,000 or greater</w:t>
      </w:r>
    </w:p>
    <w:p w14:paraId="6547FAD2" w14:textId="682DE370" w:rsidR="00B529F1" w:rsidRDefault="00B529F1" w:rsidP="00B529F1">
      <w:pPr>
        <w:pStyle w:val="BodyText"/>
      </w:pPr>
      <w:r>
        <w:t>In 2020-21, there were 14 consultancies engaged during the year where the total fees payable to the consultants were $10,000 or greater. The total expenditure incurred during 2020-21 in relation to these consultancies was $840,261 (2019-20: $1,361,270) (excl. GST).</w:t>
      </w:r>
    </w:p>
    <w:p w14:paraId="156E44F3" w14:textId="77777777" w:rsidR="00B529F1" w:rsidRDefault="00B529F1" w:rsidP="00B529F1">
      <w:pPr>
        <w:pStyle w:val="Heading4"/>
      </w:pPr>
      <w:r>
        <w:t>Consultancies valued at less than $10,000</w:t>
      </w:r>
    </w:p>
    <w:p w14:paraId="401373E5" w14:textId="66D6BD70" w:rsidR="00B529F1" w:rsidRDefault="00B529F1" w:rsidP="00B529F1">
      <w:pPr>
        <w:pStyle w:val="BodyText"/>
      </w:pPr>
      <w:r>
        <w:t>In 2020-21, there were six consultancies engaged during the year where the total fees payable to the consultants were less than $10,000. The total expenditure incurred during 2020-21 in relation to these consultancies was $17,036 (2019-20: $13,810) (excl. GST).</w:t>
      </w:r>
    </w:p>
    <w:p w14:paraId="4551F10E" w14:textId="572E612E" w:rsidR="00B529F1" w:rsidRDefault="00B529F1" w:rsidP="00B529F1">
      <w:pPr>
        <w:pStyle w:val="Heading3"/>
      </w:pPr>
      <w:bookmarkStart w:id="1348" w:name="_Toc89723171"/>
      <w:bookmarkStart w:id="1349" w:name="_Toc90326113"/>
      <w:bookmarkStart w:id="1350" w:name="_Toc93659519"/>
      <w:r>
        <w:t>Advertising campaigns</w:t>
      </w:r>
      <w:bookmarkEnd w:id="1348"/>
      <w:bookmarkEnd w:id="1349"/>
      <w:bookmarkEnd w:id="1350"/>
    </w:p>
    <w:p w14:paraId="73999042" w14:textId="77777777" w:rsidR="00B529F1" w:rsidRDefault="00B529F1" w:rsidP="00B529F1">
      <w:pPr>
        <w:pStyle w:val="BodyText"/>
      </w:pPr>
      <w:r>
        <w:t>Melbourne Water had no advertising campaigns with a value greater than $100,000.</w:t>
      </w:r>
    </w:p>
    <w:p w14:paraId="65401C93" w14:textId="77777777" w:rsidR="00B529F1" w:rsidRDefault="00B529F1" w:rsidP="00B529F1">
      <w:pPr>
        <w:pStyle w:val="Heading3"/>
      </w:pPr>
      <w:bookmarkStart w:id="1351" w:name="_Toc89723172"/>
      <w:bookmarkStart w:id="1352" w:name="_Ref89799182"/>
      <w:bookmarkStart w:id="1353" w:name="_Ref89799202"/>
      <w:bookmarkStart w:id="1354" w:name="_Toc90326114"/>
      <w:bookmarkStart w:id="1355" w:name="_Toc93659520"/>
      <w:r>
        <w:t>ICT Expenditure</w:t>
      </w:r>
      <w:bookmarkEnd w:id="1351"/>
      <w:bookmarkEnd w:id="1352"/>
      <w:bookmarkEnd w:id="1353"/>
      <w:bookmarkEnd w:id="1354"/>
      <w:bookmarkEnd w:id="1355"/>
    </w:p>
    <w:p w14:paraId="20F0AC7C" w14:textId="7393F51B" w:rsidR="001F66C7" w:rsidRDefault="00B529F1" w:rsidP="00B529F1">
      <w:pPr>
        <w:pStyle w:val="BodyText"/>
      </w:pPr>
      <w:r>
        <w:t>For the 2020-21 reporting period, Melbourne Water had a total ICT expenditure of $56,690,277 (2019-20 $56,912,777) with the details shown below.</w:t>
      </w:r>
    </w:p>
    <w:tbl>
      <w:tblPr>
        <w:tblStyle w:val="Style1"/>
        <w:tblW w:w="0" w:type="auto"/>
        <w:tblLook w:val="04A0" w:firstRow="1" w:lastRow="0" w:firstColumn="1" w:lastColumn="0" w:noHBand="0" w:noVBand="1"/>
      </w:tblPr>
      <w:tblGrid>
        <w:gridCol w:w="2552"/>
        <w:gridCol w:w="2410"/>
        <w:gridCol w:w="2261"/>
        <w:gridCol w:w="2408"/>
      </w:tblGrid>
      <w:tr w:rsidR="00B529F1" w:rsidRPr="00761BBB" w14:paraId="2C44EFEE" w14:textId="77777777" w:rsidTr="00E75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vAlign w:val="bottom"/>
          </w:tcPr>
          <w:p w14:paraId="762E9A58" w14:textId="062793A6" w:rsidR="00B529F1" w:rsidRPr="00761BBB" w:rsidRDefault="00B529F1" w:rsidP="00761BBB">
            <w:pPr>
              <w:jc w:val="right"/>
            </w:pPr>
            <w:bookmarkStart w:id="1356" w:name="ColumnTitle_115"/>
            <w:r w:rsidRPr="00761BBB">
              <w:t>Business as usual (BAU)</w:t>
            </w:r>
            <w:r w:rsidR="00761BBB">
              <w:t xml:space="preserve"> </w:t>
            </w:r>
            <w:r w:rsidRPr="00761BBB">
              <w:t>ICT expenditure</w:t>
            </w:r>
          </w:p>
          <w:p w14:paraId="2059B0E9" w14:textId="77777777" w:rsidR="00B529F1" w:rsidRPr="00761BBB" w:rsidRDefault="00B529F1" w:rsidP="00761BBB">
            <w:pPr>
              <w:jc w:val="right"/>
            </w:pPr>
            <w:r w:rsidRPr="00761BBB">
              <w:t>(Total)</w:t>
            </w:r>
          </w:p>
          <w:p w14:paraId="72D16E7D" w14:textId="4E034637" w:rsidR="00B529F1" w:rsidRPr="00761BBB" w:rsidRDefault="00B529F1" w:rsidP="00761BBB">
            <w:pPr>
              <w:jc w:val="right"/>
            </w:pPr>
            <w:r w:rsidRPr="00761BBB">
              <w:t>($ 000)</w:t>
            </w:r>
          </w:p>
        </w:tc>
        <w:tc>
          <w:tcPr>
            <w:tcW w:w="2410" w:type="dxa"/>
            <w:tcBorders>
              <w:top w:val="single" w:sz="4" w:space="0" w:color="auto"/>
            </w:tcBorders>
            <w:vAlign w:val="bottom"/>
          </w:tcPr>
          <w:p w14:paraId="5576BECD" w14:textId="77777777" w:rsidR="00761BBB" w:rsidRDefault="00B529F1" w:rsidP="00761BBB">
            <w:pPr>
              <w:cnfStyle w:val="100000000000" w:firstRow="1" w:lastRow="0" w:firstColumn="0" w:lastColumn="0" w:oddVBand="0" w:evenVBand="0" w:oddHBand="0" w:evenHBand="0" w:firstRowFirstColumn="0" w:firstRowLastColumn="0" w:lastRowFirstColumn="0" w:lastRowLastColumn="0"/>
              <w:rPr>
                <w:b w:val="0"/>
              </w:rPr>
            </w:pPr>
            <w:r w:rsidRPr="00761BBB">
              <w:t>Non-business as usual</w:t>
            </w:r>
            <w:r w:rsidR="00761BBB">
              <w:t xml:space="preserve"> </w:t>
            </w:r>
            <w:r w:rsidRPr="00761BBB">
              <w:t>(non-BAU)</w:t>
            </w:r>
            <w:r w:rsidR="00761BBB">
              <w:t xml:space="preserve"> </w:t>
            </w:r>
          </w:p>
          <w:p w14:paraId="45C3A06E" w14:textId="32612FE2"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rPr>
                <w:b w:val="0"/>
              </w:rPr>
            </w:pPr>
            <w:r w:rsidRPr="00761BBB">
              <w:t>ICT expenditure</w:t>
            </w:r>
          </w:p>
          <w:p w14:paraId="49ABFCE6" w14:textId="097C3B05"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 xml:space="preserve">(Total = Operational and </w:t>
            </w:r>
            <w:r w:rsidR="00761BBB">
              <w:t xml:space="preserve"> C</w:t>
            </w:r>
            <w:r w:rsidRPr="00761BBB">
              <w:t>apital expenditure)</w:t>
            </w:r>
          </w:p>
          <w:p w14:paraId="6788B32F" w14:textId="3D943A94"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($ 000)</w:t>
            </w:r>
          </w:p>
        </w:tc>
        <w:tc>
          <w:tcPr>
            <w:tcW w:w="2261" w:type="dxa"/>
            <w:tcBorders>
              <w:top w:val="single" w:sz="4" w:space="0" w:color="auto"/>
            </w:tcBorders>
            <w:vAlign w:val="bottom"/>
          </w:tcPr>
          <w:p w14:paraId="48E785ED" w14:textId="77777777" w:rsidR="00761BBB" w:rsidRDefault="00B529F1" w:rsidP="00761BBB">
            <w:pPr>
              <w:cnfStyle w:val="100000000000" w:firstRow="1" w:lastRow="0" w:firstColumn="0" w:lastColumn="0" w:oddVBand="0" w:evenVBand="0" w:oddHBand="0" w:evenHBand="0" w:firstRowFirstColumn="0" w:firstRowLastColumn="0" w:lastRowFirstColumn="0" w:lastRowLastColumn="0"/>
              <w:rPr>
                <w:b w:val="0"/>
              </w:rPr>
            </w:pPr>
            <w:r w:rsidRPr="00761BBB">
              <w:t xml:space="preserve">Non-BAU </w:t>
            </w:r>
          </w:p>
          <w:p w14:paraId="259D80C4" w14:textId="77777777" w:rsidR="00761BBB" w:rsidRDefault="00B529F1" w:rsidP="00761BBB">
            <w:pPr>
              <w:cnfStyle w:val="100000000000" w:firstRow="1" w:lastRow="0" w:firstColumn="0" w:lastColumn="0" w:oddVBand="0" w:evenVBand="0" w:oddHBand="0" w:evenHBand="0" w:firstRowFirstColumn="0" w:firstRowLastColumn="0" w:lastRowFirstColumn="0" w:lastRowLastColumn="0"/>
              <w:rPr>
                <w:b w:val="0"/>
              </w:rPr>
            </w:pPr>
            <w:r w:rsidRPr="00761BBB">
              <w:t>ICT expenditure</w:t>
            </w:r>
            <w:r w:rsidR="00761BBB">
              <w:t xml:space="preserve"> </w:t>
            </w:r>
          </w:p>
          <w:p w14:paraId="4824F2C3" w14:textId="21E33CBA"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 xml:space="preserve">Operational </w:t>
            </w:r>
          </w:p>
          <w:p w14:paraId="3262A9E6" w14:textId="77777777"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expenditure (OPEX)</w:t>
            </w:r>
          </w:p>
          <w:p w14:paraId="024F02FF" w14:textId="4A604724"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($ 000)</w:t>
            </w:r>
          </w:p>
        </w:tc>
        <w:tc>
          <w:tcPr>
            <w:tcW w:w="2408" w:type="dxa"/>
            <w:tcBorders>
              <w:top w:val="single" w:sz="4" w:space="0" w:color="auto"/>
            </w:tcBorders>
            <w:vAlign w:val="bottom"/>
          </w:tcPr>
          <w:p w14:paraId="2B07C9CA" w14:textId="77777777"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Non-BAU</w:t>
            </w:r>
          </w:p>
          <w:p w14:paraId="5B92AFFE" w14:textId="64D506C6"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ICT expenditure</w:t>
            </w:r>
          </w:p>
          <w:p w14:paraId="68095D4E" w14:textId="55474F8B"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 xml:space="preserve">Capital expenditure </w:t>
            </w:r>
            <w:r w:rsidR="00761BBB">
              <w:t xml:space="preserve"> </w:t>
            </w:r>
            <w:r w:rsidRPr="00761BBB">
              <w:t>(CAPEX)</w:t>
            </w:r>
          </w:p>
          <w:p w14:paraId="2C3299D9" w14:textId="0E93BDD2" w:rsidR="00B529F1" w:rsidRPr="00761BBB" w:rsidRDefault="00B529F1" w:rsidP="00761BBB">
            <w:pPr>
              <w:cnfStyle w:val="100000000000" w:firstRow="1" w:lastRow="0" w:firstColumn="0" w:lastColumn="0" w:oddVBand="0" w:evenVBand="0" w:oddHBand="0" w:evenHBand="0" w:firstRowFirstColumn="0" w:firstRowLastColumn="0" w:lastRowFirstColumn="0" w:lastRowLastColumn="0"/>
            </w:pPr>
            <w:r w:rsidRPr="00761BBB">
              <w:t>($ 000)</w:t>
            </w:r>
          </w:p>
        </w:tc>
      </w:tr>
      <w:bookmarkEnd w:id="1356"/>
      <w:tr w:rsidR="00B529F1" w:rsidRPr="00B529F1" w14:paraId="7281E3FA" w14:textId="77777777" w:rsidTr="00761BBB">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vAlign w:val="top"/>
          </w:tcPr>
          <w:p w14:paraId="6BB53CA0" w14:textId="4E45E948" w:rsidR="00B529F1" w:rsidRPr="00B529F1" w:rsidRDefault="00B529F1" w:rsidP="00761BBB">
            <w:pPr>
              <w:pStyle w:val="TableBodyText"/>
              <w:jc w:val="right"/>
            </w:pPr>
            <w:r w:rsidRPr="00B529F1">
              <w:t>49,925</w:t>
            </w:r>
          </w:p>
        </w:tc>
        <w:tc>
          <w:tcPr>
            <w:tcW w:w="2410" w:type="dxa"/>
            <w:tcBorders>
              <w:top w:val="single" w:sz="4" w:space="0" w:color="auto"/>
              <w:bottom w:val="single" w:sz="4" w:space="0" w:color="auto"/>
            </w:tcBorders>
            <w:vAlign w:val="top"/>
          </w:tcPr>
          <w:p w14:paraId="22E3A4B0" w14:textId="7A6B89E3" w:rsidR="00B529F1" w:rsidRPr="00B529F1" w:rsidRDefault="00B529F1" w:rsidP="00761BBB">
            <w:pPr>
              <w:pStyle w:val="TableBodyText"/>
              <w:cnfStyle w:val="000000000000" w:firstRow="0" w:lastRow="0" w:firstColumn="0" w:lastColumn="0" w:oddVBand="0" w:evenVBand="0" w:oddHBand="0" w:evenHBand="0" w:firstRowFirstColumn="0" w:firstRowLastColumn="0" w:lastRowFirstColumn="0" w:lastRowLastColumn="0"/>
            </w:pPr>
            <w:r w:rsidRPr="00B529F1">
              <w:t>6,766</w:t>
            </w:r>
          </w:p>
        </w:tc>
        <w:tc>
          <w:tcPr>
            <w:tcW w:w="2261" w:type="dxa"/>
            <w:tcBorders>
              <w:top w:val="single" w:sz="4" w:space="0" w:color="auto"/>
              <w:bottom w:val="single" w:sz="4" w:space="0" w:color="auto"/>
            </w:tcBorders>
            <w:vAlign w:val="top"/>
          </w:tcPr>
          <w:p w14:paraId="1231B068" w14:textId="578EE8AD" w:rsidR="00B529F1" w:rsidRPr="00B529F1" w:rsidRDefault="00B529F1" w:rsidP="00761BBB">
            <w:pPr>
              <w:pStyle w:val="TableBodyText"/>
              <w:cnfStyle w:val="000000000000" w:firstRow="0" w:lastRow="0" w:firstColumn="0" w:lastColumn="0" w:oddVBand="0" w:evenVBand="0" w:oddHBand="0" w:evenHBand="0" w:firstRowFirstColumn="0" w:firstRowLastColumn="0" w:lastRowFirstColumn="0" w:lastRowLastColumn="0"/>
            </w:pPr>
            <w:r w:rsidRPr="00B529F1">
              <w:t>N/A</w:t>
            </w:r>
          </w:p>
        </w:tc>
        <w:tc>
          <w:tcPr>
            <w:tcW w:w="2408" w:type="dxa"/>
            <w:tcBorders>
              <w:top w:val="single" w:sz="4" w:space="0" w:color="auto"/>
              <w:bottom w:val="single" w:sz="4" w:space="0" w:color="auto"/>
            </w:tcBorders>
            <w:vAlign w:val="top"/>
          </w:tcPr>
          <w:p w14:paraId="17494FAA" w14:textId="1DB6A6FA" w:rsidR="00B529F1" w:rsidRPr="00B529F1" w:rsidRDefault="00B529F1" w:rsidP="00761BBB">
            <w:pPr>
              <w:pStyle w:val="TableBodyText"/>
              <w:cnfStyle w:val="000000000000" w:firstRow="0" w:lastRow="0" w:firstColumn="0" w:lastColumn="0" w:oddVBand="0" w:evenVBand="0" w:oddHBand="0" w:evenHBand="0" w:firstRowFirstColumn="0" w:firstRowLastColumn="0" w:lastRowFirstColumn="0" w:lastRowLastColumn="0"/>
            </w:pPr>
            <w:r w:rsidRPr="00B529F1">
              <w:t>6,766</w:t>
            </w:r>
          </w:p>
        </w:tc>
      </w:tr>
    </w:tbl>
    <w:p w14:paraId="6CCDBC0F" w14:textId="77777777" w:rsidR="00B529F1" w:rsidRPr="00B529F1" w:rsidRDefault="00B529F1" w:rsidP="00B529F1">
      <w:pPr>
        <w:pStyle w:val="BodyText"/>
        <w:rPr>
          <w:rStyle w:val="Bold"/>
        </w:rPr>
      </w:pPr>
      <w:r w:rsidRPr="00B529F1">
        <w:rPr>
          <w:rStyle w:val="Bold"/>
        </w:rPr>
        <w:t>Definitions</w:t>
      </w:r>
    </w:p>
    <w:p w14:paraId="4433E752" w14:textId="7566A444" w:rsidR="00B529F1" w:rsidRDefault="00B529F1" w:rsidP="00B529F1">
      <w:pPr>
        <w:pStyle w:val="BodyText"/>
      </w:pPr>
      <w:r>
        <w:t>Non Business As Usual (Non BAU): non BAU ICT expenditure is a subset of ICT expenditure that relates to extending or enhancing current ICT capabilities and are usually run as projects.</w:t>
      </w:r>
    </w:p>
    <w:p w14:paraId="0E2EF988" w14:textId="2BF1088A" w:rsidR="00B529F1" w:rsidRDefault="00B529F1" w:rsidP="00B529F1">
      <w:pPr>
        <w:pStyle w:val="BodyText"/>
      </w:pPr>
      <w:r>
        <w:t>Business As Usual (BAU): all remaining ICT expenditure is considered BAU ICT expenditure and typically relates to ongoing activities to operate and maintain the current ICT capability.</w:t>
      </w:r>
    </w:p>
    <w:p w14:paraId="05E8E093" w14:textId="4AD61EF7" w:rsidR="00B529F1" w:rsidRDefault="00B529F1" w:rsidP="00B529F1">
      <w:pPr>
        <w:pStyle w:val="Heading3"/>
      </w:pPr>
      <w:bookmarkStart w:id="1357" w:name="_Toc89723173"/>
      <w:bookmarkStart w:id="1358" w:name="_Toc90326115"/>
      <w:bookmarkStart w:id="1359" w:name="DisclosureMajorContracts"/>
      <w:bookmarkStart w:id="1360" w:name="_Toc93659521"/>
      <w:r>
        <w:t>Disclosure of Major Contracts</w:t>
      </w:r>
      <w:bookmarkEnd w:id="1357"/>
      <w:bookmarkEnd w:id="1358"/>
      <w:bookmarkEnd w:id="1360"/>
    </w:p>
    <w:bookmarkEnd w:id="1359"/>
    <w:p w14:paraId="53245721" w14:textId="32ED283A" w:rsidR="00B529F1" w:rsidRDefault="00B529F1" w:rsidP="00B529F1">
      <w:pPr>
        <w:pStyle w:val="BodyText"/>
      </w:pPr>
      <w:r>
        <w:t>Melbourne Water has disclosed, in accordance with the requirements of government policy and accompanying guidelines, all contracts greater than $10 million in value entered into during the year ended 30 June 2021. Details of contracts can be viewed on Melbourne Water’s website.</w:t>
      </w:r>
    </w:p>
    <w:p w14:paraId="342F7B6F" w14:textId="77777777" w:rsidR="00B529F1" w:rsidRDefault="00B529F1" w:rsidP="00B529F1">
      <w:pPr>
        <w:pStyle w:val="Heading3"/>
      </w:pPr>
      <w:bookmarkStart w:id="1361" w:name="_Toc89723174"/>
      <w:bookmarkStart w:id="1362" w:name="_Ref89799074"/>
      <w:bookmarkStart w:id="1363" w:name="_Toc90326116"/>
      <w:bookmarkStart w:id="1364" w:name="_Toc93659522"/>
      <w:r>
        <w:lastRenderedPageBreak/>
        <w:t>Competitive Neutrality Policy</w:t>
      </w:r>
      <w:bookmarkEnd w:id="1361"/>
      <w:bookmarkEnd w:id="1362"/>
      <w:bookmarkEnd w:id="1363"/>
      <w:bookmarkEnd w:id="1364"/>
    </w:p>
    <w:p w14:paraId="10ADE841" w14:textId="15C4DACD" w:rsidR="00B529F1" w:rsidRDefault="00B529F1" w:rsidP="00B529F1">
      <w:pPr>
        <w:pStyle w:val="BodyText"/>
      </w:pPr>
      <w:r>
        <w:t>Melbourne Water is corporatised and therefore has an independent Board, with independent and objective performance monitoring. The Corporation faces equivalent tax treatment, borrowing requirements and regulations as a private business. As outlined above, we also operate in an environment where the Essential Services Commission (ESC) determines cost-based pricing. In this regard our processes are consistent with the requirements of the Victorian Competitive Neutrality Policy.</w:t>
      </w:r>
    </w:p>
    <w:p w14:paraId="7AB3B68A" w14:textId="77777777" w:rsidR="00B529F1" w:rsidRDefault="00B529F1" w:rsidP="00B529F1">
      <w:pPr>
        <w:pStyle w:val="BodyText"/>
      </w:pPr>
      <w:r>
        <w:t>Melbourne Water has had no legal actions pending or completed during the reporting period for anti-competitive behaviour.</w:t>
      </w:r>
    </w:p>
    <w:p w14:paraId="5B6EBD6C" w14:textId="77777777" w:rsidR="00B529F1" w:rsidRDefault="00B529F1" w:rsidP="00B529F1">
      <w:pPr>
        <w:pStyle w:val="Heading3"/>
      </w:pPr>
      <w:bookmarkStart w:id="1365" w:name="_Toc89723175"/>
      <w:bookmarkStart w:id="1366" w:name="_Toc90326117"/>
      <w:bookmarkStart w:id="1367" w:name="_Toc93659523"/>
      <w:r>
        <w:t>Pricing</w:t>
      </w:r>
      <w:bookmarkEnd w:id="1365"/>
      <w:bookmarkEnd w:id="1366"/>
      <w:bookmarkEnd w:id="1367"/>
    </w:p>
    <w:p w14:paraId="257C525C" w14:textId="7D1183E7" w:rsidR="00203B5D" w:rsidRDefault="00B529F1" w:rsidP="00B529F1">
      <w:pPr>
        <w:pStyle w:val="BodyText"/>
      </w:pPr>
      <w:r>
        <w:t>Melbourne Water’s wholesale water and sewerage prices decreased by approximately 4.3 per cent plus inflation in 2020-21 reflecting the Essential Services Commission Price Determination for 2020-21 with updates to cost of debt and desalination plant costs. The annual residential waterways and drainage charge increased only by inflation in 2020-21 to $104.32.</w:t>
      </w:r>
    </w:p>
    <w:p w14:paraId="21E69D30" w14:textId="77777777" w:rsidR="004660EA" w:rsidRDefault="004660EA" w:rsidP="004660EA">
      <w:pPr>
        <w:pStyle w:val="Heading3"/>
      </w:pPr>
      <w:bookmarkStart w:id="1368" w:name="_Toc89723176"/>
      <w:bookmarkStart w:id="1369" w:name="_Toc90326118"/>
      <w:bookmarkStart w:id="1370" w:name="_Toc93659524"/>
      <w:r>
        <w:t>Freedom of Information</w:t>
      </w:r>
      <w:bookmarkEnd w:id="1368"/>
      <w:bookmarkEnd w:id="1369"/>
      <w:bookmarkEnd w:id="1370"/>
    </w:p>
    <w:p w14:paraId="6CD96686" w14:textId="43C52B82" w:rsidR="004660EA" w:rsidRDefault="004660EA" w:rsidP="004660EA">
      <w:pPr>
        <w:pStyle w:val="BodyText"/>
      </w:pPr>
      <w:r>
        <w:t xml:space="preserve">Melbourne Water is subject to the </w:t>
      </w:r>
      <w:r w:rsidRPr="004660EA">
        <w:rPr>
          <w:rStyle w:val="ItalicText"/>
        </w:rPr>
        <w:t>Freedom of Information Act 1982</w:t>
      </w:r>
      <w:r>
        <w:t xml:space="preserve"> (FOI Act) and is committed to releasing documents in our possession unless exempt. We also welcome enquiries about the broad range of documents we provide outside the FOI Act.</w:t>
      </w:r>
    </w:p>
    <w:p w14:paraId="6B3F1CA9" w14:textId="77777777" w:rsidR="004660EA" w:rsidRDefault="004660EA" w:rsidP="004660EA">
      <w:pPr>
        <w:pStyle w:val="BodyText"/>
      </w:pPr>
      <w:r>
        <w:t>The designated persons for the purpose of the FOI Act are:</w:t>
      </w:r>
    </w:p>
    <w:p w14:paraId="6F3B7481" w14:textId="77777777" w:rsidR="004660EA" w:rsidRPr="004660EA" w:rsidRDefault="004660EA" w:rsidP="004660EA">
      <w:r w:rsidRPr="004660EA">
        <w:t>Principal Officer</w:t>
      </w:r>
    </w:p>
    <w:p w14:paraId="56F17578" w14:textId="77777777" w:rsidR="004660EA" w:rsidRPr="004660EA" w:rsidRDefault="004660EA" w:rsidP="004660EA">
      <w:r w:rsidRPr="004660EA">
        <w:t>Mr J Thwaites</w:t>
      </w:r>
    </w:p>
    <w:p w14:paraId="08345922" w14:textId="77777777" w:rsidR="004660EA" w:rsidRPr="004660EA" w:rsidRDefault="004660EA" w:rsidP="004660EA">
      <w:r w:rsidRPr="004660EA">
        <w:t>Chair, Melbourne Water Board</w:t>
      </w:r>
    </w:p>
    <w:p w14:paraId="5B4C2D57" w14:textId="77777777" w:rsidR="004660EA" w:rsidRPr="004660EA" w:rsidRDefault="004660EA" w:rsidP="004660EA">
      <w:pPr>
        <w:spacing w:before="120"/>
      </w:pPr>
      <w:r w:rsidRPr="004660EA">
        <w:t>Authorised Officer</w:t>
      </w:r>
    </w:p>
    <w:p w14:paraId="14744118" w14:textId="77777777" w:rsidR="004660EA" w:rsidRPr="004660EA" w:rsidRDefault="004660EA" w:rsidP="004660EA">
      <w:r w:rsidRPr="004660EA">
        <w:t>Ms K Croker</w:t>
      </w:r>
    </w:p>
    <w:p w14:paraId="4AF1EB11" w14:textId="77777777" w:rsidR="004660EA" w:rsidRPr="004660EA" w:rsidRDefault="004660EA" w:rsidP="004660EA">
      <w:r w:rsidRPr="004660EA">
        <w:t>Corporate Paralegal, Freedom of Information Officer and Privacy Officer</w:t>
      </w:r>
    </w:p>
    <w:p w14:paraId="3DD3D19A" w14:textId="77777777" w:rsidR="004660EA" w:rsidRDefault="004660EA" w:rsidP="004660EA">
      <w:pPr>
        <w:pStyle w:val="Heading4"/>
      </w:pPr>
      <w:r w:rsidRPr="004660EA">
        <w:t>Requests</w:t>
      </w:r>
    </w:p>
    <w:p w14:paraId="29BFAEA6" w14:textId="363A45ED" w:rsidR="004660EA" w:rsidRDefault="004660EA" w:rsidP="004660EA">
      <w:pPr>
        <w:pStyle w:val="BodyText"/>
      </w:pPr>
      <w:r>
        <w:t>We received 29 freedom of information requests. We finalised 31 requests including nine from the previous year. Of the remaining requests made this year, three were withdrawn and four were still in progress.</w:t>
      </w:r>
    </w:p>
    <w:p w14:paraId="2A8A2FF6" w14:textId="21C5D58D" w:rsidR="004660EA" w:rsidRDefault="004660EA" w:rsidP="004660EA">
      <w:pPr>
        <w:pStyle w:val="BodyText"/>
      </w:pPr>
      <w:r>
        <w:t>Eight requests were from members of the public, eight from law firms and 10 from a planning consultant, one from an interest group and two from media outlets. No requests were for personal information.</w:t>
      </w:r>
    </w:p>
    <w:p w14:paraId="3DDECCBB" w14:textId="12F9934F" w:rsidR="00203B5D" w:rsidRDefault="004660EA" w:rsidP="004660EA">
      <w:pPr>
        <w:pStyle w:val="BodyText"/>
      </w:pPr>
      <w:r>
        <w:t>We released 458 documents, 451 of them in full. Exemptions applied where disclosure of personal affairs would be unreasonable or disclosure of information obtained in confidence.</w:t>
      </w:r>
    </w:p>
    <w:tbl>
      <w:tblPr>
        <w:tblStyle w:val="TableGrid"/>
        <w:tblW w:w="0" w:type="auto"/>
        <w:tblLook w:val="04A0" w:firstRow="1" w:lastRow="0" w:firstColumn="1" w:lastColumn="0" w:noHBand="0" w:noVBand="1"/>
      </w:tblPr>
      <w:tblGrid>
        <w:gridCol w:w="4815"/>
        <w:gridCol w:w="4816"/>
      </w:tblGrid>
      <w:tr w:rsidR="004660EA" w:rsidRPr="007E1EE3" w14:paraId="11393CE5" w14:textId="77777777" w:rsidTr="00A54B77">
        <w:trPr>
          <w:cnfStyle w:val="100000000000" w:firstRow="1" w:lastRow="0" w:firstColumn="0" w:lastColumn="0" w:oddVBand="0" w:evenVBand="0" w:oddHBand="0" w:evenHBand="0" w:firstRowFirstColumn="0" w:firstRowLastColumn="0" w:lastRowFirstColumn="0" w:lastRowLastColumn="0"/>
          <w:tblHeader/>
        </w:trPr>
        <w:tc>
          <w:tcPr>
            <w:tcW w:w="4815" w:type="dxa"/>
          </w:tcPr>
          <w:p w14:paraId="07425907" w14:textId="2969A9E5" w:rsidR="004660EA" w:rsidRPr="007E1EE3" w:rsidRDefault="004660EA" w:rsidP="00761BBB">
            <w:bookmarkStart w:id="1371" w:name="ColumnTitle_116"/>
            <w:r w:rsidRPr="007E1EE3">
              <w:t>Finalised requests 31</w:t>
            </w:r>
          </w:p>
        </w:tc>
        <w:tc>
          <w:tcPr>
            <w:tcW w:w="4816" w:type="dxa"/>
          </w:tcPr>
          <w:p w14:paraId="175E2189" w14:textId="6E2F4E7D" w:rsidR="004660EA" w:rsidRPr="007E1EE3" w:rsidRDefault="004660EA" w:rsidP="00761BBB">
            <w:r w:rsidRPr="007E1EE3">
              <w:t>Other requests 77</w:t>
            </w:r>
          </w:p>
        </w:tc>
      </w:tr>
      <w:bookmarkEnd w:id="1371"/>
      <w:tr w:rsidR="004660EA" w:rsidRPr="007E1EE3" w14:paraId="7CA4F966" w14:textId="77777777" w:rsidTr="00761BBB">
        <w:tc>
          <w:tcPr>
            <w:tcW w:w="4815" w:type="dxa"/>
          </w:tcPr>
          <w:p w14:paraId="57EFEF81" w14:textId="77777777" w:rsidR="004660EA" w:rsidRPr="007E1EE3" w:rsidRDefault="004660EA" w:rsidP="00761BBB">
            <w:pPr>
              <w:pStyle w:val="TableBodyText"/>
              <w:rPr>
                <w:rStyle w:val="Bold"/>
                <w:szCs w:val="20"/>
              </w:rPr>
            </w:pPr>
            <w:r w:rsidRPr="007E1EE3">
              <w:rPr>
                <w:rStyle w:val="Bold"/>
                <w:szCs w:val="20"/>
              </w:rPr>
              <w:t>Access outcomes:</w:t>
            </w:r>
          </w:p>
          <w:p w14:paraId="2AC41509" w14:textId="3869DA62" w:rsidR="004660EA" w:rsidRPr="007E1EE3" w:rsidRDefault="004660EA" w:rsidP="00761BBB">
            <w:pPr>
              <w:pStyle w:val="TableBodyText"/>
              <w:rPr>
                <w:szCs w:val="20"/>
              </w:rPr>
            </w:pPr>
            <w:r w:rsidRPr="007E1EE3">
              <w:rPr>
                <w:szCs w:val="20"/>
              </w:rPr>
              <w:t>Access in full: 22</w:t>
            </w:r>
          </w:p>
          <w:p w14:paraId="3F67C6B2" w14:textId="20FE75AD" w:rsidR="004660EA" w:rsidRPr="007E1EE3" w:rsidRDefault="004660EA" w:rsidP="00761BBB">
            <w:pPr>
              <w:pStyle w:val="TableBodyText"/>
              <w:rPr>
                <w:szCs w:val="20"/>
              </w:rPr>
            </w:pPr>
            <w:r w:rsidRPr="007E1EE3">
              <w:rPr>
                <w:szCs w:val="20"/>
              </w:rPr>
              <w:t>Access in part: 3</w:t>
            </w:r>
          </w:p>
          <w:p w14:paraId="0B3E7EFF" w14:textId="42A4C37B" w:rsidR="004660EA" w:rsidRPr="007E1EE3" w:rsidRDefault="004660EA" w:rsidP="00761BBB">
            <w:pPr>
              <w:pStyle w:val="TableBodyText"/>
              <w:rPr>
                <w:szCs w:val="20"/>
              </w:rPr>
            </w:pPr>
            <w:r w:rsidRPr="007E1EE3">
              <w:rPr>
                <w:szCs w:val="20"/>
              </w:rPr>
              <w:t>No documents: 6</w:t>
            </w:r>
          </w:p>
          <w:p w14:paraId="779AB86D" w14:textId="0DAD72ED" w:rsidR="004660EA" w:rsidRPr="007E1EE3" w:rsidRDefault="004660EA" w:rsidP="00761BBB">
            <w:pPr>
              <w:pStyle w:val="TableBodyText"/>
              <w:rPr>
                <w:szCs w:val="20"/>
              </w:rPr>
            </w:pPr>
            <w:r w:rsidRPr="007E1EE3">
              <w:rPr>
                <w:szCs w:val="20"/>
              </w:rPr>
              <w:t>Access denied: 0</w:t>
            </w:r>
          </w:p>
          <w:p w14:paraId="05A22BDB" w14:textId="77777777" w:rsidR="004660EA" w:rsidRPr="007E1EE3" w:rsidRDefault="004660EA" w:rsidP="00761BBB">
            <w:pPr>
              <w:pStyle w:val="TableBodyText"/>
              <w:rPr>
                <w:rStyle w:val="Bold"/>
                <w:szCs w:val="20"/>
              </w:rPr>
            </w:pPr>
            <w:r w:rsidRPr="007E1EE3">
              <w:rPr>
                <w:rStyle w:val="Bold"/>
                <w:szCs w:val="20"/>
              </w:rPr>
              <w:t>Related to:</w:t>
            </w:r>
          </w:p>
          <w:p w14:paraId="5BE1D28A" w14:textId="274560CB" w:rsidR="004660EA" w:rsidRPr="007E1EE3" w:rsidRDefault="004660EA" w:rsidP="00761BBB">
            <w:pPr>
              <w:pStyle w:val="TableBodyText"/>
              <w:rPr>
                <w:szCs w:val="20"/>
              </w:rPr>
            </w:pPr>
            <w:r w:rsidRPr="007E1EE3">
              <w:rPr>
                <w:szCs w:val="20"/>
              </w:rPr>
              <w:t>Asset Management: 7</w:t>
            </w:r>
          </w:p>
        </w:tc>
        <w:tc>
          <w:tcPr>
            <w:tcW w:w="4816" w:type="dxa"/>
          </w:tcPr>
          <w:p w14:paraId="423F5582" w14:textId="77777777" w:rsidR="004660EA" w:rsidRPr="007E1EE3" w:rsidRDefault="004660EA" w:rsidP="00761BBB">
            <w:pPr>
              <w:pStyle w:val="TableBodyText"/>
              <w:rPr>
                <w:rStyle w:val="Bold"/>
                <w:szCs w:val="20"/>
              </w:rPr>
            </w:pPr>
            <w:r w:rsidRPr="007E1EE3">
              <w:rPr>
                <w:rStyle w:val="Bold"/>
                <w:szCs w:val="20"/>
              </w:rPr>
              <w:t>Outcomes:</w:t>
            </w:r>
          </w:p>
          <w:p w14:paraId="12C03D90" w14:textId="273BE1F5" w:rsidR="004660EA" w:rsidRPr="007E1EE3" w:rsidRDefault="004660EA" w:rsidP="00761BBB">
            <w:pPr>
              <w:pStyle w:val="TableBodyText"/>
              <w:rPr>
                <w:szCs w:val="20"/>
              </w:rPr>
            </w:pPr>
            <w:r w:rsidRPr="007E1EE3">
              <w:rPr>
                <w:szCs w:val="20"/>
              </w:rPr>
              <w:t>Withdrawn: 3</w:t>
            </w:r>
          </w:p>
          <w:p w14:paraId="74066EEA" w14:textId="35007F12" w:rsidR="004660EA" w:rsidRPr="007E1EE3" w:rsidRDefault="004660EA" w:rsidP="00761BBB">
            <w:pPr>
              <w:pStyle w:val="TableBodyText"/>
              <w:rPr>
                <w:szCs w:val="20"/>
              </w:rPr>
            </w:pPr>
            <w:r w:rsidRPr="007E1EE3">
              <w:rPr>
                <w:szCs w:val="20"/>
              </w:rPr>
              <w:t>Not yet finalised: 4</w:t>
            </w:r>
          </w:p>
          <w:p w14:paraId="35D9EA4A" w14:textId="77777777" w:rsidR="004660EA" w:rsidRPr="007E1EE3" w:rsidRDefault="004660EA" w:rsidP="00761BBB">
            <w:pPr>
              <w:pStyle w:val="TableBodyText"/>
              <w:rPr>
                <w:rStyle w:val="Bold"/>
                <w:szCs w:val="20"/>
              </w:rPr>
            </w:pPr>
            <w:r w:rsidRPr="007E1EE3">
              <w:rPr>
                <w:rStyle w:val="Bold"/>
                <w:szCs w:val="20"/>
              </w:rPr>
              <w:t>Related to:</w:t>
            </w:r>
          </w:p>
          <w:p w14:paraId="0156DE90" w14:textId="7970DC43" w:rsidR="004660EA" w:rsidRPr="007E1EE3" w:rsidRDefault="004660EA" w:rsidP="00761BBB">
            <w:pPr>
              <w:pStyle w:val="TableBodyText"/>
              <w:rPr>
                <w:szCs w:val="20"/>
              </w:rPr>
            </w:pPr>
            <w:r w:rsidRPr="007E1EE3">
              <w:rPr>
                <w:szCs w:val="20"/>
              </w:rPr>
              <w:t>Environment and Planning: 3</w:t>
            </w:r>
          </w:p>
        </w:tc>
      </w:tr>
    </w:tbl>
    <w:p w14:paraId="42917328" w14:textId="77777777" w:rsidR="004660EA" w:rsidRDefault="004660EA" w:rsidP="004660EA">
      <w:pPr>
        <w:pStyle w:val="Heading4"/>
      </w:pPr>
      <w:r>
        <w:lastRenderedPageBreak/>
        <w:t>Reviews and complaints</w:t>
      </w:r>
    </w:p>
    <w:p w14:paraId="2DD92B4F" w14:textId="2B9C0276" w:rsidR="004660EA" w:rsidRDefault="004660EA" w:rsidP="004660EA">
      <w:pPr>
        <w:pStyle w:val="BodyText"/>
      </w:pPr>
      <w:r>
        <w:t>No reviews or complaints were received from the Information Commissioner. No Victorian Civil and Administrative Tribunal applications in relation to reviews of decisions or complaints were received.</w:t>
      </w:r>
    </w:p>
    <w:p w14:paraId="7F5F438C" w14:textId="77777777" w:rsidR="004660EA" w:rsidRDefault="004660EA" w:rsidP="004660EA">
      <w:pPr>
        <w:pStyle w:val="Heading4"/>
      </w:pPr>
      <w:r>
        <w:t>Access to documents</w:t>
      </w:r>
    </w:p>
    <w:p w14:paraId="5356B3DE" w14:textId="3F7F4F8C" w:rsidR="004660EA" w:rsidRDefault="004660EA" w:rsidP="004660EA">
      <w:pPr>
        <w:pStyle w:val="BodyText"/>
      </w:pPr>
      <w:r>
        <w:t>People wanting access to Melbourne Water documents under the FOI Act may use the online Freedom of Information application on our website.</w:t>
      </w:r>
    </w:p>
    <w:p w14:paraId="403F3898" w14:textId="77777777" w:rsidR="004660EA" w:rsidRDefault="004660EA" w:rsidP="004660EA">
      <w:pPr>
        <w:pStyle w:val="BodyText"/>
      </w:pPr>
      <w:r>
        <w:t>We also accept applications made in writing to:</w:t>
      </w:r>
    </w:p>
    <w:p w14:paraId="546AFD1A" w14:textId="121B87DA" w:rsidR="004660EA" w:rsidRPr="004660EA" w:rsidRDefault="004660EA" w:rsidP="004660EA">
      <w:r w:rsidRPr="004660EA">
        <w:t>Freedom of Information Officer</w:t>
      </w:r>
    </w:p>
    <w:p w14:paraId="277CBF24" w14:textId="77777777" w:rsidR="004660EA" w:rsidRPr="004660EA" w:rsidRDefault="004660EA" w:rsidP="004660EA">
      <w:r w:rsidRPr="004660EA">
        <w:t>Melbourne Water</w:t>
      </w:r>
    </w:p>
    <w:p w14:paraId="77BD82BE" w14:textId="77777777" w:rsidR="004660EA" w:rsidRPr="004660EA" w:rsidRDefault="004660EA" w:rsidP="004660EA">
      <w:r w:rsidRPr="004660EA">
        <w:t>PO Box 4342</w:t>
      </w:r>
    </w:p>
    <w:p w14:paraId="3C4DBBD8" w14:textId="77777777" w:rsidR="004660EA" w:rsidRDefault="004660EA" w:rsidP="004660EA">
      <w:r w:rsidRPr="004660EA">
        <w:t>Melbourne</w:t>
      </w:r>
      <w:r>
        <w:t xml:space="preserve"> VIC 3001</w:t>
      </w:r>
    </w:p>
    <w:p w14:paraId="70156894" w14:textId="2188CBB9" w:rsidR="004660EA" w:rsidRDefault="004660EA" w:rsidP="004660EA">
      <w:pPr>
        <w:pStyle w:val="BodyText"/>
      </w:pPr>
      <w:r>
        <w:t>Each application must clearly identify the documents sought and be accompanied by the required application fee of $30.10 (as of 1 July 2021).</w:t>
      </w:r>
    </w:p>
    <w:p w14:paraId="13F956F8" w14:textId="275CEE89" w:rsidR="004660EA" w:rsidRDefault="004660EA" w:rsidP="004660EA">
      <w:pPr>
        <w:pStyle w:val="BodyText"/>
      </w:pPr>
      <w:r>
        <w:t>General enquiries about Freedom of Information may be made by contacting the Freedom of Information Officer on (03) 9679 7050 between 9am and 5pm Monday to Friday or via email to foi@melbournewater.com.au</w:t>
      </w:r>
    </w:p>
    <w:p w14:paraId="5F8A168D" w14:textId="7FFB517B" w:rsidR="004660EA" w:rsidRDefault="004660EA" w:rsidP="004660EA">
      <w:pPr>
        <w:pStyle w:val="BodyText"/>
      </w:pPr>
      <w:r>
        <w:t xml:space="preserve">Information required under Part 2 of the </w:t>
      </w:r>
      <w:r w:rsidRPr="004660EA">
        <w:rPr>
          <w:rStyle w:val="ItalicText"/>
        </w:rPr>
        <w:t>Freedom of Information Act</w:t>
      </w:r>
      <w:r>
        <w:t xml:space="preserve"> is available on our website.</w:t>
      </w:r>
    </w:p>
    <w:p w14:paraId="6146750D" w14:textId="6087F7A7" w:rsidR="004660EA" w:rsidRDefault="004660EA" w:rsidP="004660EA">
      <w:pPr>
        <w:pStyle w:val="BodyText"/>
      </w:pPr>
      <w:r>
        <w:t>The statement includes information about Melbourne Water functions, decision making, consultation arrangements and publications. It also outlines how to make a Freedom of Information request and how to request information outside the scope of the FOI Act.</w:t>
      </w:r>
    </w:p>
    <w:p w14:paraId="6705605E" w14:textId="77777777" w:rsidR="004660EA" w:rsidRDefault="004660EA" w:rsidP="004660EA">
      <w:pPr>
        <w:pStyle w:val="Heading4"/>
      </w:pPr>
      <w:r>
        <w:t>Categories of documents</w:t>
      </w:r>
    </w:p>
    <w:p w14:paraId="695742DF" w14:textId="43C15B45" w:rsidR="00B529F1" w:rsidRDefault="004660EA" w:rsidP="004660EA">
      <w:pPr>
        <w:pStyle w:val="BodyText"/>
      </w:pPr>
      <w:r>
        <w:t>Melbourne Water uses a computerised records management system to manage our correspondence and documents. We use online computer systems to manage our financial, human resource and other operational activities and plans relating to water supply, waterways, drainage and sewerage responsibilities. Historical archives of our activities are available through the Public Records Office Victoria. More information is in the Part 2 Information Statement on our website.</w:t>
      </w:r>
    </w:p>
    <w:p w14:paraId="7A5DB4DD" w14:textId="77777777" w:rsidR="004660EA" w:rsidRDefault="004660EA" w:rsidP="004660EA">
      <w:pPr>
        <w:pStyle w:val="Heading3"/>
      </w:pPr>
      <w:bookmarkStart w:id="1372" w:name="_Toc89723177"/>
      <w:bookmarkStart w:id="1373" w:name="_Ref89799046"/>
      <w:bookmarkStart w:id="1374" w:name="_Toc90326119"/>
      <w:bookmarkStart w:id="1375" w:name="_Toc93659525"/>
      <w:r>
        <w:t>Building Compliance</w:t>
      </w:r>
      <w:bookmarkEnd w:id="1372"/>
      <w:bookmarkEnd w:id="1373"/>
      <w:bookmarkEnd w:id="1374"/>
      <w:bookmarkEnd w:id="1375"/>
    </w:p>
    <w:p w14:paraId="425B00FA" w14:textId="345846DA" w:rsidR="004660EA" w:rsidRDefault="004660EA" w:rsidP="004660EA">
      <w:pPr>
        <w:pStyle w:val="BodyText"/>
      </w:pPr>
      <w:r>
        <w:t xml:space="preserve">Melbourne Water continues to work towards compliance with the </w:t>
      </w:r>
      <w:r w:rsidRPr="004660EA">
        <w:rPr>
          <w:rStyle w:val="ItalicText"/>
        </w:rPr>
        <w:t>Building Act 1993</w:t>
      </w:r>
      <w:r>
        <w:t xml:space="preserve"> across our substantial property and building portfolio. We require that appropriately qualified consultants and contractors are engaged for all proposed works on land controlled by Melbourne Water and that their work and services comply with current building standards. All such consultants and contractors are expected to have appropriate mechanisms in place to ensure compliance with the building and maintenance provisions of the </w:t>
      </w:r>
      <w:r w:rsidRPr="004660EA">
        <w:rPr>
          <w:rStyle w:val="ItalicText"/>
        </w:rPr>
        <w:t>Building Act 1993</w:t>
      </w:r>
      <w:r>
        <w:t>, Building Regulations 2018 and the National Construction Code.</w:t>
      </w:r>
    </w:p>
    <w:p w14:paraId="6BD73EB4" w14:textId="70872A5F" w:rsidR="004660EA" w:rsidRDefault="004660EA" w:rsidP="004660EA">
      <w:pPr>
        <w:pStyle w:val="BodyText"/>
      </w:pPr>
      <w:r>
        <w:t>As part of our ongoing compliance program we continue to obtain relevant statutory building documentation and update our Asset Management System to ensure mandatory testing and inspection is conducted to the relevant standards. These inspections inform the works program which is delivered annually through existing contracts.</w:t>
      </w:r>
    </w:p>
    <w:p w14:paraId="0C7174E7" w14:textId="50F4B7D5" w:rsidR="004660EA" w:rsidRPr="004660EA" w:rsidRDefault="004660EA" w:rsidP="00DD30CD">
      <w:pPr>
        <w:pStyle w:val="BodyText"/>
        <w:keepNext/>
        <w:keepLines/>
        <w:rPr>
          <w:rStyle w:val="Bold"/>
        </w:rPr>
      </w:pPr>
      <w:r w:rsidRPr="004660EA">
        <w:rPr>
          <w:rStyle w:val="Bold"/>
        </w:rPr>
        <w:lastRenderedPageBreak/>
        <w:t>In 2020-21:</w:t>
      </w:r>
    </w:p>
    <w:p w14:paraId="06EBD1A9" w14:textId="1EC4157E" w:rsidR="00DD30CD" w:rsidRPr="00DD30CD" w:rsidRDefault="00DD30CD" w:rsidP="00DD30CD">
      <w:pPr>
        <w:pStyle w:val="ListBullet"/>
        <w:keepNext/>
      </w:pPr>
      <w:bookmarkStart w:id="1376" w:name="_Toc89723178"/>
      <w:bookmarkStart w:id="1377" w:name="_Toc90326120"/>
      <w:r w:rsidRPr="00DD30CD">
        <w:t xml:space="preserve">The number of major works projects undertaken (greater than $50,000): </w:t>
      </w:r>
      <w:r>
        <w:br/>
      </w:r>
      <w:r w:rsidRPr="00DD30CD">
        <w:t>14</w:t>
      </w:r>
    </w:p>
    <w:p w14:paraId="0F205188" w14:textId="542807E7" w:rsidR="00DD30CD" w:rsidRPr="00DD30CD" w:rsidRDefault="00DD30CD" w:rsidP="00726F8B">
      <w:pPr>
        <w:pStyle w:val="ListBullet"/>
      </w:pPr>
      <w:r w:rsidRPr="00DD30CD">
        <w:t xml:space="preserve">The number of building permits, occupancy permits or certificate of final inspection issued in relation to buildings owned by the entity: </w:t>
      </w:r>
      <w:r>
        <w:br/>
      </w:r>
      <w:r w:rsidRPr="00DD30CD">
        <w:t>13 building permits</w:t>
      </w:r>
      <w:r>
        <w:br/>
      </w:r>
      <w:r w:rsidRPr="00DD30CD">
        <w:t>1 occupancy permit</w:t>
      </w:r>
      <w:r>
        <w:br/>
      </w:r>
      <w:r w:rsidRPr="00DD30CD">
        <w:t>5 certificates of final inspection</w:t>
      </w:r>
    </w:p>
    <w:p w14:paraId="08D37E3C" w14:textId="06D35444" w:rsidR="00DD30CD" w:rsidRPr="00DD30CD" w:rsidRDefault="00DD30CD" w:rsidP="00421D2C">
      <w:pPr>
        <w:pStyle w:val="ListBullet"/>
      </w:pPr>
      <w:r w:rsidRPr="00DD30CD">
        <w:t>The number of emergency orders and building orders issued in relation to buildings:</w:t>
      </w:r>
      <w:r>
        <w:br/>
      </w:r>
      <w:r w:rsidRPr="00DD30CD">
        <w:t>0 emergency orders</w:t>
      </w:r>
      <w:r>
        <w:br/>
      </w:r>
      <w:r w:rsidRPr="00DD30CD">
        <w:t>0 building orders</w:t>
      </w:r>
    </w:p>
    <w:p w14:paraId="349E8A15" w14:textId="6732E71A" w:rsidR="00DD30CD" w:rsidRPr="007E1EE3" w:rsidRDefault="00DD30CD" w:rsidP="00DD30CD">
      <w:pPr>
        <w:pStyle w:val="ListBullet"/>
      </w:pPr>
      <w:r w:rsidRPr="00DD30CD">
        <w:t>The number of</w:t>
      </w:r>
      <w:r w:rsidRPr="007E1EE3">
        <w:t xml:space="preserve"> buildings that have been brought into conformity with building standards during the reporting period:</w:t>
      </w:r>
      <w:r>
        <w:br/>
      </w:r>
      <w:r w:rsidRPr="007E1EE3">
        <w:t>0 buildings brought into conformity</w:t>
      </w:r>
    </w:p>
    <w:p w14:paraId="15F8F4DA" w14:textId="418CBEF7" w:rsidR="002E008B" w:rsidRDefault="002E008B" w:rsidP="002E008B">
      <w:pPr>
        <w:pStyle w:val="Heading3"/>
      </w:pPr>
      <w:bookmarkStart w:id="1378" w:name="_Toc93659526"/>
      <w:r>
        <w:t>Privacy Legislation</w:t>
      </w:r>
      <w:bookmarkEnd w:id="1376"/>
      <w:bookmarkEnd w:id="1377"/>
      <w:bookmarkEnd w:id="1378"/>
    </w:p>
    <w:p w14:paraId="208402CE" w14:textId="494D2BD0" w:rsidR="002E008B" w:rsidRDefault="002E008B" w:rsidP="002E008B">
      <w:pPr>
        <w:pStyle w:val="BodyText"/>
      </w:pPr>
      <w:r>
        <w:t xml:space="preserve">Melbourne Water is subject to the </w:t>
      </w:r>
      <w:r w:rsidRPr="002E008B">
        <w:rPr>
          <w:rStyle w:val="ItalicText"/>
        </w:rPr>
        <w:t>Privacy and Data Protection Act 2014</w:t>
      </w:r>
      <w:r>
        <w:t xml:space="preserve"> (Vic), the </w:t>
      </w:r>
      <w:r w:rsidRPr="002E008B">
        <w:rPr>
          <w:rStyle w:val="ItalicText"/>
        </w:rPr>
        <w:t>Health Records Act 2001</w:t>
      </w:r>
      <w:r>
        <w:t xml:space="preserve"> (Vic) and, in relation to Tax File Numbers, the Privacy Act 1988 (Cth). Melbourne Water is committed to protecting the privacy of personal and health information it collects and handles. Melbourne Water collects and handles personal and health information only to carry out its functions and activities.</w:t>
      </w:r>
    </w:p>
    <w:p w14:paraId="396D9611" w14:textId="6057E53A" w:rsidR="00B529F1" w:rsidRDefault="002E008B" w:rsidP="002E008B">
      <w:pPr>
        <w:pStyle w:val="BodyText"/>
      </w:pPr>
      <w:r>
        <w:t>Melbourne Water received no privacy complaints or notifications of complaints received by the Victorian Information Commissioner, the Health Complaints Commissioner or the Australian Information Commissioner.</w:t>
      </w:r>
    </w:p>
    <w:p w14:paraId="3DEC014F" w14:textId="5E4B41EA" w:rsidR="002E008B" w:rsidRDefault="002E008B" w:rsidP="002E008B">
      <w:pPr>
        <w:pStyle w:val="BodyText"/>
      </w:pPr>
      <w:r>
        <w:t>Melbourne Water is committed to openness and transparency and welcomes queries and suggestions about its approach to privacy. We endeavour to resolve any privacy complaints quickly and effectively.</w:t>
      </w:r>
    </w:p>
    <w:p w14:paraId="4BFE8125" w14:textId="12F5611B" w:rsidR="002E008B" w:rsidRDefault="002E008B" w:rsidP="002E008B">
      <w:pPr>
        <w:pStyle w:val="BodyText"/>
      </w:pPr>
      <w:r>
        <w:t>People may access their personal and health information at Melbourne Water. People wanting to access their information, seek a copy of our Privacy Policy or make a privacy complaint should call 131 722 (within Victoria) or 9679 7100 (within the rest of Australia) or write to:</w:t>
      </w:r>
    </w:p>
    <w:p w14:paraId="7DAD3876" w14:textId="77777777" w:rsidR="002E008B" w:rsidRPr="002E008B" w:rsidRDefault="002E008B" w:rsidP="002E008B">
      <w:r w:rsidRPr="002E008B">
        <w:t>Privacy Officer</w:t>
      </w:r>
    </w:p>
    <w:p w14:paraId="795C06C4" w14:textId="77777777" w:rsidR="002E008B" w:rsidRPr="002E008B" w:rsidRDefault="002E008B" w:rsidP="002E008B">
      <w:r w:rsidRPr="002E008B">
        <w:t>Melbourne Water</w:t>
      </w:r>
    </w:p>
    <w:p w14:paraId="5A7C8FCD" w14:textId="77777777" w:rsidR="002E008B" w:rsidRPr="002E008B" w:rsidRDefault="002E008B" w:rsidP="002E008B">
      <w:r w:rsidRPr="002E008B">
        <w:t>PO Box 4342</w:t>
      </w:r>
    </w:p>
    <w:p w14:paraId="1DDAC9EF" w14:textId="77A59C63" w:rsidR="00B529F1" w:rsidRDefault="002E008B" w:rsidP="002E008B">
      <w:r w:rsidRPr="002E008B">
        <w:t>Melbourne</w:t>
      </w:r>
      <w:r>
        <w:t xml:space="preserve"> VIC 3001</w:t>
      </w:r>
    </w:p>
    <w:p w14:paraId="186757F5" w14:textId="3EF91C3A" w:rsidR="002E008B" w:rsidRDefault="002E008B" w:rsidP="002E008B">
      <w:pPr>
        <w:pStyle w:val="Heading3"/>
      </w:pPr>
      <w:bookmarkStart w:id="1379" w:name="_Toc89723179"/>
      <w:bookmarkStart w:id="1380" w:name="_Toc90326121"/>
      <w:bookmarkStart w:id="1381" w:name="_Toc93659527"/>
      <w:r>
        <w:t>Financial Management</w:t>
      </w:r>
      <w:bookmarkEnd w:id="1379"/>
      <w:bookmarkEnd w:id="1380"/>
      <w:bookmarkEnd w:id="1381"/>
    </w:p>
    <w:p w14:paraId="3174971A" w14:textId="28BA849B" w:rsidR="002E008B" w:rsidRDefault="002E008B" w:rsidP="002E008B">
      <w:pPr>
        <w:pStyle w:val="BodyText"/>
      </w:pPr>
      <w:r>
        <w:t xml:space="preserve">Other information as required under the </w:t>
      </w:r>
      <w:r w:rsidRPr="002E008B">
        <w:rPr>
          <w:rStyle w:val="ItalicText"/>
        </w:rPr>
        <w:t>Financial Management Act 1994</w:t>
      </w:r>
      <w:r>
        <w:t>, but not specifically referred to, has been retained by the Accountable Officer and is available to the Minister, Members of Parliament and the public on request.</w:t>
      </w:r>
    </w:p>
    <w:p w14:paraId="542275B5" w14:textId="77777777" w:rsidR="002E008B" w:rsidRDefault="002E008B" w:rsidP="002E008B">
      <w:pPr>
        <w:pStyle w:val="Heading3"/>
      </w:pPr>
      <w:bookmarkStart w:id="1382" w:name="_Toc89723180"/>
      <w:bookmarkStart w:id="1383" w:name="_Ref89799128"/>
      <w:bookmarkStart w:id="1384" w:name="_Toc90326122"/>
      <w:bookmarkStart w:id="1385" w:name="_Toc93659528"/>
      <w:r>
        <w:t>Other Information Available on Request</w:t>
      </w:r>
      <w:bookmarkEnd w:id="1382"/>
      <w:bookmarkEnd w:id="1383"/>
      <w:bookmarkEnd w:id="1384"/>
      <w:bookmarkEnd w:id="1385"/>
    </w:p>
    <w:p w14:paraId="30C639A3" w14:textId="3E2AEA5D" w:rsidR="002E008B" w:rsidRDefault="002E008B" w:rsidP="002E008B">
      <w:pPr>
        <w:pStyle w:val="BodyText"/>
      </w:pPr>
      <w:r>
        <w:t xml:space="preserve">In compliance with the requirements of the Standing Directions of the Assistant Treasurer, details in respect of the items listed below have been retained by Melbourne Water and are available on request, subject to the provisions of the </w:t>
      </w:r>
      <w:r w:rsidRPr="002E008B">
        <w:rPr>
          <w:rStyle w:val="ItalicText"/>
        </w:rPr>
        <w:t>Freedom of Information Act 1982</w:t>
      </w:r>
      <w:r>
        <w:t>.</w:t>
      </w:r>
    </w:p>
    <w:p w14:paraId="577406B0" w14:textId="3F9DDEAF" w:rsidR="002E008B" w:rsidRDefault="002E008B" w:rsidP="007E1EE3">
      <w:pPr>
        <w:pStyle w:val="BodyText"/>
        <w:keepNext/>
      </w:pPr>
      <w:r>
        <w:lastRenderedPageBreak/>
        <w:t>Further information is available on request about:</w:t>
      </w:r>
    </w:p>
    <w:p w14:paraId="13994B55" w14:textId="5D4498A0" w:rsidR="002E008B" w:rsidRDefault="002E008B" w:rsidP="007E1EE3">
      <w:pPr>
        <w:pStyle w:val="ListBullet"/>
        <w:keepNext/>
      </w:pPr>
      <w:r>
        <w:t>pecuniary interests of relevant officers</w:t>
      </w:r>
    </w:p>
    <w:p w14:paraId="7B1033B1" w14:textId="147118CC" w:rsidR="002E008B" w:rsidRDefault="002E008B" w:rsidP="00C778D6">
      <w:pPr>
        <w:pStyle w:val="ListBullet"/>
      </w:pPr>
      <w:r>
        <w:t>details of shares held by a senior officer as nominee or held beneficially in a statutory authority or subsidiary</w:t>
      </w:r>
    </w:p>
    <w:p w14:paraId="35A7AD6E" w14:textId="2794E993" w:rsidR="002E008B" w:rsidRDefault="002E008B" w:rsidP="00C778D6">
      <w:pPr>
        <w:pStyle w:val="ListBullet"/>
      </w:pPr>
      <w:r>
        <w:t>details of changes in prices, fees, charges, rates and levies charged if relevant</w:t>
      </w:r>
    </w:p>
    <w:p w14:paraId="4EF0B336" w14:textId="77777777" w:rsidR="002E008B" w:rsidRDefault="002E008B" w:rsidP="002E008B">
      <w:pPr>
        <w:pStyle w:val="ListBullet"/>
      </w:pPr>
      <w:r>
        <w:t>details of Melbourne Water publications</w:t>
      </w:r>
    </w:p>
    <w:p w14:paraId="0318020D" w14:textId="11002985" w:rsidR="002E008B" w:rsidRDefault="002E008B" w:rsidP="002E008B">
      <w:pPr>
        <w:pStyle w:val="ListBullet"/>
      </w:pPr>
      <w:r>
        <w:t>committees chaired by Melbourne Water</w:t>
      </w:r>
    </w:p>
    <w:p w14:paraId="4B13619F" w14:textId="5B5F7648" w:rsidR="002E008B" w:rsidRDefault="002E008B" w:rsidP="002E008B">
      <w:pPr>
        <w:pStyle w:val="ListBullet"/>
      </w:pPr>
      <w:r>
        <w:t>major external reviews carried out on Melbourne Water</w:t>
      </w:r>
    </w:p>
    <w:p w14:paraId="0A57AED9" w14:textId="77777777" w:rsidR="002E008B" w:rsidRDefault="002E008B" w:rsidP="002E008B">
      <w:pPr>
        <w:pStyle w:val="ListBullet"/>
      </w:pPr>
      <w:r>
        <w:t>research and development activities</w:t>
      </w:r>
    </w:p>
    <w:p w14:paraId="1BC25CCA" w14:textId="01982386" w:rsidR="002E008B" w:rsidRDefault="002E008B" w:rsidP="002E008B">
      <w:pPr>
        <w:pStyle w:val="ListBullet"/>
      </w:pPr>
      <w:r>
        <w:t>overseas visits</w:t>
      </w:r>
    </w:p>
    <w:p w14:paraId="302A9CAF" w14:textId="2780677D" w:rsidR="002E008B" w:rsidRDefault="002E008B" w:rsidP="00C778D6">
      <w:pPr>
        <w:pStyle w:val="ListBullet"/>
      </w:pPr>
      <w:r>
        <w:t>major promotional, public relationship and marketing activities</w:t>
      </w:r>
    </w:p>
    <w:p w14:paraId="6DC9C4CE" w14:textId="4AA9B58A" w:rsidR="002E008B" w:rsidRDefault="002E008B" w:rsidP="002E008B">
      <w:pPr>
        <w:pStyle w:val="ListBullet"/>
      </w:pPr>
      <w:r>
        <w:t>Melbourne Water’s Code of Conduct</w:t>
      </w:r>
    </w:p>
    <w:p w14:paraId="6170E160" w14:textId="6E5D09CB" w:rsidR="002E008B" w:rsidRDefault="002E008B" w:rsidP="00C778D6">
      <w:pPr>
        <w:pStyle w:val="ListBullet"/>
      </w:pPr>
      <w:r>
        <w:t>assessments and measures to improve the occupational health and safety of employees</w:t>
      </w:r>
    </w:p>
    <w:p w14:paraId="42831716" w14:textId="7936CFD9" w:rsidR="002E008B" w:rsidRDefault="002E008B" w:rsidP="002E008B">
      <w:pPr>
        <w:pStyle w:val="ListBullet"/>
      </w:pPr>
      <w:r>
        <w:t>statement of industrial relations</w:t>
      </w:r>
    </w:p>
    <w:p w14:paraId="6882E3A8" w14:textId="30691590" w:rsidR="002E008B" w:rsidRDefault="002E008B" w:rsidP="00C778D6">
      <w:pPr>
        <w:pStyle w:val="ListBullet"/>
      </w:pPr>
      <w:r>
        <w:t>details of time lost through industrial accidents and disputes</w:t>
      </w:r>
    </w:p>
    <w:p w14:paraId="42B69DB1" w14:textId="5313B20C" w:rsidR="002E008B" w:rsidRDefault="002E008B" w:rsidP="002E008B">
      <w:pPr>
        <w:pStyle w:val="ListBullet"/>
      </w:pPr>
      <w:r>
        <w:t>major sponsorships.</w:t>
      </w:r>
    </w:p>
    <w:p w14:paraId="49E64929" w14:textId="66BDE2F6" w:rsidR="002E008B" w:rsidRDefault="002E008B" w:rsidP="00675B24">
      <w:pPr>
        <w:pStyle w:val="BodyText"/>
      </w:pPr>
      <w:r w:rsidRPr="002E008B">
        <w:t xml:space="preserve">Phone 131 7822 or (03) 9679 7100 (within the rest of </w:t>
      </w:r>
      <w:r w:rsidRPr="00370DFE">
        <w:t>Australia) or visit</w:t>
      </w:r>
      <w:r w:rsidR="00370DFE">
        <w:t xml:space="preserve"> the</w:t>
      </w:r>
      <w:r w:rsidRPr="00370DFE">
        <w:t xml:space="preserve"> </w:t>
      </w:r>
      <w:hyperlink r:id="rId34" w:history="1">
        <w:r w:rsidR="00370DFE" w:rsidRPr="00370DFE">
          <w:rPr>
            <w:rStyle w:val="Hyperlink"/>
          </w:rPr>
          <w:t>website</w:t>
        </w:r>
      </w:hyperlink>
      <w:r w:rsidR="00370DFE">
        <w:rPr>
          <w:rStyle w:val="FootnoteReference"/>
        </w:rPr>
        <w:footnoteReference w:id="8"/>
      </w:r>
      <w:r w:rsidR="00370DFE">
        <w:t>.</w:t>
      </w:r>
    </w:p>
    <w:p w14:paraId="3FD3705E" w14:textId="77777777" w:rsidR="002E008B" w:rsidRDefault="002E008B" w:rsidP="002E008B">
      <w:pPr>
        <w:pStyle w:val="Heading3"/>
      </w:pPr>
      <w:bookmarkStart w:id="1386" w:name="_Toc89723181"/>
      <w:bookmarkStart w:id="1387" w:name="_Ref89798998"/>
      <w:bookmarkStart w:id="1388" w:name="_Ref89799094"/>
      <w:bookmarkStart w:id="1389" w:name="_Ref89810713"/>
      <w:bookmarkStart w:id="1390" w:name="_Toc90326123"/>
      <w:bookmarkStart w:id="1391" w:name="_Toc93659529"/>
      <w:r>
        <w:t>Public Interest Disclosure</w:t>
      </w:r>
      <w:bookmarkEnd w:id="1386"/>
      <w:bookmarkEnd w:id="1387"/>
      <w:bookmarkEnd w:id="1388"/>
      <w:bookmarkEnd w:id="1389"/>
      <w:bookmarkEnd w:id="1390"/>
      <w:bookmarkEnd w:id="1391"/>
    </w:p>
    <w:p w14:paraId="44DD313F" w14:textId="0B7CA4C8" w:rsidR="002E008B" w:rsidRDefault="002E008B" w:rsidP="002E008B">
      <w:pPr>
        <w:pStyle w:val="BodyText"/>
      </w:pPr>
      <w:r>
        <w:t xml:space="preserve">The </w:t>
      </w:r>
      <w:r w:rsidRPr="002E008B">
        <w:rPr>
          <w:rStyle w:val="ItalicText"/>
        </w:rPr>
        <w:t>Public Interest Disclosures Act 2012</w:t>
      </w:r>
      <w:r>
        <w:t xml:space="preserve"> (Vic) (PID Act) assists people to expose wrongdoing in public life and protects them from any reprisals. The PID Act applies to Melbourne Water and members of our community must have confidence that Melbourne Water and its people are conducting themselves properly.</w:t>
      </w:r>
    </w:p>
    <w:p w14:paraId="1D719FC8" w14:textId="3688E2A1" w:rsidR="002E008B" w:rsidRDefault="002E008B" w:rsidP="002E008B">
      <w:pPr>
        <w:pStyle w:val="BodyText"/>
      </w:pPr>
      <w:r>
        <w:t>Melbourne Water does not tolerate improper conduct by employees nor reprisals against those who come forward to disclose such conduct. Melbourne Water is committed to ensuring transparency and accountability in its administrative and management practices and supports the making of disclosures that reveal corrupt conduct, conduct involving a substantial mismanagement of public resources, conduct involving a substantial risk to public health and safety or the environment, or other improper conduct. Our commitment is reflected in our Code of Conduct and our Public Interest Disclosure Procedures.</w:t>
      </w:r>
    </w:p>
    <w:p w14:paraId="5672C47E" w14:textId="13493A4D" w:rsidR="002E008B" w:rsidRDefault="002E008B" w:rsidP="002E008B">
      <w:pPr>
        <w:pStyle w:val="BodyText"/>
      </w:pPr>
      <w:r>
        <w:t>Where a disclosure is brought to Melbourne Water’s attention by an investigative body, we will take all reasonable steps to protect people who make such disclosures from any detrimental action in reprisal for making the disclosure. We will also afford natural justice to the person who is the subject of the disclosure to the extent it is legally possible.</w:t>
      </w:r>
    </w:p>
    <w:p w14:paraId="0BE8EB1F" w14:textId="77777777" w:rsidR="002E008B" w:rsidRDefault="002E008B" w:rsidP="002E008B">
      <w:pPr>
        <w:pStyle w:val="Heading4"/>
      </w:pPr>
      <w:r>
        <w:t>How do I make a ‘public interest disclosure’?</w:t>
      </w:r>
    </w:p>
    <w:p w14:paraId="2170C581" w14:textId="5ECE1D93" w:rsidR="002E008B" w:rsidRDefault="002E008B" w:rsidP="002E008B">
      <w:pPr>
        <w:pStyle w:val="BodyText"/>
      </w:pPr>
      <w:r>
        <w:t>You can make a public interest disclosure about Melbourne Water or its Board members, officers or employees by contacting the</w:t>
      </w:r>
      <w:r w:rsidR="00F6016D">
        <w:t xml:space="preserve"> </w:t>
      </w:r>
      <w:r>
        <w:t>Independent Broad-based Anti-corruption Commission (IBAC) Victoria, using the contact details provided below. Please note that</w:t>
      </w:r>
      <w:r w:rsidR="00F6016D">
        <w:t xml:space="preserve"> </w:t>
      </w:r>
      <w:r>
        <w:t>Melbourne Water is not able to receive public interest disclosures. Melbourne Water has had no incidents of corruption in 2020-21.</w:t>
      </w:r>
    </w:p>
    <w:p w14:paraId="7E55AA3B" w14:textId="77777777" w:rsidR="002E008B" w:rsidRDefault="002E008B" w:rsidP="00F6016D">
      <w:pPr>
        <w:pStyle w:val="Heading4"/>
      </w:pPr>
      <w:r>
        <w:lastRenderedPageBreak/>
        <w:t>How can I access Melbourne Water’s procedures for the protection of persons from detrimental action?</w:t>
      </w:r>
    </w:p>
    <w:p w14:paraId="438E93EF" w14:textId="1DB8D8C7" w:rsidR="002E008B" w:rsidRDefault="002E008B" w:rsidP="002E008B">
      <w:pPr>
        <w:pStyle w:val="BodyText"/>
      </w:pPr>
      <w:r>
        <w:t>Melbourne Water has procedures in place for the protection of persons from detrimental action for making a public interest</w:t>
      </w:r>
      <w:r w:rsidR="00F6016D">
        <w:t xml:space="preserve"> </w:t>
      </w:r>
      <w:r>
        <w:t xml:space="preserve">disclosure about Melbourne Water or its employees. You can access our procedures at </w:t>
      </w:r>
      <w:r w:rsidR="009A6582">
        <w:t xml:space="preserve">the </w:t>
      </w:r>
      <w:hyperlink r:id="rId35" w:history="1">
        <w:r w:rsidR="009A6582" w:rsidRPr="009A6582">
          <w:rPr>
            <w:rStyle w:val="Hyperlink"/>
          </w:rPr>
          <w:t>Melbourne Water website</w:t>
        </w:r>
      </w:hyperlink>
      <w:r w:rsidR="009A6582">
        <w:rPr>
          <w:rStyle w:val="FootnoteReference"/>
        </w:rPr>
        <w:footnoteReference w:id="9"/>
      </w:r>
    </w:p>
    <w:p w14:paraId="2ED2D71A" w14:textId="77777777" w:rsidR="00F6016D" w:rsidRDefault="00F6016D" w:rsidP="00F6016D">
      <w:pPr>
        <w:pStyle w:val="Heading4"/>
      </w:pPr>
      <w:r>
        <w:t>Contacts</w:t>
      </w:r>
    </w:p>
    <w:p w14:paraId="6992BAD0" w14:textId="77777777" w:rsidR="00F6016D" w:rsidRPr="00F6016D" w:rsidRDefault="00F6016D" w:rsidP="00F6016D">
      <w:r w:rsidRPr="00F6016D">
        <w:t xml:space="preserve">Emma Braun </w:t>
      </w:r>
    </w:p>
    <w:p w14:paraId="3D15AA82" w14:textId="77777777" w:rsidR="00F6016D" w:rsidRPr="00F6016D" w:rsidRDefault="00F6016D" w:rsidP="00F6016D">
      <w:r w:rsidRPr="00F6016D">
        <w:t>General Counsel and Company Secretary</w:t>
      </w:r>
    </w:p>
    <w:p w14:paraId="033B1B1E" w14:textId="77777777" w:rsidR="00F6016D" w:rsidRPr="00F6016D" w:rsidRDefault="00F6016D" w:rsidP="00F6016D">
      <w:r w:rsidRPr="00F6016D">
        <w:t>Melbourne Water</w:t>
      </w:r>
    </w:p>
    <w:p w14:paraId="0D8BF1DE" w14:textId="77777777" w:rsidR="00F6016D" w:rsidRPr="00F6016D" w:rsidRDefault="00F6016D" w:rsidP="00F6016D">
      <w:r w:rsidRPr="00F6016D">
        <w:t>PO Box 4342</w:t>
      </w:r>
    </w:p>
    <w:p w14:paraId="4CCA8C52" w14:textId="77777777" w:rsidR="00F6016D" w:rsidRPr="00F6016D" w:rsidRDefault="00F6016D" w:rsidP="00F6016D">
      <w:r w:rsidRPr="00F6016D">
        <w:t>Melbourne VIC 3001</w:t>
      </w:r>
    </w:p>
    <w:p w14:paraId="1D9860F6" w14:textId="1175F8E3" w:rsidR="002E008B" w:rsidRDefault="00F6016D" w:rsidP="00F6016D">
      <w:r w:rsidRPr="00F6016D">
        <w:t>Phone (03</w:t>
      </w:r>
      <w:r>
        <w:t>) 9679 7111</w:t>
      </w:r>
    </w:p>
    <w:p w14:paraId="60246B9C" w14:textId="77777777" w:rsidR="00F6016D" w:rsidRDefault="00F6016D" w:rsidP="00F6016D">
      <w:pPr>
        <w:pStyle w:val="BodyText"/>
      </w:pPr>
      <w:r>
        <w:t>Independent Broad-based Anti-corruption Commission Victoria</w:t>
      </w:r>
    </w:p>
    <w:p w14:paraId="70413349" w14:textId="77777777" w:rsidR="00F6016D" w:rsidRPr="00F6016D" w:rsidRDefault="00F6016D" w:rsidP="00F6016D">
      <w:r>
        <w:t xml:space="preserve">Level 1, North Tower, </w:t>
      </w:r>
      <w:r w:rsidRPr="00F6016D">
        <w:t>459 Collins Street</w:t>
      </w:r>
    </w:p>
    <w:p w14:paraId="10595BC7" w14:textId="77777777" w:rsidR="00F6016D" w:rsidRPr="00F6016D" w:rsidRDefault="00F6016D" w:rsidP="00F6016D">
      <w:r w:rsidRPr="00F6016D">
        <w:t>Melbourne VIC 3000</w:t>
      </w:r>
    </w:p>
    <w:p w14:paraId="4F229644" w14:textId="77777777" w:rsidR="00F6016D" w:rsidRPr="00F6016D" w:rsidRDefault="00F6016D" w:rsidP="00F6016D">
      <w:pPr>
        <w:spacing w:before="120"/>
      </w:pPr>
      <w:r w:rsidRPr="00F6016D">
        <w:t>GPO Box 24234</w:t>
      </w:r>
    </w:p>
    <w:p w14:paraId="7CEB98A6" w14:textId="77777777" w:rsidR="00F6016D" w:rsidRPr="00F6016D" w:rsidRDefault="00F6016D" w:rsidP="00F6016D">
      <w:r w:rsidRPr="00F6016D">
        <w:t>Melbourne VIC 3000</w:t>
      </w:r>
    </w:p>
    <w:p w14:paraId="754C125C" w14:textId="77777777" w:rsidR="00F6016D" w:rsidRDefault="00F6016D" w:rsidP="00F6016D">
      <w:r w:rsidRPr="00F6016D">
        <w:t>Phone</w:t>
      </w:r>
      <w:r>
        <w:t>: 1300 735 135</w:t>
      </w:r>
    </w:p>
    <w:p w14:paraId="325E383A" w14:textId="576102DD" w:rsidR="002E008B" w:rsidRDefault="00F6016D" w:rsidP="00F6016D">
      <w:pPr>
        <w:pStyle w:val="BodyText"/>
      </w:pPr>
      <w:r>
        <w:t>See the</w:t>
      </w:r>
      <w:r w:rsidR="00D363B3">
        <w:t xml:space="preserve"> </w:t>
      </w:r>
      <w:hyperlink r:id="rId36" w:history="1">
        <w:r w:rsidR="00D363B3" w:rsidRPr="00D363B3">
          <w:rPr>
            <w:rStyle w:val="Hyperlink"/>
          </w:rPr>
          <w:t>IBAC website</w:t>
        </w:r>
      </w:hyperlink>
      <w:r w:rsidR="00D363B3">
        <w:rPr>
          <w:rStyle w:val="FootnoteReference"/>
        </w:rPr>
        <w:footnoteReference w:id="10"/>
      </w:r>
      <w:r>
        <w:t xml:space="preserve"> for the secure email disclosure process which also provides for anonymous disclosures.</w:t>
      </w:r>
    </w:p>
    <w:p w14:paraId="4AA02E70" w14:textId="77777777" w:rsidR="00F6016D" w:rsidRDefault="00F6016D" w:rsidP="00B1710D">
      <w:pPr>
        <w:pStyle w:val="Heading2"/>
        <w:pageBreakBefore/>
      </w:pPr>
      <w:bookmarkStart w:id="1392" w:name="AppendixC"/>
      <w:bookmarkStart w:id="1393" w:name="_Toc89723182"/>
      <w:bookmarkStart w:id="1394" w:name="_Toc89723257"/>
      <w:bookmarkStart w:id="1395" w:name="_Toc89723317"/>
      <w:bookmarkStart w:id="1396" w:name="_Ref89805614"/>
      <w:bookmarkStart w:id="1397" w:name="_Toc89860582"/>
      <w:bookmarkStart w:id="1398" w:name="_Toc89860726"/>
      <w:bookmarkStart w:id="1399" w:name="_Toc90326124"/>
      <w:bookmarkStart w:id="1400" w:name="_Toc93659530"/>
      <w:r>
        <w:lastRenderedPageBreak/>
        <w:t>Appendix C</w:t>
      </w:r>
      <w:bookmarkEnd w:id="1392"/>
      <w:r>
        <w:t xml:space="preserve"> – Bulk Entitlements</w:t>
      </w:r>
      <w:bookmarkEnd w:id="1393"/>
      <w:bookmarkEnd w:id="1394"/>
      <w:bookmarkEnd w:id="1395"/>
      <w:bookmarkEnd w:id="1396"/>
      <w:bookmarkEnd w:id="1397"/>
      <w:bookmarkEnd w:id="1398"/>
      <w:bookmarkEnd w:id="1399"/>
      <w:bookmarkEnd w:id="1400"/>
    </w:p>
    <w:p w14:paraId="1191C057" w14:textId="201A6500" w:rsidR="00F6016D" w:rsidRDefault="00F6016D" w:rsidP="00F6016D">
      <w:pPr>
        <w:pStyle w:val="BodyText"/>
      </w:pPr>
      <w:r>
        <w:t>The Victorian Government introduced bulk water reforms on 1 July 2014. These reforms introduced a ‘source’ and ‘delivery’ bulk entitlements model for Melbourne with a seasonal determination process and rights to carry over unused water allocations from year to year. The four systems currently supplying Melbourne (Thomson River, Yarra River, Silver and Wallaby creeks and Tarago and Bunyip rivers) are collectively known as the Greater Yarra System – Thomson River Pool.</w:t>
      </w:r>
    </w:p>
    <w:p w14:paraId="30A5CA9E" w14:textId="0B030128" w:rsidR="00F6016D" w:rsidRDefault="00F6016D" w:rsidP="00F6016D">
      <w:pPr>
        <w:pStyle w:val="BodyText"/>
      </w:pPr>
      <w:r>
        <w:t>Melbourne Water was assigned the source bulk entitlements to the Greater Yarra System – Thomson River Pool. The delivery bulk entitlements to the Greater Yarra System – Thomson River Pool were assigned to Barwon Water, City West Water, South East Water, South Gippsland Water, Western Water, Westernport Water and Yarra Valley Water (the ‘primary entitlement holders’ – PEHs).</w:t>
      </w:r>
    </w:p>
    <w:p w14:paraId="033C0B16" w14:textId="3394D7C4" w:rsidR="002E008B" w:rsidRDefault="00F6016D" w:rsidP="00F6016D">
      <w:pPr>
        <w:pStyle w:val="BodyText"/>
      </w:pPr>
      <w:r>
        <w:t xml:space="preserve">As the Resource Manager for the Melbourne headworks system, Melbourne Water allocates water to the primary entitlement holders by making seasonal determinations to them. Melbourne Water is also the Storage Manager (under section 171B of the </w:t>
      </w:r>
      <w:r w:rsidRPr="00F6016D">
        <w:rPr>
          <w:rStyle w:val="ItalicText"/>
        </w:rPr>
        <w:t>Water Act 1989</w:t>
      </w:r>
      <w:r>
        <w:t>) for water sources in the Melbourne headworks system. The following table fulfils the reporting requirements in Melbourne Water’s bulk entitlements.</w:t>
      </w:r>
    </w:p>
    <w:tbl>
      <w:tblPr>
        <w:tblStyle w:val="TableGrid"/>
        <w:tblW w:w="0" w:type="auto"/>
        <w:tblLook w:val="04A0" w:firstRow="1" w:lastRow="0" w:firstColumn="1" w:lastColumn="0" w:noHBand="0" w:noVBand="1"/>
      </w:tblPr>
      <w:tblGrid>
        <w:gridCol w:w="1621"/>
        <w:gridCol w:w="1610"/>
        <w:gridCol w:w="1695"/>
        <w:gridCol w:w="1695"/>
        <w:gridCol w:w="1459"/>
        <w:gridCol w:w="1551"/>
      </w:tblGrid>
      <w:tr w:rsidR="00F6016D" w:rsidRPr="00370DFE" w14:paraId="27AE98AA" w14:textId="41311EFE" w:rsidTr="00A54B77">
        <w:trPr>
          <w:cnfStyle w:val="100000000000" w:firstRow="1" w:lastRow="0" w:firstColumn="0" w:lastColumn="0" w:oddVBand="0" w:evenVBand="0" w:oddHBand="0" w:evenHBand="0" w:firstRowFirstColumn="0" w:firstRowLastColumn="0" w:lastRowFirstColumn="0" w:lastRowLastColumn="0"/>
          <w:tblHeader/>
        </w:trPr>
        <w:tc>
          <w:tcPr>
            <w:tcW w:w="1621" w:type="dxa"/>
            <w:vAlign w:val="bottom"/>
          </w:tcPr>
          <w:p w14:paraId="2F510851" w14:textId="11A5ACCE" w:rsidR="00F6016D" w:rsidRPr="00370DFE" w:rsidRDefault="00F6016D" w:rsidP="00E757F8">
            <w:pPr>
              <w:keepNext/>
              <w:keepLines/>
            </w:pPr>
            <w:bookmarkStart w:id="1401" w:name="ColumnTitle_118"/>
            <w:r w:rsidRPr="00370DFE">
              <w:t>Melbourne Water reporting obligation</w:t>
            </w:r>
          </w:p>
        </w:tc>
        <w:tc>
          <w:tcPr>
            <w:tcW w:w="1610" w:type="dxa"/>
            <w:vAlign w:val="bottom"/>
          </w:tcPr>
          <w:p w14:paraId="52B8C6B1" w14:textId="7A8C1402" w:rsidR="00F6016D" w:rsidRPr="00370DFE" w:rsidRDefault="00F6016D" w:rsidP="00E757F8">
            <w:pPr>
              <w:keepNext/>
              <w:keepLines/>
            </w:pPr>
            <w:r w:rsidRPr="00370DFE">
              <w:t>Combined Yarra River, Silver and Wallaby creeks, Thomson River</w:t>
            </w:r>
          </w:p>
        </w:tc>
        <w:tc>
          <w:tcPr>
            <w:tcW w:w="1695" w:type="dxa"/>
            <w:vAlign w:val="bottom"/>
          </w:tcPr>
          <w:p w14:paraId="15AB6825" w14:textId="3FB7B772" w:rsidR="00F6016D" w:rsidRPr="00370DFE" w:rsidRDefault="00F6016D" w:rsidP="00E757F8">
            <w:pPr>
              <w:keepNext/>
              <w:keepLines/>
            </w:pPr>
            <w:r w:rsidRPr="00370DFE">
              <w:t>Yarra River</w:t>
            </w:r>
            <w:r w:rsidR="00AF1B16" w:rsidRPr="00370DFE">
              <w:t xml:space="preserve"> </w:t>
            </w:r>
            <w:hyperlink w:anchor="Note2Appc" w:history="1">
              <w:r w:rsidR="00EE6E22" w:rsidRPr="00370DFE">
                <w:rPr>
                  <w:rStyle w:val="Hyperlink"/>
                </w:rPr>
                <w:t>note 2</w:t>
              </w:r>
            </w:hyperlink>
            <w:r w:rsidR="00AF1B16" w:rsidRPr="00370DFE">
              <w:t xml:space="preserve"> </w:t>
            </w:r>
            <w:r w:rsidRPr="00370DFE">
              <w:t>(WSE000185)</w:t>
            </w:r>
          </w:p>
        </w:tc>
        <w:tc>
          <w:tcPr>
            <w:tcW w:w="1695" w:type="dxa"/>
            <w:vAlign w:val="bottom"/>
          </w:tcPr>
          <w:p w14:paraId="6BC6FFDF" w14:textId="06055E1E" w:rsidR="00F6016D" w:rsidRPr="00370DFE" w:rsidRDefault="00F6016D" w:rsidP="00E757F8">
            <w:pPr>
              <w:keepNext/>
              <w:keepLines/>
            </w:pPr>
            <w:r w:rsidRPr="00370DFE">
              <w:t xml:space="preserve">Silver and Wallaby creeks </w:t>
            </w:r>
            <w:hyperlink w:anchor="Note5AppC" w:history="1">
              <w:r w:rsidR="00480980" w:rsidRPr="00370DFE">
                <w:rPr>
                  <w:rStyle w:val="Hyperlink"/>
                </w:rPr>
                <w:t>note 5</w:t>
              </w:r>
            </w:hyperlink>
            <w:r w:rsidR="00480980" w:rsidRPr="00370DFE">
              <w:t xml:space="preserve"> </w:t>
            </w:r>
            <w:r w:rsidRPr="00370DFE">
              <w:t>(WSE000018)</w:t>
            </w:r>
          </w:p>
        </w:tc>
        <w:tc>
          <w:tcPr>
            <w:tcW w:w="1459" w:type="dxa"/>
            <w:vAlign w:val="bottom"/>
          </w:tcPr>
          <w:p w14:paraId="4C530333" w14:textId="16F8663D" w:rsidR="00480980" w:rsidRPr="00370DFE" w:rsidRDefault="00F6016D" w:rsidP="00E757F8">
            <w:pPr>
              <w:keepNext/>
              <w:keepLines/>
            </w:pPr>
            <w:r w:rsidRPr="00370DFE">
              <w:t>Thomson River (WSE000168)</w:t>
            </w:r>
            <w:r w:rsidR="00480980" w:rsidRPr="00370DFE">
              <w:t xml:space="preserve"> </w:t>
            </w:r>
            <w:hyperlink w:anchor="Note7AppC" w:history="1">
              <w:r w:rsidR="00480980" w:rsidRPr="00370DFE">
                <w:rPr>
                  <w:rStyle w:val="Hyperlink"/>
                </w:rPr>
                <w:t>note 7</w:t>
              </w:r>
            </w:hyperlink>
          </w:p>
        </w:tc>
        <w:tc>
          <w:tcPr>
            <w:tcW w:w="1551" w:type="dxa"/>
            <w:vAlign w:val="bottom"/>
          </w:tcPr>
          <w:p w14:paraId="147ED49C" w14:textId="5276F49F" w:rsidR="00F6016D" w:rsidRPr="00370DFE" w:rsidRDefault="00F6016D" w:rsidP="00E757F8">
            <w:pPr>
              <w:keepNext/>
              <w:keepLines/>
            </w:pPr>
            <w:r w:rsidRPr="00370DFE">
              <w:t xml:space="preserve">Tarago and Bunyip rivers </w:t>
            </w:r>
            <w:hyperlink w:anchor="Note9AppC" w:history="1">
              <w:r w:rsidR="00480980" w:rsidRPr="00370DFE">
                <w:rPr>
                  <w:rStyle w:val="Hyperlink"/>
                </w:rPr>
                <w:t>note 9</w:t>
              </w:r>
            </w:hyperlink>
            <w:r w:rsidR="00480980" w:rsidRPr="00370DFE">
              <w:t xml:space="preserve"> </w:t>
            </w:r>
            <w:r w:rsidRPr="00370DFE">
              <w:t>(WSE000041)</w:t>
            </w:r>
          </w:p>
        </w:tc>
      </w:tr>
      <w:bookmarkEnd w:id="1401"/>
      <w:tr w:rsidR="00F6016D" w:rsidRPr="00F6016D" w14:paraId="11EF556D" w14:textId="7907C054" w:rsidTr="009172C0">
        <w:tc>
          <w:tcPr>
            <w:tcW w:w="1621" w:type="dxa"/>
          </w:tcPr>
          <w:p w14:paraId="0E92F76F" w14:textId="1DBD3444" w:rsidR="00500F00" w:rsidRDefault="00500F00" w:rsidP="00E757F8">
            <w:pPr>
              <w:pStyle w:val="TableBodyText"/>
              <w:keepNext/>
              <w:keepLines/>
            </w:pPr>
            <w:r>
              <w:t>The amount of water taken by PEHs in 2020-21</w:t>
            </w:r>
          </w:p>
          <w:p w14:paraId="6CE93B7A" w14:textId="38935606" w:rsidR="00480980" w:rsidRDefault="00500F00" w:rsidP="00E757F8">
            <w:pPr>
              <w:pStyle w:val="TableBodyText"/>
              <w:keepNext/>
              <w:keepLines/>
            </w:pPr>
            <w:r>
              <w:t>(i). Total inflows</w:t>
            </w:r>
            <w:r w:rsidR="00480980">
              <w:t xml:space="preserve"> </w:t>
            </w:r>
            <w:hyperlink w:anchor="NoteAppC" w:history="1">
              <w:r w:rsidR="00480980" w:rsidRPr="00480980">
                <w:rPr>
                  <w:rStyle w:val="Hyperlink"/>
                </w:rPr>
                <w:t>note a</w:t>
              </w:r>
            </w:hyperlink>
            <w:r>
              <w:t>;</w:t>
            </w:r>
          </w:p>
          <w:p w14:paraId="0D15F8C8" w14:textId="0757EAFE" w:rsidR="00500F00" w:rsidRDefault="00500F00" w:rsidP="00E757F8">
            <w:pPr>
              <w:pStyle w:val="TableBodyText"/>
              <w:keepNext/>
              <w:keepLines/>
            </w:pPr>
            <w:r>
              <w:t>(ii). Total storage volumes</w:t>
            </w:r>
            <w:r w:rsidR="00480980">
              <w:t xml:space="preserve"> </w:t>
            </w:r>
            <w:hyperlink w:anchor="NotebAppC" w:history="1">
              <w:r w:rsidR="00480980" w:rsidRPr="00480980">
                <w:rPr>
                  <w:rStyle w:val="Hyperlink"/>
                </w:rPr>
                <w:t>note b</w:t>
              </w:r>
            </w:hyperlink>
            <w:r>
              <w:t>;</w:t>
            </w:r>
          </w:p>
          <w:p w14:paraId="1EF5CEA0" w14:textId="77777777" w:rsidR="00500F00" w:rsidRDefault="00500F00" w:rsidP="00E757F8">
            <w:pPr>
              <w:pStyle w:val="TableBodyText"/>
              <w:keepNext/>
              <w:keepLines/>
            </w:pPr>
            <w:r>
              <w:t>and</w:t>
            </w:r>
          </w:p>
          <w:p w14:paraId="70238321" w14:textId="52DEB856" w:rsidR="00F6016D" w:rsidRPr="00F6016D" w:rsidRDefault="00500F00" w:rsidP="00E757F8">
            <w:pPr>
              <w:pStyle w:val="TableBodyText"/>
              <w:keepNext/>
              <w:keepLines/>
            </w:pPr>
            <w:r>
              <w:t>(iii). Total outflows</w:t>
            </w:r>
            <w:r w:rsidR="00480980">
              <w:t xml:space="preserve"> </w:t>
            </w:r>
            <w:hyperlink w:anchor="NotecAppC" w:history="1">
              <w:r w:rsidR="00480980" w:rsidRPr="00480980">
                <w:rPr>
                  <w:rStyle w:val="Hyperlink"/>
                </w:rPr>
                <w:t>note c</w:t>
              </w:r>
            </w:hyperlink>
          </w:p>
        </w:tc>
        <w:tc>
          <w:tcPr>
            <w:tcW w:w="1610" w:type="dxa"/>
          </w:tcPr>
          <w:p w14:paraId="1D6A6CDF" w14:textId="7AEED6D3" w:rsidR="00F6016D" w:rsidRPr="00F6016D" w:rsidRDefault="00AE27F5" w:rsidP="00E757F8">
            <w:pPr>
              <w:pStyle w:val="TableBodyText"/>
              <w:keepNext/>
              <w:keepLines/>
            </w:pPr>
            <w:r>
              <w:t>N/A</w:t>
            </w:r>
          </w:p>
        </w:tc>
        <w:tc>
          <w:tcPr>
            <w:tcW w:w="1695" w:type="dxa"/>
          </w:tcPr>
          <w:p w14:paraId="5FD340F2" w14:textId="18962B9E" w:rsidR="00AE27F5" w:rsidRDefault="00AE27F5" w:rsidP="00E757F8">
            <w:pPr>
              <w:pStyle w:val="TableBodyText"/>
              <w:keepNext/>
              <w:keepLines/>
            </w:pPr>
            <w:r>
              <w:t>Clause 15.1</w:t>
            </w:r>
            <w:r w:rsidR="00AF1B16">
              <w:t xml:space="preserve"> </w:t>
            </w:r>
            <w:r w:rsidR="006B2667">
              <w:t>(a)</w:t>
            </w:r>
          </w:p>
          <w:p w14:paraId="466F707C" w14:textId="77777777" w:rsidR="00AE27F5" w:rsidRDefault="00AE27F5" w:rsidP="00E757F8">
            <w:pPr>
              <w:pStyle w:val="TableBodyText"/>
              <w:keepNext/>
              <w:keepLines/>
            </w:pPr>
            <w:r>
              <w:t>(i). 352,862 ML</w:t>
            </w:r>
          </w:p>
          <w:p w14:paraId="3C3B2674" w14:textId="77777777" w:rsidR="00AE27F5" w:rsidRDefault="00AE27F5" w:rsidP="00E757F8">
            <w:pPr>
              <w:pStyle w:val="TableBodyText"/>
              <w:keepNext/>
              <w:keepLines/>
            </w:pPr>
            <w:r>
              <w:t>(ii). 494,472 ML</w:t>
            </w:r>
          </w:p>
          <w:p w14:paraId="16DF5F70" w14:textId="443F0F13" w:rsidR="00F6016D" w:rsidRPr="00F6016D" w:rsidRDefault="00AE27F5" w:rsidP="00E757F8">
            <w:pPr>
              <w:pStyle w:val="TableBodyText"/>
              <w:keepNext/>
              <w:keepLines/>
            </w:pPr>
            <w:r>
              <w:t>(iii). 317,656 ML</w:t>
            </w:r>
          </w:p>
        </w:tc>
        <w:tc>
          <w:tcPr>
            <w:tcW w:w="1695" w:type="dxa"/>
          </w:tcPr>
          <w:p w14:paraId="361B738B" w14:textId="7A94D1B8" w:rsidR="00AE27F5" w:rsidRDefault="00AE27F5" w:rsidP="00E757F8">
            <w:pPr>
              <w:pStyle w:val="TableBodyText"/>
              <w:keepNext/>
              <w:keepLines/>
            </w:pPr>
            <w:r>
              <w:t>Clause 14.1</w:t>
            </w:r>
            <w:r w:rsidR="00AF1B16">
              <w:t xml:space="preserve"> </w:t>
            </w:r>
            <w:r w:rsidR="006B2667">
              <w:t>(a)</w:t>
            </w:r>
          </w:p>
          <w:p w14:paraId="562C720A" w14:textId="77777777" w:rsidR="00AE27F5" w:rsidRDefault="00AE27F5" w:rsidP="00E757F8">
            <w:pPr>
              <w:pStyle w:val="TableBodyText"/>
              <w:keepNext/>
              <w:keepLines/>
            </w:pPr>
            <w:r>
              <w:t>(i). 2,604 ML</w:t>
            </w:r>
          </w:p>
          <w:p w14:paraId="7302B62F" w14:textId="15C5C3EF" w:rsidR="00AE27F5" w:rsidRDefault="00AE27F5" w:rsidP="00E757F8">
            <w:pPr>
              <w:pStyle w:val="TableBodyText"/>
              <w:keepNext/>
              <w:keepLines/>
            </w:pPr>
            <w:r>
              <w:t>(ii). No storage is available in Silver</w:t>
            </w:r>
            <w:r w:rsidR="00AF1B16">
              <w:t xml:space="preserve"> a</w:t>
            </w:r>
            <w:r>
              <w:t>nd Wallaby</w:t>
            </w:r>
          </w:p>
          <w:p w14:paraId="125CF68D" w14:textId="5966F79B" w:rsidR="00F6016D" w:rsidRPr="00F6016D" w:rsidRDefault="00AE27F5" w:rsidP="00E757F8">
            <w:pPr>
              <w:pStyle w:val="TableBodyText"/>
              <w:keepNext/>
              <w:keepLines/>
            </w:pPr>
            <w:r>
              <w:t>(iii). 2,604 ML</w:t>
            </w:r>
          </w:p>
        </w:tc>
        <w:tc>
          <w:tcPr>
            <w:tcW w:w="1459" w:type="dxa"/>
          </w:tcPr>
          <w:p w14:paraId="7EB0DB23" w14:textId="545915E9" w:rsidR="00AE27F5" w:rsidRDefault="00AE27F5" w:rsidP="00E757F8">
            <w:pPr>
              <w:pStyle w:val="TableBodyText"/>
              <w:keepNext/>
              <w:keepLines/>
            </w:pPr>
            <w:r>
              <w:t xml:space="preserve">Clause 15.1 </w:t>
            </w:r>
            <w:r w:rsidR="006B2667">
              <w:t>(a)</w:t>
            </w:r>
          </w:p>
          <w:p w14:paraId="61D3CBAB" w14:textId="77777777" w:rsidR="00AE27F5" w:rsidRDefault="00AE27F5" w:rsidP="00E757F8">
            <w:pPr>
              <w:pStyle w:val="TableBodyText"/>
              <w:keepNext/>
              <w:keepLines/>
            </w:pPr>
            <w:r>
              <w:t>(i). 212,161 ML</w:t>
            </w:r>
          </w:p>
          <w:p w14:paraId="15394600" w14:textId="77777777" w:rsidR="00AE27F5" w:rsidRDefault="00AE27F5" w:rsidP="00E757F8">
            <w:pPr>
              <w:pStyle w:val="TableBodyText"/>
              <w:keepNext/>
              <w:keepLines/>
            </w:pPr>
            <w:r>
              <w:t>(ii). 727,037 ML</w:t>
            </w:r>
          </w:p>
          <w:p w14:paraId="136B2ECE" w14:textId="06C1FA51" w:rsidR="00F6016D" w:rsidRPr="00F6016D" w:rsidRDefault="00AE27F5" w:rsidP="00E757F8">
            <w:pPr>
              <w:pStyle w:val="TableBodyText"/>
              <w:keepNext/>
              <w:keepLines/>
            </w:pPr>
            <w:r>
              <w:t>(iii). 67,478 ML</w:t>
            </w:r>
          </w:p>
        </w:tc>
        <w:tc>
          <w:tcPr>
            <w:tcW w:w="1551" w:type="dxa"/>
          </w:tcPr>
          <w:p w14:paraId="69C9E742" w14:textId="10977E8F" w:rsidR="00AE27F5" w:rsidRDefault="00AE27F5" w:rsidP="00E757F8">
            <w:pPr>
              <w:pStyle w:val="TableBodyText"/>
              <w:keepNext/>
              <w:keepLines/>
            </w:pPr>
            <w:r>
              <w:t>Clause 15.1</w:t>
            </w:r>
            <w:r w:rsidR="00AF1B16">
              <w:t xml:space="preserve"> </w:t>
            </w:r>
            <w:r w:rsidR="006B2667">
              <w:t>(a)</w:t>
            </w:r>
          </w:p>
          <w:p w14:paraId="46FECCCE" w14:textId="264FE4D8" w:rsidR="00AE27F5" w:rsidRDefault="00AE27F5" w:rsidP="00E757F8">
            <w:pPr>
              <w:pStyle w:val="TableBodyText"/>
              <w:keepNext/>
              <w:keepLines/>
            </w:pPr>
            <w:r>
              <w:t>(i). 26,670 ML (Tarago) 2,190 ML (Bunyip)</w:t>
            </w:r>
          </w:p>
          <w:p w14:paraId="60C24622" w14:textId="3FB10599" w:rsidR="00AE27F5" w:rsidRDefault="00AE27F5" w:rsidP="00E757F8">
            <w:pPr>
              <w:pStyle w:val="TableBodyText"/>
              <w:keepNext/>
              <w:keepLines/>
            </w:pPr>
            <w:r>
              <w:t>(ii). 34,580 ML (Tarago) No storage is available in Bunyip</w:t>
            </w:r>
          </w:p>
          <w:p w14:paraId="396A5B84" w14:textId="30D3D6BD" w:rsidR="00F6016D" w:rsidRPr="00F6016D" w:rsidRDefault="00AE27F5" w:rsidP="00E757F8">
            <w:pPr>
              <w:pStyle w:val="TableBodyText"/>
              <w:keepNext/>
              <w:keepLines/>
            </w:pPr>
            <w:r>
              <w:t>(iii). 11,475 ML (Tarago) 2,190 ML (Bunyip)</w:t>
            </w:r>
          </w:p>
        </w:tc>
      </w:tr>
      <w:tr w:rsidR="00AE27F5" w:rsidRPr="00F6016D" w14:paraId="4FC1F4DA" w14:textId="77777777" w:rsidTr="009172C0">
        <w:tc>
          <w:tcPr>
            <w:tcW w:w="1621" w:type="dxa"/>
          </w:tcPr>
          <w:p w14:paraId="689359F3" w14:textId="48FC68A8" w:rsidR="00AE27F5" w:rsidRDefault="00AE27F5" w:rsidP="00370DFE">
            <w:pPr>
              <w:pStyle w:val="TableBodyText"/>
            </w:pPr>
            <w:r>
              <w:t>Compliance with the diversion limit</w:t>
            </w:r>
          </w:p>
        </w:tc>
        <w:tc>
          <w:tcPr>
            <w:tcW w:w="1610" w:type="dxa"/>
          </w:tcPr>
          <w:p w14:paraId="77EEAA32" w14:textId="45529F92" w:rsidR="00AF1B16" w:rsidRDefault="00AE27F5" w:rsidP="00370DFE">
            <w:pPr>
              <w:pStyle w:val="TableBodyText"/>
            </w:pPr>
            <w:r w:rsidRPr="00AE27F5">
              <w:t>304,339 ML</w:t>
            </w:r>
            <w:r w:rsidR="00AF1B16">
              <w:t xml:space="preserve"> </w:t>
            </w:r>
            <w:r w:rsidR="00AF1B16">
              <w:br/>
            </w:r>
            <w:hyperlink w:anchor="Note1AppC" w:history="1">
              <w:r w:rsidR="00AF1B16" w:rsidRPr="00AF1B16">
                <w:rPr>
                  <w:rStyle w:val="Hyperlink"/>
                </w:rPr>
                <w:t>note 1</w:t>
              </w:r>
            </w:hyperlink>
          </w:p>
        </w:tc>
        <w:tc>
          <w:tcPr>
            <w:tcW w:w="1695" w:type="dxa"/>
          </w:tcPr>
          <w:p w14:paraId="1A044816" w14:textId="0DC08633" w:rsidR="00AE27F5" w:rsidRDefault="00AE27F5" w:rsidP="00370DFE">
            <w:pPr>
              <w:pStyle w:val="TableBodyText"/>
            </w:pPr>
            <w:r>
              <w:t>Clause 15.1</w:t>
            </w:r>
            <w:r w:rsidR="00AF1B16">
              <w:t xml:space="preserve"> </w:t>
            </w:r>
            <w:r w:rsidR="006B2667">
              <w:t xml:space="preserve">(b) </w:t>
            </w:r>
            <w:r>
              <w:t>234,257 ML</w:t>
            </w:r>
            <w:r w:rsidR="00AF1B16">
              <w:t xml:space="preserve"> </w:t>
            </w:r>
            <w:hyperlink w:anchor="Note3AppC" w:history="1">
              <w:r w:rsidR="00AF1B16" w:rsidRPr="00AF1B16">
                <w:rPr>
                  <w:rStyle w:val="Hyperlink"/>
                </w:rPr>
                <w:t>note 3</w:t>
              </w:r>
            </w:hyperlink>
          </w:p>
        </w:tc>
        <w:tc>
          <w:tcPr>
            <w:tcW w:w="1695" w:type="dxa"/>
          </w:tcPr>
          <w:p w14:paraId="5BFFE76A" w14:textId="77777777" w:rsidR="006B2667" w:rsidRDefault="00AE27F5" w:rsidP="00370DFE">
            <w:pPr>
              <w:pStyle w:val="TableBodyText"/>
            </w:pPr>
            <w:r>
              <w:t xml:space="preserve">Clause 14.1 </w:t>
            </w:r>
            <w:r w:rsidR="006B2667">
              <w:t>(b)</w:t>
            </w:r>
          </w:p>
          <w:p w14:paraId="314E3AA7" w14:textId="2DE9040E" w:rsidR="00AE27F5" w:rsidRDefault="00AE27F5" w:rsidP="00370DFE">
            <w:pPr>
              <w:pStyle w:val="TableBodyText"/>
            </w:pPr>
            <w:r>
              <w:t>3,768 ML</w:t>
            </w:r>
            <w:r w:rsidR="00AF1B16">
              <w:t xml:space="preserve"> </w:t>
            </w:r>
            <w:hyperlink w:anchor="Note6AppC" w:history="1">
              <w:r w:rsidR="00AF1B16" w:rsidRPr="00AF1B16">
                <w:rPr>
                  <w:rStyle w:val="Hyperlink"/>
                </w:rPr>
                <w:t>note 6</w:t>
              </w:r>
            </w:hyperlink>
          </w:p>
        </w:tc>
        <w:tc>
          <w:tcPr>
            <w:tcW w:w="1459" w:type="dxa"/>
          </w:tcPr>
          <w:p w14:paraId="212CD729" w14:textId="5F4D6965" w:rsidR="00AE27F5" w:rsidRDefault="00AE27F5" w:rsidP="00370DFE">
            <w:pPr>
              <w:pStyle w:val="TableBodyText"/>
            </w:pPr>
            <w:r>
              <w:t>Clause 15.1</w:t>
            </w:r>
            <w:r w:rsidR="00AF1B16">
              <w:t xml:space="preserve"> </w:t>
            </w:r>
            <w:r w:rsidR="006B2667">
              <w:t xml:space="preserve">(b) </w:t>
            </w:r>
            <w:r>
              <w:t>67,478 ML</w:t>
            </w:r>
            <w:r w:rsidR="00AF1B16">
              <w:t xml:space="preserve"> </w:t>
            </w:r>
            <w:r w:rsidR="00AF1B16">
              <w:br/>
            </w:r>
            <w:hyperlink w:anchor="Note8AppC" w:history="1">
              <w:r w:rsidR="00AF1B16" w:rsidRPr="00AF1B16">
                <w:rPr>
                  <w:rStyle w:val="Hyperlink"/>
                </w:rPr>
                <w:t>note 8</w:t>
              </w:r>
            </w:hyperlink>
          </w:p>
        </w:tc>
        <w:tc>
          <w:tcPr>
            <w:tcW w:w="1551" w:type="dxa"/>
          </w:tcPr>
          <w:p w14:paraId="5047061A" w14:textId="717DFC58" w:rsidR="00AE27F5" w:rsidRDefault="00AE27F5" w:rsidP="00370DFE">
            <w:pPr>
              <w:pStyle w:val="TableBodyText"/>
            </w:pPr>
            <w:r>
              <w:t xml:space="preserve">Clause 15.1 </w:t>
            </w:r>
            <w:r w:rsidR="006B2667">
              <w:t xml:space="preserve">(b) </w:t>
            </w:r>
            <w:r>
              <w:t>14,478 ML (Tarago)</w:t>
            </w:r>
            <w:r w:rsidR="006B2667">
              <w:t xml:space="preserve"> </w:t>
            </w:r>
            <w:hyperlink w:anchor="Note10AppC" w:history="1">
              <w:r w:rsidR="006B2667" w:rsidRPr="006B2667">
                <w:rPr>
                  <w:rStyle w:val="Hyperlink"/>
                </w:rPr>
                <w:t>note 10</w:t>
              </w:r>
            </w:hyperlink>
            <w:r>
              <w:t xml:space="preserve"> 2,191 ML (Bunyip)</w:t>
            </w:r>
            <w:r w:rsidR="006B2667">
              <w:t xml:space="preserve"> </w:t>
            </w:r>
            <w:hyperlink w:anchor="Note11AppC" w:history="1">
              <w:r w:rsidR="006B2667" w:rsidRPr="006B2667">
                <w:rPr>
                  <w:rStyle w:val="Hyperlink"/>
                </w:rPr>
                <w:t>note 11</w:t>
              </w:r>
            </w:hyperlink>
          </w:p>
        </w:tc>
      </w:tr>
      <w:tr w:rsidR="00AE27F5" w:rsidRPr="00F6016D" w14:paraId="5546D56F" w14:textId="77777777" w:rsidTr="009172C0">
        <w:tc>
          <w:tcPr>
            <w:tcW w:w="1621" w:type="dxa"/>
          </w:tcPr>
          <w:p w14:paraId="686D71B7" w14:textId="081B92C5" w:rsidR="00AE27F5" w:rsidRDefault="00AE27F5" w:rsidP="00370DFE">
            <w:pPr>
              <w:pStyle w:val="TableBodyText"/>
            </w:pPr>
            <w:r>
              <w:t>Any temporary/ permanent transfer of this bulk entitlement</w:t>
            </w:r>
          </w:p>
        </w:tc>
        <w:tc>
          <w:tcPr>
            <w:tcW w:w="1610" w:type="dxa"/>
          </w:tcPr>
          <w:p w14:paraId="49B07945" w14:textId="75501C44" w:rsidR="00AE27F5" w:rsidRPr="00AE27F5" w:rsidRDefault="00AE27F5" w:rsidP="00370DFE">
            <w:pPr>
              <w:pStyle w:val="TableBodyText"/>
            </w:pPr>
            <w:r>
              <w:t>N/A</w:t>
            </w:r>
          </w:p>
        </w:tc>
        <w:tc>
          <w:tcPr>
            <w:tcW w:w="1695" w:type="dxa"/>
          </w:tcPr>
          <w:p w14:paraId="6238C559" w14:textId="77777777" w:rsidR="006B2667" w:rsidRDefault="00AE27F5" w:rsidP="00370DFE">
            <w:pPr>
              <w:pStyle w:val="TableBodyText"/>
            </w:pPr>
            <w:r>
              <w:t>Clause 15.1 (c)</w:t>
            </w:r>
          </w:p>
          <w:p w14:paraId="122919FF" w14:textId="235DD81E" w:rsidR="00AE27F5" w:rsidRDefault="00AE27F5" w:rsidP="00370DFE">
            <w:pPr>
              <w:pStyle w:val="TableBodyText"/>
            </w:pPr>
            <w:r>
              <w:t>Nil</w:t>
            </w:r>
          </w:p>
        </w:tc>
        <w:tc>
          <w:tcPr>
            <w:tcW w:w="1695" w:type="dxa"/>
          </w:tcPr>
          <w:p w14:paraId="16D45879" w14:textId="77777777" w:rsidR="006B2667" w:rsidRDefault="00823C1F" w:rsidP="00370DFE">
            <w:pPr>
              <w:pStyle w:val="TableBodyText"/>
            </w:pPr>
            <w:r>
              <w:t>Clause 14.1 (c)</w:t>
            </w:r>
          </w:p>
          <w:p w14:paraId="4DD6FB84" w14:textId="5AC01AE3" w:rsidR="00AE27F5" w:rsidRDefault="00823C1F" w:rsidP="00370DFE">
            <w:pPr>
              <w:pStyle w:val="TableBodyText"/>
            </w:pPr>
            <w:r>
              <w:t>Nil</w:t>
            </w:r>
          </w:p>
        </w:tc>
        <w:tc>
          <w:tcPr>
            <w:tcW w:w="1459" w:type="dxa"/>
          </w:tcPr>
          <w:p w14:paraId="65FA6675" w14:textId="77777777" w:rsidR="00823C1F" w:rsidRDefault="00823C1F" w:rsidP="00370DFE">
            <w:pPr>
              <w:pStyle w:val="TableBodyText"/>
            </w:pPr>
            <w:r>
              <w:t>Clause 15.1 (c)</w:t>
            </w:r>
          </w:p>
          <w:p w14:paraId="4B7BD36A" w14:textId="1F33038C" w:rsidR="00AE27F5" w:rsidRDefault="00823C1F" w:rsidP="00370DFE">
            <w:pPr>
              <w:pStyle w:val="TableBodyText"/>
            </w:pPr>
            <w:r>
              <w:t>Nil</w:t>
            </w:r>
          </w:p>
        </w:tc>
        <w:tc>
          <w:tcPr>
            <w:tcW w:w="1551" w:type="dxa"/>
          </w:tcPr>
          <w:p w14:paraId="686A68E4" w14:textId="7EA3CB7C" w:rsidR="00AE27F5" w:rsidRDefault="00823C1F" w:rsidP="00370DFE">
            <w:pPr>
              <w:pStyle w:val="TableBodyText"/>
            </w:pPr>
            <w:r>
              <w:t>Clause 15.1 (c) Nil</w:t>
            </w:r>
          </w:p>
        </w:tc>
      </w:tr>
      <w:tr w:rsidR="00AE27F5" w:rsidRPr="00F6016D" w14:paraId="351DDA3F" w14:textId="77777777" w:rsidTr="009172C0">
        <w:tc>
          <w:tcPr>
            <w:tcW w:w="1621" w:type="dxa"/>
          </w:tcPr>
          <w:p w14:paraId="422BBD1E" w14:textId="60C9F6F2" w:rsidR="00AE27F5" w:rsidRDefault="00823C1F" w:rsidP="00370DFE">
            <w:pPr>
              <w:pStyle w:val="TableBodyText"/>
            </w:pPr>
            <w:r>
              <w:t>Any temporary/ permanent transfer of a bulk entitlement which may alter the flow in the waterway</w:t>
            </w:r>
          </w:p>
        </w:tc>
        <w:tc>
          <w:tcPr>
            <w:tcW w:w="1610" w:type="dxa"/>
          </w:tcPr>
          <w:p w14:paraId="2302FCB8" w14:textId="193AF491" w:rsidR="00AE27F5" w:rsidRDefault="00823C1F" w:rsidP="00370DFE">
            <w:pPr>
              <w:pStyle w:val="TableBodyText"/>
            </w:pPr>
            <w:r>
              <w:t>N/A</w:t>
            </w:r>
          </w:p>
        </w:tc>
        <w:tc>
          <w:tcPr>
            <w:tcW w:w="1695" w:type="dxa"/>
          </w:tcPr>
          <w:p w14:paraId="66D7E35F" w14:textId="77777777" w:rsidR="006B2667" w:rsidRDefault="00AE27F5" w:rsidP="00370DFE">
            <w:pPr>
              <w:pStyle w:val="TableBodyText"/>
            </w:pPr>
            <w:r>
              <w:t>Clause 15.1 (d)</w:t>
            </w:r>
          </w:p>
          <w:p w14:paraId="44A5E9FF" w14:textId="65FE4632" w:rsidR="00AE27F5" w:rsidRDefault="00AE27F5" w:rsidP="00370DFE">
            <w:pPr>
              <w:pStyle w:val="TableBodyText"/>
            </w:pPr>
            <w:r>
              <w:t>Nil</w:t>
            </w:r>
          </w:p>
        </w:tc>
        <w:tc>
          <w:tcPr>
            <w:tcW w:w="1695" w:type="dxa"/>
          </w:tcPr>
          <w:p w14:paraId="36C2B11B" w14:textId="77777777" w:rsidR="006B2667" w:rsidRDefault="00823C1F" w:rsidP="00370DFE">
            <w:pPr>
              <w:pStyle w:val="TableBodyText"/>
            </w:pPr>
            <w:r>
              <w:t>Clause 14.1 (d)</w:t>
            </w:r>
          </w:p>
          <w:p w14:paraId="2C0EBC98" w14:textId="7DFEE5CC" w:rsidR="00AE27F5" w:rsidRDefault="00823C1F" w:rsidP="00370DFE">
            <w:pPr>
              <w:pStyle w:val="TableBodyText"/>
            </w:pPr>
            <w:r>
              <w:t>Nil</w:t>
            </w:r>
          </w:p>
        </w:tc>
        <w:tc>
          <w:tcPr>
            <w:tcW w:w="1459" w:type="dxa"/>
          </w:tcPr>
          <w:p w14:paraId="3E40CB6C" w14:textId="77777777" w:rsidR="006B2667" w:rsidRDefault="00823C1F" w:rsidP="00370DFE">
            <w:pPr>
              <w:pStyle w:val="TableBodyText"/>
            </w:pPr>
            <w:r>
              <w:t>Clause 15.1 (d)</w:t>
            </w:r>
          </w:p>
          <w:p w14:paraId="4C65EEB5" w14:textId="56C8D137" w:rsidR="00AE27F5" w:rsidRDefault="00823C1F" w:rsidP="00370DFE">
            <w:pPr>
              <w:pStyle w:val="TableBodyText"/>
            </w:pPr>
            <w:r>
              <w:t>Nil</w:t>
            </w:r>
          </w:p>
        </w:tc>
        <w:tc>
          <w:tcPr>
            <w:tcW w:w="1551" w:type="dxa"/>
          </w:tcPr>
          <w:p w14:paraId="426F34C9" w14:textId="77777777" w:rsidR="006B2667" w:rsidRDefault="00823C1F" w:rsidP="00370DFE">
            <w:pPr>
              <w:pStyle w:val="TableBodyText"/>
            </w:pPr>
            <w:r>
              <w:t>Clause 15.1 (d)</w:t>
            </w:r>
          </w:p>
          <w:p w14:paraId="7D836746" w14:textId="67EB2173" w:rsidR="00AE27F5" w:rsidRDefault="00823C1F" w:rsidP="00370DFE">
            <w:pPr>
              <w:pStyle w:val="TableBodyText"/>
            </w:pPr>
            <w:r>
              <w:t>Nil</w:t>
            </w:r>
          </w:p>
        </w:tc>
      </w:tr>
      <w:tr w:rsidR="00AE27F5" w:rsidRPr="00F6016D" w14:paraId="50FDEFFA" w14:textId="77777777" w:rsidTr="009172C0">
        <w:tc>
          <w:tcPr>
            <w:tcW w:w="1621" w:type="dxa"/>
          </w:tcPr>
          <w:p w14:paraId="62814FC3" w14:textId="607C3252" w:rsidR="00AE27F5" w:rsidRDefault="00823C1F" w:rsidP="00370DFE">
            <w:pPr>
              <w:pStyle w:val="TableBodyText"/>
            </w:pPr>
            <w:r>
              <w:t>Any amendment to this bulk entitlement</w:t>
            </w:r>
          </w:p>
        </w:tc>
        <w:tc>
          <w:tcPr>
            <w:tcW w:w="1610" w:type="dxa"/>
          </w:tcPr>
          <w:p w14:paraId="15DDD5CB" w14:textId="4345A1C1" w:rsidR="00AE27F5" w:rsidRDefault="00823C1F" w:rsidP="00370DFE">
            <w:pPr>
              <w:pStyle w:val="TableBodyText"/>
            </w:pPr>
            <w:r>
              <w:t>N/A</w:t>
            </w:r>
          </w:p>
        </w:tc>
        <w:tc>
          <w:tcPr>
            <w:tcW w:w="1695" w:type="dxa"/>
          </w:tcPr>
          <w:p w14:paraId="090CE527" w14:textId="77777777" w:rsidR="006B2667" w:rsidRDefault="00AE27F5" w:rsidP="00370DFE">
            <w:pPr>
              <w:pStyle w:val="TableBodyText"/>
            </w:pPr>
            <w:r>
              <w:t>Clause 15.1 (e)</w:t>
            </w:r>
          </w:p>
          <w:p w14:paraId="7A5F7A13" w14:textId="67176F12" w:rsidR="00AE27F5" w:rsidRDefault="00AE27F5" w:rsidP="00370DFE">
            <w:pPr>
              <w:pStyle w:val="TableBodyText"/>
            </w:pPr>
            <w:r>
              <w:t>Nil</w:t>
            </w:r>
          </w:p>
        </w:tc>
        <w:tc>
          <w:tcPr>
            <w:tcW w:w="1695" w:type="dxa"/>
          </w:tcPr>
          <w:p w14:paraId="38D8801C" w14:textId="77777777" w:rsidR="006B2667" w:rsidRDefault="00823C1F" w:rsidP="00370DFE">
            <w:pPr>
              <w:pStyle w:val="TableBodyText"/>
            </w:pPr>
            <w:r>
              <w:t>Clause 14.1 (e)</w:t>
            </w:r>
          </w:p>
          <w:p w14:paraId="3BDB26FC" w14:textId="2B67669E" w:rsidR="00AE27F5" w:rsidRDefault="00823C1F" w:rsidP="00370DFE">
            <w:pPr>
              <w:pStyle w:val="TableBodyText"/>
            </w:pPr>
            <w:r>
              <w:t>Nil</w:t>
            </w:r>
          </w:p>
        </w:tc>
        <w:tc>
          <w:tcPr>
            <w:tcW w:w="1459" w:type="dxa"/>
          </w:tcPr>
          <w:p w14:paraId="6236749C" w14:textId="77777777" w:rsidR="006B2667" w:rsidRDefault="00823C1F" w:rsidP="00370DFE">
            <w:pPr>
              <w:pStyle w:val="TableBodyText"/>
            </w:pPr>
            <w:r>
              <w:t>Clause 15.1 (e)</w:t>
            </w:r>
          </w:p>
          <w:p w14:paraId="61736397" w14:textId="6E021D99" w:rsidR="00AE27F5" w:rsidRDefault="00823C1F" w:rsidP="00370DFE">
            <w:pPr>
              <w:pStyle w:val="TableBodyText"/>
            </w:pPr>
            <w:r>
              <w:t>Nil</w:t>
            </w:r>
          </w:p>
        </w:tc>
        <w:tc>
          <w:tcPr>
            <w:tcW w:w="1551" w:type="dxa"/>
          </w:tcPr>
          <w:p w14:paraId="1E9D536E" w14:textId="77777777" w:rsidR="006B2667" w:rsidRDefault="00823C1F" w:rsidP="00370DFE">
            <w:pPr>
              <w:pStyle w:val="TableBodyText"/>
            </w:pPr>
            <w:r>
              <w:t>Clause 15.1 (e)</w:t>
            </w:r>
          </w:p>
          <w:p w14:paraId="22C09417" w14:textId="374CF69A" w:rsidR="00AE27F5" w:rsidRDefault="00823C1F" w:rsidP="00370DFE">
            <w:pPr>
              <w:pStyle w:val="TableBodyText"/>
            </w:pPr>
            <w:r>
              <w:t>Nil</w:t>
            </w:r>
          </w:p>
        </w:tc>
      </w:tr>
      <w:tr w:rsidR="009172C0" w:rsidRPr="00F6016D" w14:paraId="07179D74" w14:textId="77777777" w:rsidTr="009172C0">
        <w:tc>
          <w:tcPr>
            <w:tcW w:w="1621" w:type="dxa"/>
          </w:tcPr>
          <w:p w14:paraId="26D88E3E" w14:textId="09EFD29F" w:rsidR="009172C0" w:rsidRDefault="009172C0" w:rsidP="00370DFE">
            <w:pPr>
              <w:pStyle w:val="TableBodyText"/>
            </w:pPr>
            <w:r>
              <w:t xml:space="preserve">Volume of water made available to PEHs from </w:t>
            </w:r>
            <w:r>
              <w:lastRenderedPageBreak/>
              <w:t>seasonal determinations (on 1 June 2021)</w:t>
            </w:r>
          </w:p>
        </w:tc>
        <w:tc>
          <w:tcPr>
            <w:tcW w:w="1610" w:type="dxa"/>
          </w:tcPr>
          <w:p w14:paraId="5CD5BAE3" w14:textId="57B25714" w:rsidR="009172C0" w:rsidRDefault="009172C0" w:rsidP="00370DFE">
            <w:pPr>
              <w:pStyle w:val="TableBodyText"/>
            </w:pPr>
            <w:r>
              <w:lastRenderedPageBreak/>
              <w:t>N/A</w:t>
            </w:r>
          </w:p>
        </w:tc>
        <w:tc>
          <w:tcPr>
            <w:tcW w:w="1695" w:type="dxa"/>
          </w:tcPr>
          <w:p w14:paraId="0E6F728E" w14:textId="1D051A4A" w:rsidR="009172C0" w:rsidRDefault="009172C0" w:rsidP="00370DFE">
            <w:pPr>
              <w:pStyle w:val="TableBodyText"/>
            </w:pPr>
            <w:r>
              <w:t>Clause 15.1 (f)</w:t>
            </w:r>
          </w:p>
        </w:tc>
        <w:tc>
          <w:tcPr>
            <w:tcW w:w="1695" w:type="dxa"/>
          </w:tcPr>
          <w:p w14:paraId="648A6E20" w14:textId="3D60EE65" w:rsidR="009172C0" w:rsidRDefault="009172C0" w:rsidP="00370DFE">
            <w:pPr>
              <w:pStyle w:val="TableBodyText"/>
            </w:pPr>
            <w:r>
              <w:t>Clause 14.1 (f)</w:t>
            </w:r>
          </w:p>
        </w:tc>
        <w:tc>
          <w:tcPr>
            <w:tcW w:w="1459" w:type="dxa"/>
          </w:tcPr>
          <w:p w14:paraId="2DAFB8D6" w14:textId="11BD4138" w:rsidR="009172C0" w:rsidRDefault="009172C0" w:rsidP="00370DFE">
            <w:pPr>
              <w:pStyle w:val="TableBodyText"/>
            </w:pPr>
            <w:r>
              <w:t>Clause 15.1 (f)</w:t>
            </w:r>
          </w:p>
        </w:tc>
        <w:tc>
          <w:tcPr>
            <w:tcW w:w="1551" w:type="dxa"/>
          </w:tcPr>
          <w:p w14:paraId="4952C335" w14:textId="7CD3B6EF" w:rsidR="009172C0" w:rsidRDefault="009172C0" w:rsidP="00370DFE">
            <w:pPr>
              <w:pStyle w:val="TableBodyText"/>
            </w:pPr>
            <w:r>
              <w:t>Clause 15.1 (f)</w:t>
            </w:r>
          </w:p>
        </w:tc>
      </w:tr>
      <w:tr w:rsidR="009172C0" w:rsidRPr="00F6016D" w14:paraId="27C41A7A" w14:textId="77777777" w:rsidTr="009172C0">
        <w:tc>
          <w:tcPr>
            <w:tcW w:w="1621" w:type="dxa"/>
          </w:tcPr>
          <w:p w14:paraId="28360BBD" w14:textId="28BC160B" w:rsidR="009172C0" w:rsidRDefault="009172C0" w:rsidP="00E757F8">
            <w:pPr>
              <w:pStyle w:val="TableBodyText"/>
              <w:keepNext/>
              <w:keepLines/>
            </w:pPr>
            <w:r>
              <w:t>Volume of water made available to PEHs from seasonal determinations (on 1 June 2021)</w:t>
            </w:r>
          </w:p>
        </w:tc>
        <w:tc>
          <w:tcPr>
            <w:tcW w:w="1610" w:type="dxa"/>
          </w:tcPr>
          <w:p w14:paraId="3C6D2C53" w14:textId="5944987A" w:rsidR="009172C0" w:rsidRDefault="00370DFE" w:rsidP="00E757F8">
            <w:pPr>
              <w:pStyle w:val="TableBodyText"/>
              <w:keepNext/>
              <w:keepLines/>
            </w:pPr>
            <w:r>
              <w:t>N/A</w:t>
            </w:r>
          </w:p>
        </w:tc>
        <w:tc>
          <w:tcPr>
            <w:tcW w:w="1695" w:type="dxa"/>
          </w:tcPr>
          <w:p w14:paraId="1BB9F5F3" w14:textId="0946BCED" w:rsidR="009172C0" w:rsidRDefault="009172C0" w:rsidP="00E757F8">
            <w:pPr>
              <w:pStyle w:val="TableBodyText"/>
              <w:keepNext/>
              <w:keepLines/>
            </w:pPr>
            <w:r>
              <w:t>Greater Yarra System – Thomson River Pool</w:t>
            </w:r>
            <w:r w:rsidR="006B2667">
              <w:t xml:space="preserve"> </w:t>
            </w:r>
            <w:hyperlink w:anchor="Note4AppC" w:history="1">
              <w:r w:rsidR="006B2667" w:rsidRPr="006B2667">
                <w:rPr>
                  <w:rStyle w:val="Hyperlink"/>
                </w:rPr>
                <w:t>note 4</w:t>
              </w:r>
            </w:hyperlink>
            <w:r>
              <w:t xml:space="preserve"> 115,337 ML (City West Water)</w:t>
            </w:r>
          </w:p>
          <w:p w14:paraId="09B66A16" w14:textId="77777777" w:rsidR="009172C0" w:rsidRDefault="009172C0" w:rsidP="00E757F8">
            <w:pPr>
              <w:pStyle w:val="TableBodyText"/>
              <w:keepNext/>
              <w:keepLines/>
            </w:pPr>
            <w:r>
              <w:t>155,709 ML (South East Water)</w:t>
            </w:r>
          </w:p>
          <w:p w14:paraId="3F8B1CE7" w14:textId="77777777" w:rsidR="009172C0" w:rsidRDefault="009172C0" w:rsidP="00E757F8">
            <w:pPr>
              <w:pStyle w:val="TableBodyText"/>
              <w:keepNext/>
              <w:keepLines/>
            </w:pPr>
            <w:r>
              <w:t>165,896 ML (Yarra Valley Water)</w:t>
            </w:r>
          </w:p>
          <w:p w14:paraId="720D345E" w14:textId="77777777" w:rsidR="009172C0" w:rsidRDefault="009172C0" w:rsidP="00E757F8">
            <w:pPr>
              <w:pStyle w:val="TableBodyText"/>
              <w:keepNext/>
              <w:keepLines/>
            </w:pPr>
            <w:r>
              <w:t>12,078 ML (Barwon Water)</w:t>
            </w:r>
          </w:p>
          <w:p w14:paraId="3AF068B1" w14:textId="77777777" w:rsidR="009172C0" w:rsidRDefault="009172C0" w:rsidP="00E757F8">
            <w:pPr>
              <w:pStyle w:val="TableBodyText"/>
              <w:keepNext/>
              <w:keepLines/>
            </w:pPr>
            <w:r>
              <w:t>755 ML (South Gippsland Water)</w:t>
            </w:r>
          </w:p>
          <w:p w14:paraId="5AAD6BD1" w14:textId="77777777" w:rsidR="009172C0" w:rsidRDefault="009172C0" w:rsidP="00E757F8">
            <w:pPr>
              <w:pStyle w:val="TableBodyText"/>
              <w:keepNext/>
              <w:keepLines/>
            </w:pPr>
            <w:r>
              <w:t>755 ML (Westernport Water)</w:t>
            </w:r>
          </w:p>
          <w:p w14:paraId="434A3DC0" w14:textId="51D7B0FB" w:rsidR="009172C0" w:rsidRDefault="009172C0" w:rsidP="00E757F8">
            <w:pPr>
              <w:pStyle w:val="TableBodyText"/>
              <w:keepNext/>
              <w:keepLines/>
            </w:pPr>
            <w:r>
              <w:t>13,776 ML (Western Water)</w:t>
            </w:r>
          </w:p>
        </w:tc>
        <w:tc>
          <w:tcPr>
            <w:tcW w:w="1695" w:type="dxa"/>
          </w:tcPr>
          <w:p w14:paraId="122FC12D" w14:textId="5E3326B2" w:rsidR="009172C0" w:rsidRDefault="009172C0" w:rsidP="00E757F8">
            <w:pPr>
              <w:pStyle w:val="TableBodyText"/>
              <w:keepNext/>
              <w:keepLines/>
            </w:pPr>
            <w:r>
              <w:t>N/A</w:t>
            </w:r>
          </w:p>
        </w:tc>
        <w:tc>
          <w:tcPr>
            <w:tcW w:w="1459" w:type="dxa"/>
          </w:tcPr>
          <w:p w14:paraId="4D128755" w14:textId="262A99C5" w:rsidR="009172C0" w:rsidRDefault="009172C0" w:rsidP="00E757F8">
            <w:pPr>
              <w:pStyle w:val="TableBodyText"/>
              <w:keepNext/>
              <w:keepLines/>
            </w:pPr>
            <w:r>
              <w:t>N/A</w:t>
            </w:r>
          </w:p>
        </w:tc>
        <w:tc>
          <w:tcPr>
            <w:tcW w:w="1551" w:type="dxa"/>
          </w:tcPr>
          <w:p w14:paraId="5ADE9341" w14:textId="5B2AB853" w:rsidR="009172C0" w:rsidRDefault="009172C0" w:rsidP="00E757F8">
            <w:pPr>
              <w:pStyle w:val="TableBodyText"/>
              <w:keepNext/>
              <w:keepLines/>
            </w:pPr>
            <w:r>
              <w:t>N/A</w:t>
            </w:r>
          </w:p>
        </w:tc>
      </w:tr>
      <w:tr w:rsidR="009172C0" w:rsidRPr="00F6016D" w14:paraId="2BB41E76" w14:textId="77777777" w:rsidTr="009172C0">
        <w:tc>
          <w:tcPr>
            <w:tcW w:w="1621" w:type="dxa"/>
          </w:tcPr>
          <w:p w14:paraId="16091A92" w14:textId="4BFAB169" w:rsidR="009172C0" w:rsidRDefault="009172C0" w:rsidP="00370DFE">
            <w:pPr>
              <w:pStyle w:val="TableBodyText"/>
            </w:pPr>
            <w:r>
              <w:t>Any new bulk entitlement of water granted</w:t>
            </w:r>
          </w:p>
        </w:tc>
        <w:tc>
          <w:tcPr>
            <w:tcW w:w="1610" w:type="dxa"/>
          </w:tcPr>
          <w:p w14:paraId="764D1280" w14:textId="18636486" w:rsidR="009172C0" w:rsidRDefault="009172C0" w:rsidP="00370DFE">
            <w:pPr>
              <w:pStyle w:val="TableBodyText"/>
            </w:pPr>
            <w:r>
              <w:t>N/A</w:t>
            </w:r>
          </w:p>
        </w:tc>
        <w:tc>
          <w:tcPr>
            <w:tcW w:w="1695" w:type="dxa"/>
          </w:tcPr>
          <w:p w14:paraId="785568A2" w14:textId="77777777" w:rsidR="009172C0" w:rsidRDefault="009172C0" w:rsidP="00370DFE">
            <w:pPr>
              <w:pStyle w:val="TableBodyText"/>
            </w:pPr>
            <w:r>
              <w:t>Clause 15.1 (g)</w:t>
            </w:r>
          </w:p>
          <w:p w14:paraId="05CBB2F0" w14:textId="28613568" w:rsidR="009172C0" w:rsidRDefault="009172C0" w:rsidP="00370DFE">
            <w:pPr>
              <w:pStyle w:val="TableBodyText"/>
            </w:pPr>
            <w:r>
              <w:t>Nil</w:t>
            </w:r>
          </w:p>
        </w:tc>
        <w:tc>
          <w:tcPr>
            <w:tcW w:w="1695" w:type="dxa"/>
          </w:tcPr>
          <w:p w14:paraId="5985ED42" w14:textId="77777777" w:rsidR="009172C0" w:rsidRDefault="009172C0" w:rsidP="00370DFE">
            <w:pPr>
              <w:pStyle w:val="TableBodyText"/>
            </w:pPr>
            <w:r>
              <w:t>Clause 14.1 (g)</w:t>
            </w:r>
          </w:p>
          <w:p w14:paraId="729C4D2B" w14:textId="1529A108" w:rsidR="009172C0" w:rsidRDefault="009172C0" w:rsidP="00370DFE">
            <w:pPr>
              <w:pStyle w:val="TableBodyText"/>
            </w:pPr>
            <w:r>
              <w:t>Nil</w:t>
            </w:r>
          </w:p>
        </w:tc>
        <w:tc>
          <w:tcPr>
            <w:tcW w:w="1459" w:type="dxa"/>
          </w:tcPr>
          <w:p w14:paraId="7FF7CA01" w14:textId="77777777" w:rsidR="009172C0" w:rsidRDefault="009172C0" w:rsidP="00370DFE">
            <w:pPr>
              <w:pStyle w:val="TableBodyText"/>
            </w:pPr>
            <w:r>
              <w:t>Clause 15.1 (g)</w:t>
            </w:r>
          </w:p>
          <w:p w14:paraId="71495C5C" w14:textId="79225D70" w:rsidR="009172C0" w:rsidRDefault="009172C0" w:rsidP="00370DFE">
            <w:pPr>
              <w:pStyle w:val="TableBodyText"/>
            </w:pPr>
            <w:r>
              <w:t>Nil</w:t>
            </w:r>
          </w:p>
        </w:tc>
        <w:tc>
          <w:tcPr>
            <w:tcW w:w="1551" w:type="dxa"/>
          </w:tcPr>
          <w:p w14:paraId="5111ADEF" w14:textId="77777777" w:rsidR="009172C0" w:rsidRDefault="009172C0" w:rsidP="00370DFE">
            <w:pPr>
              <w:pStyle w:val="TableBodyText"/>
            </w:pPr>
            <w:r>
              <w:t>Clause 15.1 (g)</w:t>
            </w:r>
          </w:p>
          <w:p w14:paraId="26692B70" w14:textId="44B7C439" w:rsidR="009172C0" w:rsidRDefault="009172C0" w:rsidP="00370DFE">
            <w:pPr>
              <w:pStyle w:val="TableBodyText"/>
            </w:pPr>
            <w:r>
              <w:t>Nil</w:t>
            </w:r>
          </w:p>
        </w:tc>
      </w:tr>
      <w:tr w:rsidR="009172C0" w:rsidRPr="00F6016D" w14:paraId="59D22347" w14:textId="77777777" w:rsidTr="009172C0">
        <w:tc>
          <w:tcPr>
            <w:tcW w:w="1621" w:type="dxa"/>
          </w:tcPr>
          <w:p w14:paraId="4AC941AA" w14:textId="1C3588EE" w:rsidR="009172C0" w:rsidRDefault="009172C0" w:rsidP="00370DFE">
            <w:pPr>
              <w:pStyle w:val="TableBodyText"/>
            </w:pPr>
            <w:r>
              <w:t>Any failures to comply with this bulk entitlement and any remedial action</w:t>
            </w:r>
          </w:p>
        </w:tc>
        <w:tc>
          <w:tcPr>
            <w:tcW w:w="1610" w:type="dxa"/>
          </w:tcPr>
          <w:p w14:paraId="25E90654" w14:textId="503F083D" w:rsidR="009172C0" w:rsidRDefault="009172C0" w:rsidP="00370DFE">
            <w:pPr>
              <w:pStyle w:val="TableBodyText"/>
            </w:pPr>
            <w:r>
              <w:t>N/A</w:t>
            </w:r>
          </w:p>
        </w:tc>
        <w:tc>
          <w:tcPr>
            <w:tcW w:w="1695" w:type="dxa"/>
          </w:tcPr>
          <w:p w14:paraId="79872268" w14:textId="77777777" w:rsidR="009172C0" w:rsidRDefault="009172C0" w:rsidP="00370DFE">
            <w:pPr>
              <w:pStyle w:val="TableBodyText"/>
            </w:pPr>
            <w:r>
              <w:t>Clause 15.1(h)</w:t>
            </w:r>
          </w:p>
          <w:p w14:paraId="77A489BF" w14:textId="5A49665D" w:rsidR="009172C0" w:rsidRDefault="009172C0" w:rsidP="00370DFE">
            <w:pPr>
              <w:pStyle w:val="TableBodyText"/>
            </w:pPr>
            <w:r>
              <w:t>Nil</w:t>
            </w:r>
          </w:p>
        </w:tc>
        <w:tc>
          <w:tcPr>
            <w:tcW w:w="1695" w:type="dxa"/>
          </w:tcPr>
          <w:p w14:paraId="3DFB7910" w14:textId="77777777" w:rsidR="009172C0" w:rsidRDefault="009172C0" w:rsidP="00370DFE">
            <w:pPr>
              <w:pStyle w:val="TableBodyText"/>
            </w:pPr>
            <w:r>
              <w:t>Clause 14.1 (h)</w:t>
            </w:r>
          </w:p>
          <w:p w14:paraId="7E455E4B" w14:textId="6ECE6C66" w:rsidR="009172C0" w:rsidRDefault="009172C0" w:rsidP="00370DFE">
            <w:pPr>
              <w:pStyle w:val="TableBodyText"/>
            </w:pPr>
            <w:r>
              <w:t>Nil</w:t>
            </w:r>
          </w:p>
        </w:tc>
        <w:tc>
          <w:tcPr>
            <w:tcW w:w="1459" w:type="dxa"/>
          </w:tcPr>
          <w:p w14:paraId="44FF51E7" w14:textId="77777777" w:rsidR="009172C0" w:rsidRDefault="009172C0" w:rsidP="00370DFE">
            <w:pPr>
              <w:pStyle w:val="TableBodyText"/>
            </w:pPr>
            <w:r>
              <w:t>Clause 15.1 (h)</w:t>
            </w:r>
          </w:p>
          <w:p w14:paraId="463F5177" w14:textId="1F8204E8" w:rsidR="009172C0" w:rsidRDefault="009172C0" w:rsidP="00370DFE">
            <w:pPr>
              <w:pStyle w:val="TableBodyText"/>
            </w:pPr>
            <w:r>
              <w:t>Nil</w:t>
            </w:r>
          </w:p>
        </w:tc>
        <w:tc>
          <w:tcPr>
            <w:tcW w:w="1551" w:type="dxa"/>
          </w:tcPr>
          <w:p w14:paraId="1199FE84" w14:textId="77777777" w:rsidR="009172C0" w:rsidRDefault="009172C0" w:rsidP="00370DFE">
            <w:pPr>
              <w:pStyle w:val="TableBodyText"/>
            </w:pPr>
            <w:r>
              <w:t>Clause 15.1 (h)</w:t>
            </w:r>
          </w:p>
          <w:p w14:paraId="06252391" w14:textId="0297EDEA" w:rsidR="009172C0" w:rsidRDefault="009172C0" w:rsidP="00370DFE">
            <w:pPr>
              <w:pStyle w:val="TableBodyText"/>
            </w:pPr>
            <w:r>
              <w:t>Nil</w:t>
            </w:r>
          </w:p>
        </w:tc>
      </w:tr>
      <w:tr w:rsidR="009172C0" w:rsidRPr="00F6016D" w14:paraId="2440FA8B" w14:textId="77777777" w:rsidTr="009172C0">
        <w:tc>
          <w:tcPr>
            <w:tcW w:w="1621" w:type="dxa"/>
          </w:tcPr>
          <w:p w14:paraId="2C4C00CC" w14:textId="31A7B82C" w:rsidR="009172C0" w:rsidRDefault="009172C0" w:rsidP="00370DFE">
            <w:pPr>
              <w:pStyle w:val="TableBodyText"/>
            </w:pPr>
            <w:r>
              <w:t>Any difficulties experienced in complying with this bulk entitlement and any remedial</w:t>
            </w:r>
            <w:r w:rsidR="006B2667">
              <w:t xml:space="preserve"> </w:t>
            </w:r>
            <w:r>
              <w:t>action</w:t>
            </w:r>
          </w:p>
        </w:tc>
        <w:tc>
          <w:tcPr>
            <w:tcW w:w="1610" w:type="dxa"/>
          </w:tcPr>
          <w:p w14:paraId="7AC74AFA" w14:textId="1A523B8B" w:rsidR="009172C0" w:rsidRDefault="009172C0" w:rsidP="00370DFE">
            <w:pPr>
              <w:pStyle w:val="TableBodyText"/>
            </w:pPr>
            <w:r>
              <w:t>N/A</w:t>
            </w:r>
          </w:p>
        </w:tc>
        <w:tc>
          <w:tcPr>
            <w:tcW w:w="1695" w:type="dxa"/>
          </w:tcPr>
          <w:p w14:paraId="054C32D6" w14:textId="77777777" w:rsidR="009172C0" w:rsidRDefault="009172C0" w:rsidP="00370DFE">
            <w:pPr>
              <w:pStyle w:val="TableBodyText"/>
            </w:pPr>
            <w:r>
              <w:t>Clause 15.1 (i)</w:t>
            </w:r>
          </w:p>
          <w:p w14:paraId="4A9453DA" w14:textId="4F9361B1" w:rsidR="009172C0" w:rsidRDefault="009172C0" w:rsidP="00370DFE">
            <w:pPr>
              <w:pStyle w:val="TableBodyText"/>
            </w:pPr>
            <w:r>
              <w:t>Nil</w:t>
            </w:r>
          </w:p>
        </w:tc>
        <w:tc>
          <w:tcPr>
            <w:tcW w:w="1695" w:type="dxa"/>
          </w:tcPr>
          <w:p w14:paraId="76913359" w14:textId="77777777" w:rsidR="009172C0" w:rsidRDefault="009172C0" w:rsidP="00370DFE">
            <w:pPr>
              <w:pStyle w:val="TableBodyText"/>
            </w:pPr>
            <w:r>
              <w:t>Clause 14.1 (i)</w:t>
            </w:r>
          </w:p>
          <w:p w14:paraId="3761B5ED" w14:textId="5F97333D" w:rsidR="009172C0" w:rsidRDefault="009172C0" w:rsidP="00370DFE">
            <w:pPr>
              <w:pStyle w:val="TableBodyText"/>
            </w:pPr>
            <w:r>
              <w:t>Nil</w:t>
            </w:r>
          </w:p>
        </w:tc>
        <w:tc>
          <w:tcPr>
            <w:tcW w:w="1459" w:type="dxa"/>
          </w:tcPr>
          <w:p w14:paraId="2624D3D6" w14:textId="77777777" w:rsidR="009172C0" w:rsidRDefault="009172C0" w:rsidP="00370DFE">
            <w:pPr>
              <w:pStyle w:val="TableBodyText"/>
            </w:pPr>
            <w:r>
              <w:t>Clause 15.1 (i)</w:t>
            </w:r>
          </w:p>
          <w:p w14:paraId="3A8D15DF" w14:textId="7C04C911" w:rsidR="009172C0" w:rsidRDefault="009172C0" w:rsidP="00370DFE">
            <w:pPr>
              <w:pStyle w:val="TableBodyText"/>
            </w:pPr>
            <w:r>
              <w:t>Nil</w:t>
            </w:r>
          </w:p>
        </w:tc>
        <w:tc>
          <w:tcPr>
            <w:tcW w:w="1551" w:type="dxa"/>
          </w:tcPr>
          <w:p w14:paraId="56B9B9D9" w14:textId="77777777" w:rsidR="009172C0" w:rsidRDefault="009172C0" w:rsidP="00370DFE">
            <w:pPr>
              <w:pStyle w:val="TableBodyText"/>
            </w:pPr>
            <w:r>
              <w:t>Clause 15.1 (i)</w:t>
            </w:r>
          </w:p>
          <w:p w14:paraId="518CDE82" w14:textId="0FF31FD0" w:rsidR="009172C0" w:rsidRDefault="009172C0" w:rsidP="00370DFE">
            <w:pPr>
              <w:pStyle w:val="TableBodyText"/>
            </w:pPr>
            <w:r>
              <w:t>N</w:t>
            </w:r>
            <w:r w:rsidR="00EE6E22">
              <w:t>il</w:t>
            </w:r>
          </w:p>
        </w:tc>
      </w:tr>
      <w:tr w:rsidR="009172C0" w:rsidRPr="00F6016D" w14:paraId="126F9614" w14:textId="77777777" w:rsidTr="009172C0">
        <w:tc>
          <w:tcPr>
            <w:tcW w:w="1621" w:type="dxa"/>
          </w:tcPr>
          <w:p w14:paraId="7E9FCD01" w14:textId="3E8553EE" w:rsidR="009172C0" w:rsidRDefault="009172C0" w:rsidP="00370DFE">
            <w:pPr>
              <w:pStyle w:val="TableBodyText"/>
            </w:pPr>
            <w:r>
              <w:t>Any other matters as required by the Minister</w:t>
            </w:r>
          </w:p>
        </w:tc>
        <w:tc>
          <w:tcPr>
            <w:tcW w:w="1610" w:type="dxa"/>
          </w:tcPr>
          <w:p w14:paraId="53889F7D" w14:textId="44833A2C" w:rsidR="009172C0" w:rsidRDefault="00EE6E22" w:rsidP="00370DFE">
            <w:pPr>
              <w:pStyle w:val="TableBodyText"/>
            </w:pPr>
            <w:r>
              <w:t>N/A</w:t>
            </w:r>
          </w:p>
        </w:tc>
        <w:tc>
          <w:tcPr>
            <w:tcW w:w="1695" w:type="dxa"/>
          </w:tcPr>
          <w:p w14:paraId="0A0F5F04" w14:textId="77777777" w:rsidR="009172C0" w:rsidRDefault="00EE6E22" w:rsidP="00370DFE">
            <w:pPr>
              <w:pStyle w:val="TableBodyText"/>
            </w:pPr>
            <w:r>
              <w:t>Clause 15.1 (j)</w:t>
            </w:r>
          </w:p>
          <w:p w14:paraId="3B5B6FA1" w14:textId="1FD8D3EC" w:rsidR="00EE6E22" w:rsidRDefault="00EE6E22" w:rsidP="00370DFE">
            <w:pPr>
              <w:pStyle w:val="TableBodyText"/>
            </w:pPr>
            <w:r>
              <w:t>Nil</w:t>
            </w:r>
          </w:p>
        </w:tc>
        <w:tc>
          <w:tcPr>
            <w:tcW w:w="1695" w:type="dxa"/>
          </w:tcPr>
          <w:p w14:paraId="11A59543" w14:textId="77777777" w:rsidR="009172C0" w:rsidRDefault="00EE6E22" w:rsidP="00370DFE">
            <w:pPr>
              <w:pStyle w:val="TableBodyText"/>
            </w:pPr>
            <w:r>
              <w:t>Clause 13.1 (j)</w:t>
            </w:r>
          </w:p>
          <w:p w14:paraId="3DD63893" w14:textId="636B4184" w:rsidR="00EE6E22" w:rsidRDefault="00EE6E22" w:rsidP="00370DFE">
            <w:pPr>
              <w:pStyle w:val="TableBodyText"/>
            </w:pPr>
            <w:r>
              <w:t>Nil</w:t>
            </w:r>
          </w:p>
        </w:tc>
        <w:tc>
          <w:tcPr>
            <w:tcW w:w="1459" w:type="dxa"/>
          </w:tcPr>
          <w:p w14:paraId="6029F0CB" w14:textId="77777777" w:rsidR="009172C0" w:rsidRDefault="00EE6E22" w:rsidP="00370DFE">
            <w:pPr>
              <w:pStyle w:val="TableBodyText"/>
            </w:pPr>
            <w:r>
              <w:t>Clause 15.1 (j)</w:t>
            </w:r>
          </w:p>
          <w:p w14:paraId="5E452502" w14:textId="0689251D" w:rsidR="00EE6E22" w:rsidRDefault="00EE6E22" w:rsidP="00370DFE">
            <w:pPr>
              <w:pStyle w:val="TableBodyText"/>
            </w:pPr>
            <w:r>
              <w:t>Nil</w:t>
            </w:r>
          </w:p>
        </w:tc>
        <w:tc>
          <w:tcPr>
            <w:tcW w:w="1551" w:type="dxa"/>
          </w:tcPr>
          <w:p w14:paraId="48981652" w14:textId="77777777" w:rsidR="009172C0" w:rsidRDefault="00EE6E22" w:rsidP="00370DFE">
            <w:pPr>
              <w:pStyle w:val="TableBodyText"/>
            </w:pPr>
            <w:r>
              <w:t>Clause 15.1 (j)</w:t>
            </w:r>
          </w:p>
          <w:p w14:paraId="1DA9B41E" w14:textId="55E06764" w:rsidR="00EE6E22" w:rsidRDefault="00EE6E22" w:rsidP="00370DFE">
            <w:pPr>
              <w:pStyle w:val="TableBodyText"/>
            </w:pPr>
            <w:r>
              <w:t>Nil</w:t>
            </w:r>
          </w:p>
        </w:tc>
      </w:tr>
    </w:tbl>
    <w:p w14:paraId="6293BB26" w14:textId="7468BB8E" w:rsidR="00EE6E22" w:rsidRDefault="00EE6E22" w:rsidP="00EE6E22">
      <w:pPr>
        <w:pStyle w:val="BodyText"/>
      </w:pPr>
      <w:bookmarkStart w:id="1402" w:name="NoteAppC"/>
      <w:r>
        <w:t xml:space="preserve">(a) </w:t>
      </w:r>
      <w:bookmarkEnd w:id="1402"/>
      <w:r>
        <w:t>Total inflows for each of Melbourne Water’s bulk entitlements include inflows to reservoir(s) and diversions from weirs available to Melbourne Water under its bulk entitlements.</w:t>
      </w:r>
    </w:p>
    <w:p w14:paraId="587F8C1A" w14:textId="77777777" w:rsidR="00EE6E22" w:rsidRDefault="00EE6E22" w:rsidP="00EE6E22">
      <w:pPr>
        <w:pStyle w:val="BodyText"/>
      </w:pPr>
      <w:bookmarkStart w:id="1403" w:name="NotebAppC"/>
      <w:r>
        <w:t xml:space="preserve">(b) </w:t>
      </w:r>
      <w:bookmarkEnd w:id="1403"/>
      <w:r>
        <w:t>Total storage volumes are as at 30 June 2021 for all reservoirs defined in each of Melbourne Water’s bulk entitlements.</w:t>
      </w:r>
    </w:p>
    <w:p w14:paraId="61FDDF6C" w14:textId="61F3C796" w:rsidR="002E008B" w:rsidRDefault="00EE6E22" w:rsidP="00EE6E22">
      <w:pPr>
        <w:pStyle w:val="BodyText"/>
      </w:pPr>
      <w:bookmarkStart w:id="1404" w:name="NotecAppC"/>
      <w:r>
        <w:t xml:space="preserve">(c) </w:t>
      </w:r>
      <w:bookmarkEnd w:id="1404"/>
      <w:r>
        <w:t>Total outflows are the volume of water diverted or released under each of Melbourne Water’s bulk entitlements for consumptive and operational purposes. It excludes spills from reservoirs.</w:t>
      </w:r>
    </w:p>
    <w:p w14:paraId="6763B3F1" w14:textId="77777777" w:rsidR="00EE6E22" w:rsidRDefault="00EE6E22" w:rsidP="00EE6E22">
      <w:pPr>
        <w:pStyle w:val="Heading3"/>
      </w:pPr>
      <w:bookmarkStart w:id="1405" w:name="_Toc89723183"/>
      <w:bookmarkStart w:id="1406" w:name="_Toc90326125"/>
      <w:bookmarkStart w:id="1407" w:name="_Toc93659531"/>
      <w:r>
        <w:lastRenderedPageBreak/>
        <w:t>Notes for compliance with Bulk Entitlements</w:t>
      </w:r>
      <w:bookmarkEnd w:id="1405"/>
      <w:bookmarkEnd w:id="1406"/>
      <w:bookmarkEnd w:id="1407"/>
    </w:p>
    <w:p w14:paraId="76FB0248" w14:textId="77777777" w:rsidR="00EE6E22" w:rsidRDefault="00EE6E22" w:rsidP="00EE6E22">
      <w:pPr>
        <w:pStyle w:val="Heading4"/>
      </w:pPr>
      <w:r>
        <w:t>Combined Yarra River, Silver and Wallaby creeks, Thomson River</w:t>
      </w:r>
    </w:p>
    <w:p w14:paraId="16938D47" w14:textId="4E326E52" w:rsidR="00EE6E22" w:rsidRDefault="00EE6E22" w:rsidP="00AD7993">
      <w:pPr>
        <w:pStyle w:val="ListNumber"/>
        <w:numPr>
          <w:ilvl w:val="0"/>
          <w:numId w:val="10"/>
        </w:numPr>
      </w:pPr>
      <w:bookmarkStart w:id="1408" w:name="Note1AppC"/>
      <w:r>
        <w:t>This is the volume diverted in 2020-21.</w:t>
      </w:r>
    </w:p>
    <w:bookmarkEnd w:id="1408"/>
    <w:p w14:paraId="359F9FDB" w14:textId="77777777" w:rsidR="00EE6E22" w:rsidRDefault="00EE6E22" w:rsidP="00EE6E22">
      <w:pPr>
        <w:pStyle w:val="Heading4"/>
      </w:pPr>
      <w:r>
        <w:t>Yarra River</w:t>
      </w:r>
    </w:p>
    <w:p w14:paraId="47C45DD7" w14:textId="76B968D0" w:rsidR="00EE6E22" w:rsidRDefault="00EE6E22" w:rsidP="00EE6E22">
      <w:pPr>
        <w:pStyle w:val="ListNumber"/>
      </w:pPr>
      <w:bookmarkStart w:id="1409" w:name="Note2Appc"/>
      <w:r>
        <w:t>Melbourne Water holds the Bulk Entitlement (Yarra River – Melbourne Water) Order 2014 – WSE000185.</w:t>
      </w:r>
    </w:p>
    <w:p w14:paraId="081CEB10" w14:textId="47DD04FB" w:rsidR="00F6016D" w:rsidRDefault="00EE6E22" w:rsidP="00EE6E22">
      <w:pPr>
        <w:pStyle w:val="ListNumber"/>
      </w:pPr>
      <w:bookmarkStart w:id="1410" w:name="Note3AppC"/>
      <w:bookmarkEnd w:id="1409"/>
      <w:r>
        <w:t>This is the volume diverted in 2020-21.</w:t>
      </w:r>
    </w:p>
    <w:bookmarkEnd w:id="1410"/>
    <w:p w14:paraId="0756CF92" w14:textId="77777777" w:rsidR="00EE6E22" w:rsidRDefault="00EE6E22" w:rsidP="00EE6E22">
      <w:pPr>
        <w:pStyle w:val="Heading4"/>
      </w:pPr>
      <w:r>
        <w:t>Greater Yarra System – Thomson River Pool</w:t>
      </w:r>
    </w:p>
    <w:p w14:paraId="2865C57E" w14:textId="7D15D6AE" w:rsidR="00EE6E22" w:rsidRDefault="00EE6E22" w:rsidP="00EE6E22">
      <w:pPr>
        <w:pStyle w:val="ListNumber"/>
      </w:pPr>
      <w:bookmarkStart w:id="1411" w:name="Note4AppC"/>
      <w:r>
        <w:t>The Greater Yarra System – Thomson River Pool includes the following Bulk Entitlements held by Melbourne Water:</w:t>
      </w:r>
    </w:p>
    <w:bookmarkEnd w:id="1411"/>
    <w:p w14:paraId="6356481D" w14:textId="77777777" w:rsidR="00EE6E22" w:rsidRDefault="00EE6E22" w:rsidP="00480980">
      <w:pPr>
        <w:pStyle w:val="BodyText"/>
        <w:ind w:left="357"/>
      </w:pPr>
      <w:r>
        <w:t>a. Bulk Entitlement (Yarra River – Melbourne Water) Order 2014 – WSE000185</w:t>
      </w:r>
    </w:p>
    <w:p w14:paraId="00197C79" w14:textId="77777777" w:rsidR="00EE6E22" w:rsidRDefault="00EE6E22" w:rsidP="00480980">
      <w:pPr>
        <w:pStyle w:val="BodyText"/>
        <w:ind w:left="357"/>
      </w:pPr>
      <w:r>
        <w:t>b. Bulk Entitlement (Silver and Wallaby creeks – Melbourne Water) Order 2014 – WSE000018</w:t>
      </w:r>
    </w:p>
    <w:p w14:paraId="6CC8CBB3" w14:textId="77777777" w:rsidR="00EE6E22" w:rsidRDefault="00EE6E22" w:rsidP="00480980">
      <w:pPr>
        <w:pStyle w:val="BodyText"/>
        <w:ind w:left="357"/>
      </w:pPr>
      <w:r>
        <w:t>c. Bulk Entitlement (Tarago and Bunyip rivers – Melbourne Water) Order 2014 – WSE000041</w:t>
      </w:r>
    </w:p>
    <w:p w14:paraId="6E3B9680" w14:textId="77777777" w:rsidR="00EE6E22" w:rsidRDefault="00EE6E22" w:rsidP="00480980">
      <w:pPr>
        <w:pStyle w:val="BodyText"/>
        <w:ind w:left="357"/>
      </w:pPr>
      <w:r>
        <w:t>d. Bulk Entitlement (Thomson River – Melbourne Water) Order 2014 – WSE000168</w:t>
      </w:r>
    </w:p>
    <w:p w14:paraId="7F099984" w14:textId="77777777" w:rsidR="00EE6E22" w:rsidRDefault="00EE6E22" w:rsidP="00480980">
      <w:pPr>
        <w:pStyle w:val="Heading4"/>
      </w:pPr>
      <w:r>
        <w:t>Silver and Wallaby creeks (Goulburn Basin)</w:t>
      </w:r>
    </w:p>
    <w:p w14:paraId="50D30623" w14:textId="1B037C5F" w:rsidR="00EE6E22" w:rsidRDefault="00480980" w:rsidP="00C778D6">
      <w:pPr>
        <w:pStyle w:val="ListNumber"/>
      </w:pPr>
      <w:bookmarkStart w:id="1412" w:name="Note5AppC"/>
      <w:r>
        <w:t>M</w:t>
      </w:r>
      <w:r w:rsidR="00EE6E22">
        <w:t>elbourne Water holds the Bulk Entitlement (Silver and Wallaby creeks – Melbourne Water) Order 2014 – WSE000018.</w:t>
      </w:r>
    </w:p>
    <w:p w14:paraId="5CF21548" w14:textId="6A46CA86" w:rsidR="00EE6E22" w:rsidRDefault="00480980" w:rsidP="00C778D6">
      <w:pPr>
        <w:pStyle w:val="ListNumber"/>
      </w:pPr>
      <w:bookmarkStart w:id="1413" w:name="Note6AppC"/>
      <w:bookmarkEnd w:id="1412"/>
      <w:r>
        <w:t>C</w:t>
      </w:r>
      <w:r w:rsidR="00EE6E22">
        <w:t>ompliance with the three-year total diversion limit of 66,000 ML was assessed and confirmed using a three-year rolling</w:t>
      </w:r>
      <w:r>
        <w:t xml:space="preserve"> </w:t>
      </w:r>
      <w:r w:rsidR="00EE6E22">
        <w:t>total diversion.</w:t>
      </w:r>
    </w:p>
    <w:bookmarkEnd w:id="1413"/>
    <w:p w14:paraId="4E27472B" w14:textId="77777777" w:rsidR="00EE6E22" w:rsidRDefault="00EE6E22" w:rsidP="00480980">
      <w:pPr>
        <w:pStyle w:val="Heading4"/>
      </w:pPr>
      <w:r>
        <w:t>Thomson River</w:t>
      </w:r>
    </w:p>
    <w:p w14:paraId="23D4FAEC" w14:textId="44F014E2" w:rsidR="00EE6E22" w:rsidRDefault="00480980" w:rsidP="00C778D6">
      <w:pPr>
        <w:pStyle w:val="ListNumber"/>
      </w:pPr>
      <w:bookmarkStart w:id="1414" w:name="Note7AppC"/>
      <w:r>
        <w:t>M</w:t>
      </w:r>
      <w:r w:rsidR="00EE6E22">
        <w:t>elbourne Water holds the Bulk Entitlement (Thomson River – Melbourne Water) Order 2014 – WSE000168.</w:t>
      </w:r>
    </w:p>
    <w:p w14:paraId="02BEA196" w14:textId="47E29A6E" w:rsidR="00EE6E22" w:rsidRDefault="00480980" w:rsidP="00C778D6">
      <w:pPr>
        <w:pStyle w:val="ListNumber"/>
      </w:pPr>
      <w:bookmarkStart w:id="1415" w:name="Note8AppC"/>
      <w:bookmarkEnd w:id="1414"/>
      <w:r>
        <w:t>T</w:t>
      </w:r>
      <w:r w:rsidR="00EE6E22">
        <w:t>his is the volume diverted in 2020-21.</w:t>
      </w:r>
    </w:p>
    <w:bookmarkEnd w:id="1415"/>
    <w:p w14:paraId="6649AD5D" w14:textId="77777777" w:rsidR="00EE6E22" w:rsidRDefault="00EE6E22" w:rsidP="00480980">
      <w:pPr>
        <w:pStyle w:val="Heading4"/>
      </w:pPr>
      <w:r>
        <w:t>Tarago and Bunyip rivers</w:t>
      </w:r>
    </w:p>
    <w:p w14:paraId="38BA3519" w14:textId="2622D870" w:rsidR="00EE6E22" w:rsidRDefault="00480980" w:rsidP="00C778D6">
      <w:pPr>
        <w:pStyle w:val="ListNumber"/>
      </w:pPr>
      <w:bookmarkStart w:id="1416" w:name="Note9AppC"/>
      <w:r>
        <w:t>M</w:t>
      </w:r>
      <w:r w:rsidR="00EE6E22">
        <w:t>elbourne Water holds the Bulk Entitlement (Tarago and Bunyip rivers – Melbourne Water) Order 2014 – WSE000041.</w:t>
      </w:r>
    </w:p>
    <w:p w14:paraId="4C4085C3" w14:textId="6DD0F5C7" w:rsidR="00EE6E22" w:rsidRDefault="00480980" w:rsidP="00C778D6">
      <w:pPr>
        <w:pStyle w:val="ListNumber"/>
      </w:pPr>
      <w:bookmarkStart w:id="1417" w:name="Note10AppC"/>
      <w:bookmarkEnd w:id="1416"/>
      <w:r>
        <w:t>C</w:t>
      </w:r>
      <w:r w:rsidR="00EE6E22">
        <w:t>ompliance with the Tarago River long-term average diversion limit of 24,950 ML was assessed and confirmed using a five</w:t>
      </w:r>
      <w:r>
        <w:t>-</w:t>
      </w:r>
      <w:r w:rsidR="00EE6E22">
        <w:t>year</w:t>
      </w:r>
      <w:r>
        <w:t xml:space="preserve"> </w:t>
      </w:r>
      <w:r w:rsidR="00EE6E22">
        <w:t>rolling</w:t>
      </w:r>
      <w:r>
        <w:t xml:space="preserve"> </w:t>
      </w:r>
      <w:r w:rsidR="00EE6E22">
        <w:t>average annual</w:t>
      </w:r>
      <w:r>
        <w:t xml:space="preserve"> </w:t>
      </w:r>
      <w:r w:rsidR="00EE6E22">
        <w:t>diversion.</w:t>
      </w:r>
    </w:p>
    <w:p w14:paraId="39300F8F" w14:textId="1DF62928" w:rsidR="00F6016D" w:rsidRDefault="00480980" w:rsidP="00C778D6">
      <w:pPr>
        <w:pStyle w:val="ListNumber"/>
      </w:pPr>
      <w:bookmarkStart w:id="1418" w:name="Note11AppC"/>
      <w:bookmarkEnd w:id="1417"/>
      <w:r>
        <w:t>C</w:t>
      </w:r>
      <w:r w:rsidR="00EE6E22">
        <w:t>ompliance with the Bunyip River long-term average diversion limit of 5,560 ML was assessed and confirmed using a five-year rolling average annual diversion.</w:t>
      </w:r>
    </w:p>
    <w:p w14:paraId="1A086AE7" w14:textId="77777777" w:rsidR="006B2667" w:rsidRDefault="006B2667" w:rsidP="006B2667">
      <w:pPr>
        <w:pStyle w:val="Heading3"/>
      </w:pPr>
      <w:bookmarkStart w:id="1419" w:name="_Toc89723184"/>
      <w:bookmarkStart w:id="1420" w:name="_Toc90326126"/>
      <w:bookmarkStart w:id="1421" w:name="_Toc93659532"/>
      <w:bookmarkEnd w:id="1418"/>
      <w:r>
        <w:t>Melbourne Water’s Maribyrnong Bulk Entitlement</w:t>
      </w:r>
      <w:bookmarkEnd w:id="1419"/>
      <w:bookmarkEnd w:id="1420"/>
      <w:bookmarkEnd w:id="1421"/>
    </w:p>
    <w:p w14:paraId="4510C206" w14:textId="0F86929F" w:rsidR="006B2667" w:rsidRDefault="006B2667" w:rsidP="006B2667">
      <w:pPr>
        <w:pStyle w:val="BodyText"/>
      </w:pPr>
      <w:r>
        <w:t>Melbourne Water holds a Bulk Entitlement (WSE000117) to the water resources of the Maribyrnong Basin to supply irrigators diverting water from Jacksons Creek, downstream of Rosslynne Reservoir, and the Maribyrnong River between its confluence with Jacksons Creek and Shepherd Bridge.</w:t>
      </w:r>
    </w:p>
    <w:p w14:paraId="1CCD0D87" w14:textId="2EF0463C" w:rsidR="00F6016D" w:rsidRPr="006B2667" w:rsidRDefault="006B2667" w:rsidP="00E757F8">
      <w:pPr>
        <w:pStyle w:val="BodyText"/>
        <w:keepNext/>
        <w:keepLines/>
        <w:rPr>
          <w:rStyle w:val="Bold"/>
        </w:rPr>
      </w:pPr>
      <w:r w:rsidRPr="006B2667">
        <w:rPr>
          <w:rStyle w:val="Bold"/>
        </w:rPr>
        <w:lastRenderedPageBreak/>
        <w:t>Compliance with the Maribyrnong River Bulk Entitlement held by Melbourne Water</w:t>
      </w:r>
    </w:p>
    <w:tbl>
      <w:tblPr>
        <w:tblStyle w:val="TableGrid"/>
        <w:tblW w:w="0" w:type="auto"/>
        <w:tblLook w:val="04A0" w:firstRow="1" w:lastRow="0" w:firstColumn="1" w:lastColumn="0" w:noHBand="0" w:noVBand="1"/>
      </w:tblPr>
      <w:tblGrid>
        <w:gridCol w:w="4815"/>
        <w:gridCol w:w="4816"/>
      </w:tblGrid>
      <w:tr w:rsidR="008F3C5A" w:rsidRPr="0084658F" w14:paraId="325A4C69" w14:textId="77777777" w:rsidTr="008F3C5A">
        <w:trPr>
          <w:cnfStyle w:val="100000000000" w:firstRow="1" w:lastRow="0" w:firstColumn="0" w:lastColumn="0" w:oddVBand="0" w:evenVBand="0" w:oddHBand="0" w:evenHBand="0" w:firstRowFirstColumn="0" w:firstRowLastColumn="0" w:lastRowFirstColumn="0" w:lastRowLastColumn="0"/>
        </w:trPr>
        <w:tc>
          <w:tcPr>
            <w:tcW w:w="4815" w:type="dxa"/>
          </w:tcPr>
          <w:p w14:paraId="60FB70B2" w14:textId="54B7F9DA" w:rsidR="008F3C5A" w:rsidRPr="0084658F" w:rsidRDefault="008F3C5A" w:rsidP="00E757F8">
            <w:pPr>
              <w:pStyle w:val="TableBodyText"/>
              <w:keepNext/>
              <w:keepLines/>
              <w:rPr>
                <w:szCs w:val="20"/>
              </w:rPr>
            </w:pPr>
            <w:bookmarkStart w:id="1422" w:name="ColumnTitle_119"/>
            <w:r>
              <w:rPr>
                <w:szCs w:val="20"/>
              </w:rPr>
              <w:t>Decscription</w:t>
            </w:r>
          </w:p>
        </w:tc>
        <w:tc>
          <w:tcPr>
            <w:tcW w:w="4816" w:type="dxa"/>
          </w:tcPr>
          <w:p w14:paraId="291F5706" w14:textId="5230657E" w:rsidR="008F3C5A" w:rsidRPr="0084658F" w:rsidRDefault="008F3C5A" w:rsidP="00E757F8">
            <w:pPr>
              <w:pStyle w:val="TableBodyText"/>
              <w:keepNext/>
              <w:keepLines/>
              <w:rPr>
                <w:szCs w:val="20"/>
              </w:rPr>
            </w:pPr>
            <w:r>
              <w:rPr>
                <w:szCs w:val="20"/>
              </w:rPr>
              <w:t>Clause</w:t>
            </w:r>
          </w:p>
        </w:tc>
      </w:tr>
      <w:bookmarkEnd w:id="1422"/>
      <w:tr w:rsidR="008F3C5A" w:rsidRPr="0084658F" w14:paraId="7848D95D" w14:textId="77777777" w:rsidTr="008F3C5A">
        <w:tc>
          <w:tcPr>
            <w:tcW w:w="4815" w:type="dxa"/>
          </w:tcPr>
          <w:p w14:paraId="3D00F70B" w14:textId="010E1CFE" w:rsidR="008F3C5A" w:rsidRPr="0084658F" w:rsidRDefault="008F3C5A" w:rsidP="008F3C5A">
            <w:pPr>
              <w:pStyle w:val="TableBodyText"/>
              <w:keepNext/>
              <w:keepLines/>
              <w:rPr>
                <w:szCs w:val="20"/>
              </w:rPr>
            </w:pPr>
            <w:r w:rsidRPr="008F3C5A">
              <w:t>The volume of water taken by Melbourne Water to supply licence holders in 2020-21</w:t>
            </w:r>
          </w:p>
        </w:tc>
        <w:tc>
          <w:tcPr>
            <w:tcW w:w="4816" w:type="dxa"/>
          </w:tcPr>
          <w:p w14:paraId="69122601" w14:textId="157AEEEE" w:rsidR="008F3C5A" w:rsidRPr="0084658F" w:rsidRDefault="008F3C5A" w:rsidP="008F3C5A">
            <w:pPr>
              <w:pStyle w:val="TableBodyText"/>
              <w:keepNext/>
              <w:keepLines/>
              <w:rPr>
                <w:szCs w:val="20"/>
              </w:rPr>
            </w:pPr>
            <w:r w:rsidRPr="008F3C5A">
              <w:t>Clause 19.1 (b), 115 ML</w:t>
            </w:r>
          </w:p>
        </w:tc>
      </w:tr>
      <w:tr w:rsidR="008F3C5A" w:rsidRPr="0084658F" w14:paraId="3D44BB3E" w14:textId="77777777" w:rsidTr="008F3C5A">
        <w:tc>
          <w:tcPr>
            <w:tcW w:w="4815" w:type="dxa"/>
          </w:tcPr>
          <w:p w14:paraId="734FFBE0" w14:textId="2E5D536B" w:rsidR="008F3C5A" w:rsidRPr="0084658F" w:rsidRDefault="008F3C5A" w:rsidP="008F3C5A">
            <w:pPr>
              <w:pStyle w:val="TableBodyText"/>
              <w:keepNext/>
              <w:keepLines/>
              <w:rPr>
                <w:szCs w:val="20"/>
              </w:rPr>
            </w:pPr>
            <w:r w:rsidRPr="0084658F">
              <w:rPr>
                <w:szCs w:val="20"/>
              </w:rPr>
              <w:t>Compliance with the five-year rolling average annual bulk entitlement diversion limit of 1,096 ML</w:t>
            </w:r>
          </w:p>
        </w:tc>
        <w:tc>
          <w:tcPr>
            <w:tcW w:w="4816" w:type="dxa"/>
          </w:tcPr>
          <w:p w14:paraId="5E7EB077" w14:textId="5E9D74D6" w:rsidR="008F3C5A" w:rsidRPr="0084658F" w:rsidRDefault="008F3C5A" w:rsidP="008F3C5A">
            <w:pPr>
              <w:pStyle w:val="TableBodyText"/>
              <w:keepNext/>
              <w:keepLines/>
              <w:rPr>
                <w:szCs w:val="20"/>
              </w:rPr>
            </w:pPr>
            <w:r w:rsidRPr="0084658F">
              <w:rPr>
                <w:szCs w:val="20"/>
              </w:rPr>
              <w:t>328 ML</w:t>
            </w:r>
          </w:p>
        </w:tc>
      </w:tr>
      <w:tr w:rsidR="008F3C5A" w:rsidRPr="0084658F" w14:paraId="127DC7DA" w14:textId="77777777" w:rsidTr="008F3C5A">
        <w:tc>
          <w:tcPr>
            <w:tcW w:w="4815" w:type="dxa"/>
          </w:tcPr>
          <w:p w14:paraId="5AC040D5" w14:textId="4D6D2885" w:rsidR="008F3C5A" w:rsidRPr="0084658F" w:rsidRDefault="008F3C5A" w:rsidP="008F3C5A">
            <w:pPr>
              <w:pStyle w:val="TableBodyText"/>
              <w:keepNext/>
              <w:keepLines/>
              <w:rPr>
                <w:szCs w:val="20"/>
              </w:rPr>
            </w:pPr>
            <w:r w:rsidRPr="00FB5310">
              <w:rPr>
                <w:szCs w:val="20"/>
              </w:rPr>
              <w:t>Melbourne Water’s share of flow into Rosslynne Reservoir in 2020-21</w:t>
            </w:r>
          </w:p>
        </w:tc>
        <w:tc>
          <w:tcPr>
            <w:tcW w:w="4816" w:type="dxa"/>
          </w:tcPr>
          <w:p w14:paraId="1C841747" w14:textId="2BE215E6" w:rsidR="008F3C5A" w:rsidRPr="0084658F" w:rsidRDefault="008F3C5A" w:rsidP="008F3C5A">
            <w:pPr>
              <w:pStyle w:val="TableBodyText"/>
              <w:keepNext/>
              <w:keepLines/>
              <w:rPr>
                <w:szCs w:val="20"/>
              </w:rPr>
            </w:pPr>
            <w:r w:rsidRPr="0084658F">
              <w:rPr>
                <w:szCs w:val="20"/>
              </w:rPr>
              <w:t>Clause 19.1 (a.iii), 672 ML</w:t>
            </w:r>
          </w:p>
        </w:tc>
      </w:tr>
      <w:tr w:rsidR="008F3C5A" w:rsidRPr="0084658F" w14:paraId="46A0D96B" w14:textId="77777777" w:rsidTr="008F3C5A">
        <w:tc>
          <w:tcPr>
            <w:tcW w:w="4815" w:type="dxa"/>
          </w:tcPr>
          <w:p w14:paraId="7E68AD7D" w14:textId="3F187901" w:rsidR="008F3C5A" w:rsidRPr="0084658F" w:rsidRDefault="008F3C5A" w:rsidP="008F3C5A">
            <w:pPr>
              <w:pStyle w:val="TableBodyText"/>
              <w:keepNext/>
              <w:keepLines/>
              <w:rPr>
                <w:szCs w:val="20"/>
              </w:rPr>
            </w:pPr>
            <w:r w:rsidRPr="0084658F">
              <w:rPr>
                <w:szCs w:val="20"/>
              </w:rPr>
              <w:t>Melbourne Water’s share of storage volume in Rosslynne Reservoir at 30 June 2021</w:t>
            </w:r>
          </w:p>
        </w:tc>
        <w:tc>
          <w:tcPr>
            <w:tcW w:w="4816" w:type="dxa"/>
          </w:tcPr>
          <w:p w14:paraId="10D49690" w14:textId="2C3901B2" w:rsidR="008F3C5A" w:rsidRPr="0084658F" w:rsidRDefault="008F3C5A" w:rsidP="008F3C5A">
            <w:pPr>
              <w:pStyle w:val="TableBodyText"/>
              <w:keepNext/>
              <w:keepLines/>
              <w:rPr>
                <w:szCs w:val="20"/>
              </w:rPr>
            </w:pPr>
            <w:r w:rsidRPr="0084658F">
              <w:rPr>
                <w:szCs w:val="20"/>
              </w:rPr>
              <w:t>Clause 19.1 (a,ii), 754 ML</w:t>
            </w:r>
          </w:p>
        </w:tc>
      </w:tr>
      <w:tr w:rsidR="008F3C5A" w:rsidRPr="0084658F" w14:paraId="485B0CE3" w14:textId="77777777" w:rsidTr="008F3C5A">
        <w:tc>
          <w:tcPr>
            <w:tcW w:w="4815" w:type="dxa"/>
          </w:tcPr>
          <w:p w14:paraId="5646E091" w14:textId="5AF16C3F" w:rsidR="008F3C5A" w:rsidRPr="0084658F" w:rsidRDefault="008F3C5A" w:rsidP="008F3C5A">
            <w:pPr>
              <w:pStyle w:val="TableBodyText"/>
              <w:rPr>
                <w:szCs w:val="20"/>
              </w:rPr>
            </w:pPr>
            <w:r w:rsidRPr="0084658F">
              <w:rPr>
                <w:szCs w:val="20"/>
              </w:rPr>
              <w:t>Transfer and operating losses within the system</w:t>
            </w:r>
          </w:p>
        </w:tc>
        <w:tc>
          <w:tcPr>
            <w:tcW w:w="4816" w:type="dxa"/>
          </w:tcPr>
          <w:p w14:paraId="7821EBAC" w14:textId="64117C6A" w:rsidR="008F3C5A" w:rsidRPr="0084658F" w:rsidRDefault="008F3C5A" w:rsidP="008F3C5A">
            <w:pPr>
              <w:pStyle w:val="TableBodyText"/>
              <w:rPr>
                <w:szCs w:val="20"/>
              </w:rPr>
            </w:pPr>
            <w:r w:rsidRPr="0084658F">
              <w:rPr>
                <w:szCs w:val="20"/>
              </w:rPr>
              <w:t>Clause 19.1 (a,iv), 0 ML</w:t>
            </w:r>
          </w:p>
        </w:tc>
      </w:tr>
      <w:tr w:rsidR="008F3C5A" w:rsidRPr="0084658F" w14:paraId="0FF28053" w14:textId="77777777" w:rsidTr="008F3C5A">
        <w:tc>
          <w:tcPr>
            <w:tcW w:w="4815" w:type="dxa"/>
          </w:tcPr>
          <w:p w14:paraId="6FD27442" w14:textId="3EC10DA2" w:rsidR="008F3C5A" w:rsidRPr="0084658F" w:rsidRDefault="008F3C5A" w:rsidP="008F3C5A">
            <w:pPr>
              <w:pStyle w:val="TableBodyText"/>
              <w:rPr>
                <w:szCs w:val="20"/>
              </w:rPr>
            </w:pPr>
            <w:r w:rsidRPr="0084658F">
              <w:rPr>
                <w:szCs w:val="20"/>
              </w:rPr>
              <w:t>Releases made from Rosslynne Reservoir to supply licence holders in 2020-21</w:t>
            </w:r>
          </w:p>
        </w:tc>
        <w:tc>
          <w:tcPr>
            <w:tcW w:w="4816" w:type="dxa"/>
          </w:tcPr>
          <w:p w14:paraId="77C3070D" w14:textId="2E3FAFE4" w:rsidR="008F3C5A" w:rsidRPr="0084658F" w:rsidRDefault="008F3C5A" w:rsidP="008F3C5A">
            <w:pPr>
              <w:pStyle w:val="TableBodyText"/>
              <w:rPr>
                <w:szCs w:val="20"/>
              </w:rPr>
            </w:pPr>
            <w:r w:rsidRPr="0084658F">
              <w:rPr>
                <w:szCs w:val="20"/>
              </w:rPr>
              <w:t>Clause 19.1 (a,i), 0 ML</w:t>
            </w:r>
          </w:p>
        </w:tc>
      </w:tr>
      <w:tr w:rsidR="008F3C5A" w:rsidRPr="0084658F" w14:paraId="0CD3C9CB" w14:textId="77777777" w:rsidTr="008F3C5A">
        <w:tc>
          <w:tcPr>
            <w:tcW w:w="4815" w:type="dxa"/>
          </w:tcPr>
          <w:p w14:paraId="5672499B" w14:textId="49E0C244" w:rsidR="008F3C5A" w:rsidRPr="0084658F" w:rsidRDefault="008F3C5A" w:rsidP="008F3C5A">
            <w:pPr>
              <w:pStyle w:val="TableBodyText"/>
              <w:rPr>
                <w:szCs w:val="20"/>
              </w:rPr>
            </w:pPr>
            <w:r w:rsidRPr="0084658F">
              <w:rPr>
                <w:szCs w:val="20"/>
              </w:rPr>
              <w:t>Releases from Melbourne Water’s share of flow to meet minimum flows</w:t>
            </w:r>
          </w:p>
        </w:tc>
        <w:tc>
          <w:tcPr>
            <w:tcW w:w="4816" w:type="dxa"/>
          </w:tcPr>
          <w:p w14:paraId="797EB432" w14:textId="7760E91A" w:rsidR="008F3C5A" w:rsidRPr="0084658F" w:rsidRDefault="008F3C5A" w:rsidP="008F3C5A">
            <w:pPr>
              <w:pStyle w:val="TableBodyText"/>
              <w:rPr>
                <w:szCs w:val="20"/>
              </w:rPr>
            </w:pPr>
            <w:r w:rsidRPr="0084658F">
              <w:rPr>
                <w:szCs w:val="20"/>
              </w:rPr>
              <w:t>Clause 19.1 (a,v), 155 ML</w:t>
            </w:r>
          </w:p>
        </w:tc>
      </w:tr>
      <w:tr w:rsidR="008F3C5A" w:rsidRPr="0084658F" w14:paraId="5540AC15" w14:textId="77777777" w:rsidTr="008F3C5A">
        <w:tc>
          <w:tcPr>
            <w:tcW w:w="4815" w:type="dxa"/>
          </w:tcPr>
          <w:p w14:paraId="4F23BED2" w14:textId="248CD5A0" w:rsidR="008F3C5A" w:rsidRPr="0084658F" w:rsidRDefault="008F3C5A" w:rsidP="008F3C5A">
            <w:pPr>
              <w:pStyle w:val="TableBodyText"/>
              <w:rPr>
                <w:szCs w:val="20"/>
              </w:rPr>
            </w:pPr>
            <w:r w:rsidRPr="0084658F">
              <w:rPr>
                <w:szCs w:val="20"/>
              </w:rPr>
              <w:t>Any temporary or permanent transfers of the bulk entitlement</w:t>
            </w:r>
          </w:p>
        </w:tc>
        <w:tc>
          <w:tcPr>
            <w:tcW w:w="4816" w:type="dxa"/>
          </w:tcPr>
          <w:p w14:paraId="295C4E9D" w14:textId="2801B6D8" w:rsidR="008F3C5A" w:rsidRPr="0084658F" w:rsidRDefault="008F3C5A" w:rsidP="008F3C5A">
            <w:pPr>
              <w:pStyle w:val="TableBodyText"/>
              <w:rPr>
                <w:szCs w:val="20"/>
              </w:rPr>
            </w:pPr>
            <w:r w:rsidRPr="0084658F">
              <w:rPr>
                <w:szCs w:val="20"/>
              </w:rPr>
              <w:t>Clause 19.1 (c), nil</w:t>
            </w:r>
          </w:p>
        </w:tc>
      </w:tr>
      <w:tr w:rsidR="008F3C5A" w:rsidRPr="0084658F" w14:paraId="434C1FED" w14:textId="77777777" w:rsidTr="008F3C5A">
        <w:tc>
          <w:tcPr>
            <w:tcW w:w="4815" w:type="dxa"/>
          </w:tcPr>
          <w:p w14:paraId="6F02B0C6" w14:textId="59B652FD" w:rsidR="008F3C5A" w:rsidRPr="0084658F" w:rsidRDefault="008F3C5A" w:rsidP="008F3C5A">
            <w:pPr>
              <w:pStyle w:val="TableBodyText"/>
              <w:rPr>
                <w:szCs w:val="20"/>
              </w:rPr>
            </w:pPr>
            <w:r w:rsidRPr="0084658F">
              <w:rPr>
                <w:szCs w:val="20"/>
              </w:rPr>
              <w:t>Any temporary or permanent transfer of the bulk entitlement which may alter the flow in the waterway</w:t>
            </w:r>
          </w:p>
        </w:tc>
        <w:tc>
          <w:tcPr>
            <w:tcW w:w="4816" w:type="dxa"/>
          </w:tcPr>
          <w:p w14:paraId="55449670" w14:textId="49BA2402" w:rsidR="008F3C5A" w:rsidRPr="0084658F" w:rsidRDefault="008F3C5A" w:rsidP="008F3C5A">
            <w:pPr>
              <w:pStyle w:val="TableBodyText"/>
              <w:rPr>
                <w:szCs w:val="20"/>
              </w:rPr>
            </w:pPr>
            <w:r w:rsidRPr="0084658F">
              <w:rPr>
                <w:szCs w:val="20"/>
              </w:rPr>
              <w:t>Clause 19.1 (d), nil</w:t>
            </w:r>
          </w:p>
        </w:tc>
      </w:tr>
      <w:tr w:rsidR="008F3C5A" w:rsidRPr="0084658F" w14:paraId="32491EBC" w14:textId="77777777" w:rsidTr="008F3C5A">
        <w:tc>
          <w:tcPr>
            <w:tcW w:w="4815" w:type="dxa"/>
          </w:tcPr>
          <w:p w14:paraId="28F5D49E" w14:textId="69F927DF" w:rsidR="008F3C5A" w:rsidRPr="0084658F" w:rsidRDefault="008F3C5A" w:rsidP="008F3C5A">
            <w:pPr>
              <w:pStyle w:val="TableBodyText"/>
              <w:rPr>
                <w:szCs w:val="20"/>
              </w:rPr>
            </w:pPr>
            <w:r w:rsidRPr="0084658F">
              <w:rPr>
                <w:szCs w:val="20"/>
              </w:rPr>
              <w:t>Alteration to volume of water under licences issued by Melbourne Water</w:t>
            </w:r>
          </w:p>
        </w:tc>
        <w:tc>
          <w:tcPr>
            <w:tcW w:w="4816" w:type="dxa"/>
          </w:tcPr>
          <w:p w14:paraId="79EA72F5" w14:textId="11D5045C" w:rsidR="008F3C5A" w:rsidRPr="0084658F" w:rsidRDefault="008F3C5A" w:rsidP="008F3C5A">
            <w:pPr>
              <w:pStyle w:val="TableBodyText"/>
              <w:rPr>
                <w:szCs w:val="20"/>
              </w:rPr>
            </w:pPr>
            <w:r w:rsidRPr="0084658F">
              <w:rPr>
                <w:szCs w:val="20"/>
              </w:rPr>
              <w:t>Clause 19.1 (e), nil</w:t>
            </w:r>
          </w:p>
        </w:tc>
      </w:tr>
      <w:tr w:rsidR="008F3C5A" w:rsidRPr="0084658F" w14:paraId="5E8BADE5" w14:textId="77777777" w:rsidTr="008F3C5A">
        <w:tc>
          <w:tcPr>
            <w:tcW w:w="4815" w:type="dxa"/>
          </w:tcPr>
          <w:p w14:paraId="3DF1C6BA" w14:textId="07D23886" w:rsidR="008F3C5A" w:rsidRPr="0084658F" w:rsidRDefault="008F3C5A" w:rsidP="008F3C5A">
            <w:pPr>
              <w:pStyle w:val="TableBodyText"/>
              <w:rPr>
                <w:szCs w:val="20"/>
              </w:rPr>
            </w:pPr>
            <w:r w:rsidRPr="0084658F">
              <w:rPr>
                <w:szCs w:val="20"/>
              </w:rPr>
              <w:t>Alteration to security of supply of entitlements under licences</w:t>
            </w:r>
          </w:p>
        </w:tc>
        <w:tc>
          <w:tcPr>
            <w:tcW w:w="4816" w:type="dxa"/>
          </w:tcPr>
          <w:p w14:paraId="7F619B31" w14:textId="1FD84D1C" w:rsidR="008F3C5A" w:rsidRPr="0084658F" w:rsidRDefault="008F3C5A" w:rsidP="008F3C5A">
            <w:pPr>
              <w:pStyle w:val="TableBodyText"/>
              <w:rPr>
                <w:szCs w:val="20"/>
              </w:rPr>
            </w:pPr>
            <w:r w:rsidRPr="0084658F">
              <w:rPr>
                <w:szCs w:val="20"/>
              </w:rPr>
              <w:t>Clause 19.1 (e), nil</w:t>
            </w:r>
          </w:p>
        </w:tc>
      </w:tr>
      <w:tr w:rsidR="008F3C5A" w:rsidRPr="0084658F" w14:paraId="425C0F90" w14:textId="77777777" w:rsidTr="008F3C5A">
        <w:tc>
          <w:tcPr>
            <w:tcW w:w="4815" w:type="dxa"/>
          </w:tcPr>
          <w:p w14:paraId="18E6832B" w14:textId="4CC9577B" w:rsidR="008F3C5A" w:rsidRPr="0084658F" w:rsidRDefault="008F3C5A" w:rsidP="008F3C5A">
            <w:pPr>
              <w:pStyle w:val="TableBodyText"/>
              <w:rPr>
                <w:szCs w:val="20"/>
              </w:rPr>
            </w:pPr>
            <w:r w:rsidRPr="0084658F">
              <w:rPr>
                <w:szCs w:val="20"/>
              </w:rPr>
              <w:t>Transfer of licences (number, amount and places)</w:t>
            </w:r>
          </w:p>
        </w:tc>
        <w:tc>
          <w:tcPr>
            <w:tcW w:w="4816" w:type="dxa"/>
          </w:tcPr>
          <w:p w14:paraId="352C4D45" w14:textId="77777777" w:rsidR="008F3C5A" w:rsidRPr="0084658F" w:rsidRDefault="008F3C5A" w:rsidP="008F3C5A">
            <w:pPr>
              <w:pStyle w:val="TableBodyText"/>
              <w:rPr>
                <w:szCs w:val="20"/>
              </w:rPr>
            </w:pPr>
            <w:r w:rsidRPr="0084658F">
              <w:rPr>
                <w:szCs w:val="20"/>
              </w:rPr>
              <w:t>Clause 19.1 (f), Yes</w:t>
            </w:r>
          </w:p>
          <w:p w14:paraId="7F9D299A" w14:textId="77777777" w:rsidR="008F3C5A" w:rsidRPr="0084658F" w:rsidRDefault="008F3C5A" w:rsidP="008F3C5A">
            <w:pPr>
              <w:pStyle w:val="TableBodyText"/>
              <w:rPr>
                <w:szCs w:val="20"/>
              </w:rPr>
            </w:pPr>
            <w:r w:rsidRPr="0084658F">
              <w:rPr>
                <w:szCs w:val="20"/>
              </w:rPr>
              <w:t>(In total 4 transfers of licences were made:</w:t>
            </w:r>
          </w:p>
          <w:p w14:paraId="4B51FB78" w14:textId="1AB22DE5" w:rsidR="008F3C5A" w:rsidRPr="0084658F" w:rsidRDefault="008F3C5A" w:rsidP="008F3C5A">
            <w:pPr>
              <w:pStyle w:val="TableBodyText"/>
              <w:rPr>
                <w:szCs w:val="20"/>
              </w:rPr>
            </w:pPr>
            <w:r w:rsidRPr="0084658F">
              <w:rPr>
                <w:szCs w:val="20"/>
              </w:rPr>
              <w:t>1) two licences part surrenders;</w:t>
            </w:r>
          </w:p>
          <w:p w14:paraId="5E42C3BD" w14:textId="3551B5A4" w:rsidR="008F3C5A" w:rsidRPr="0084658F" w:rsidRDefault="008F3C5A" w:rsidP="008F3C5A">
            <w:pPr>
              <w:pStyle w:val="TableBodyText"/>
              <w:rPr>
                <w:szCs w:val="20"/>
              </w:rPr>
            </w:pPr>
            <w:r w:rsidRPr="0084658F">
              <w:rPr>
                <w:szCs w:val="20"/>
              </w:rPr>
              <w:t>2) two licences made minor amendment)</w:t>
            </w:r>
          </w:p>
        </w:tc>
      </w:tr>
      <w:tr w:rsidR="008F3C5A" w:rsidRPr="0084658F" w14:paraId="3699F106" w14:textId="77777777" w:rsidTr="008F3C5A">
        <w:tc>
          <w:tcPr>
            <w:tcW w:w="4815" w:type="dxa"/>
          </w:tcPr>
          <w:p w14:paraId="4F336EE5" w14:textId="0C88735D" w:rsidR="008F3C5A" w:rsidRPr="0084658F" w:rsidRDefault="008F3C5A" w:rsidP="008F3C5A">
            <w:pPr>
              <w:pStyle w:val="TableBodyText"/>
              <w:rPr>
                <w:szCs w:val="20"/>
              </w:rPr>
            </w:pPr>
            <w:r w:rsidRPr="0084658F">
              <w:rPr>
                <w:szCs w:val="20"/>
              </w:rPr>
              <w:t>Any amendment to the bulk entitlement</w:t>
            </w:r>
          </w:p>
        </w:tc>
        <w:tc>
          <w:tcPr>
            <w:tcW w:w="4816" w:type="dxa"/>
          </w:tcPr>
          <w:p w14:paraId="03322AA0" w14:textId="51F62697" w:rsidR="008F3C5A" w:rsidRPr="0084658F" w:rsidRDefault="008F3C5A" w:rsidP="008F3C5A">
            <w:pPr>
              <w:pStyle w:val="TableBodyText"/>
              <w:rPr>
                <w:szCs w:val="20"/>
              </w:rPr>
            </w:pPr>
            <w:r w:rsidRPr="0084658F">
              <w:rPr>
                <w:szCs w:val="20"/>
              </w:rPr>
              <w:t>Clause 19.1 (g), nil</w:t>
            </w:r>
          </w:p>
        </w:tc>
      </w:tr>
      <w:tr w:rsidR="008F3C5A" w:rsidRPr="0084658F" w14:paraId="3E9B040C" w14:textId="77777777" w:rsidTr="008F3C5A">
        <w:tc>
          <w:tcPr>
            <w:tcW w:w="4815" w:type="dxa"/>
          </w:tcPr>
          <w:p w14:paraId="2069A5C2" w14:textId="6AA139E1" w:rsidR="008F3C5A" w:rsidRPr="0084658F" w:rsidRDefault="008F3C5A" w:rsidP="008F3C5A">
            <w:pPr>
              <w:pStyle w:val="TableBodyText"/>
              <w:rPr>
                <w:szCs w:val="20"/>
              </w:rPr>
            </w:pPr>
            <w:r w:rsidRPr="0084658F">
              <w:rPr>
                <w:szCs w:val="20"/>
              </w:rPr>
              <w:t>Any new bulk entitlement granted to Melbourne Water</w:t>
            </w:r>
          </w:p>
        </w:tc>
        <w:tc>
          <w:tcPr>
            <w:tcW w:w="4816" w:type="dxa"/>
          </w:tcPr>
          <w:p w14:paraId="1008D9DF" w14:textId="0E144371" w:rsidR="008F3C5A" w:rsidRPr="0084658F" w:rsidRDefault="008F3C5A" w:rsidP="008F3C5A">
            <w:pPr>
              <w:pStyle w:val="TableBodyText"/>
              <w:rPr>
                <w:szCs w:val="20"/>
              </w:rPr>
            </w:pPr>
            <w:r w:rsidRPr="0084658F">
              <w:rPr>
                <w:szCs w:val="20"/>
              </w:rPr>
              <w:t>Clause 19.1 (h), nil</w:t>
            </w:r>
          </w:p>
        </w:tc>
      </w:tr>
      <w:tr w:rsidR="008F3C5A" w:rsidRPr="0084658F" w14:paraId="59DCEE0D" w14:textId="77777777" w:rsidTr="008F3C5A">
        <w:tc>
          <w:tcPr>
            <w:tcW w:w="4815" w:type="dxa"/>
          </w:tcPr>
          <w:p w14:paraId="0255E1DB" w14:textId="633FBF8A" w:rsidR="008F3C5A" w:rsidRPr="0084658F" w:rsidRDefault="008F3C5A" w:rsidP="008F3C5A">
            <w:pPr>
              <w:pStyle w:val="TableBodyText"/>
              <w:rPr>
                <w:szCs w:val="20"/>
              </w:rPr>
            </w:pPr>
            <w:r w:rsidRPr="0084658F">
              <w:rPr>
                <w:szCs w:val="20"/>
              </w:rPr>
              <w:t>Implementation of metering program</w:t>
            </w:r>
          </w:p>
        </w:tc>
        <w:tc>
          <w:tcPr>
            <w:tcW w:w="4816" w:type="dxa"/>
          </w:tcPr>
          <w:p w14:paraId="33C64F4C" w14:textId="4D8AF59E" w:rsidR="008F3C5A" w:rsidRPr="0084658F" w:rsidRDefault="008F3C5A" w:rsidP="008F3C5A">
            <w:pPr>
              <w:pStyle w:val="TableBodyText"/>
              <w:rPr>
                <w:szCs w:val="20"/>
              </w:rPr>
            </w:pPr>
            <w:r w:rsidRPr="0084658F">
              <w:rPr>
                <w:szCs w:val="20"/>
              </w:rPr>
              <w:t>Clause 19.1 (i), Yes</w:t>
            </w:r>
          </w:p>
        </w:tc>
      </w:tr>
      <w:tr w:rsidR="008F3C5A" w:rsidRPr="0084658F" w14:paraId="56BEECBE" w14:textId="77777777" w:rsidTr="008F3C5A">
        <w:tc>
          <w:tcPr>
            <w:tcW w:w="4815" w:type="dxa"/>
          </w:tcPr>
          <w:p w14:paraId="1B07BBCB" w14:textId="6E04CEFC" w:rsidR="008F3C5A" w:rsidRPr="0084658F" w:rsidRDefault="008F3C5A" w:rsidP="008F3C5A">
            <w:pPr>
              <w:pStyle w:val="TableBodyText"/>
              <w:rPr>
                <w:szCs w:val="20"/>
              </w:rPr>
            </w:pPr>
            <w:r w:rsidRPr="0084658F">
              <w:rPr>
                <w:szCs w:val="20"/>
              </w:rPr>
              <w:t>Any failures to comply with any provision of the bulk entitlement</w:t>
            </w:r>
          </w:p>
        </w:tc>
        <w:tc>
          <w:tcPr>
            <w:tcW w:w="4816" w:type="dxa"/>
          </w:tcPr>
          <w:p w14:paraId="12BC2407" w14:textId="2C5EBDD6" w:rsidR="008F3C5A" w:rsidRPr="0084658F" w:rsidRDefault="008F3C5A" w:rsidP="008F3C5A">
            <w:pPr>
              <w:pStyle w:val="TableBodyText"/>
              <w:rPr>
                <w:szCs w:val="20"/>
              </w:rPr>
            </w:pPr>
            <w:r w:rsidRPr="0084658F">
              <w:rPr>
                <w:szCs w:val="20"/>
              </w:rPr>
              <w:t>Clause 19.1 (j), nil</w:t>
            </w:r>
          </w:p>
        </w:tc>
      </w:tr>
      <w:tr w:rsidR="008F3C5A" w:rsidRPr="0084658F" w14:paraId="723892A6" w14:textId="77777777" w:rsidTr="008F3C5A">
        <w:tc>
          <w:tcPr>
            <w:tcW w:w="4815" w:type="dxa"/>
          </w:tcPr>
          <w:p w14:paraId="5A09AAAF" w14:textId="69BE6EE7" w:rsidR="008F3C5A" w:rsidRPr="0084658F" w:rsidRDefault="008F3C5A" w:rsidP="008F3C5A">
            <w:pPr>
              <w:pStyle w:val="TableBodyText"/>
              <w:rPr>
                <w:szCs w:val="20"/>
              </w:rPr>
            </w:pPr>
            <w:r w:rsidRPr="0084658F">
              <w:rPr>
                <w:szCs w:val="20"/>
              </w:rPr>
              <w:t>Any difficulty experienced in complying with the bulk entitlement and if so, any remedial action taken or proposed</w:t>
            </w:r>
          </w:p>
        </w:tc>
        <w:tc>
          <w:tcPr>
            <w:tcW w:w="4816" w:type="dxa"/>
          </w:tcPr>
          <w:p w14:paraId="3FE5E96B" w14:textId="4B03BC3D" w:rsidR="008F3C5A" w:rsidRPr="0084658F" w:rsidRDefault="008F3C5A" w:rsidP="008F3C5A">
            <w:pPr>
              <w:pStyle w:val="TableBodyText"/>
              <w:rPr>
                <w:szCs w:val="20"/>
              </w:rPr>
            </w:pPr>
            <w:r w:rsidRPr="0084658F">
              <w:rPr>
                <w:szCs w:val="20"/>
              </w:rPr>
              <w:t>Clause 19.1 (k), nil</w:t>
            </w:r>
          </w:p>
        </w:tc>
      </w:tr>
    </w:tbl>
    <w:p w14:paraId="22B3A986" w14:textId="77777777" w:rsidR="00215B49" w:rsidRDefault="00215B49" w:rsidP="00B1710D">
      <w:pPr>
        <w:pStyle w:val="Heading2"/>
        <w:pageBreakBefore/>
      </w:pPr>
      <w:bookmarkStart w:id="1423" w:name="AppendixD"/>
      <w:bookmarkStart w:id="1424" w:name="_Toc89723185"/>
      <w:bookmarkStart w:id="1425" w:name="_Toc89723258"/>
      <w:bookmarkStart w:id="1426" w:name="_Toc89723318"/>
      <w:bookmarkStart w:id="1427" w:name="_Ref89858887"/>
      <w:bookmarkStart w:id="1428" w:name="_Toc89860583"/>
      <w:bookmarkStart w:id="1429" w:name="_Toc89860727"/>
      <w:bookmarkStart w:id="1430" w:name="_Toc90326127"/>
      <w:bookmarkStart w:id="1431" w:name="_Toc93659533"/>
      <w:r>
        <w:lastRenderedPageBreak/>
        <w:t>Appendix D</w:t>
      </w:r>
      <w:bookmarkEnd w:id="1423"/>
      <w:r>
        <w:t xml:space="preserve"> – Private Diversion Licences</w:t>
      </w:r>
      <w:bookmarkEnd w:id="1424"/>
      <w:bookmarkEnd w:id="1425"/>
      <w:bookmarkEnd w:id="1426"/>
      <w:bookmarkEnd w:id="1427"/>
      <w:bookmarkEnd w:id="1428"/>
      <w:bookmarkEnd w:id="1429"/>
      <w:bookmarkEnd w:id="1430"/>
      <w:bookmarkEnd w:id="1431"/>
    </w:p>
    <w:p w14:paraId="5FD0A995" w14:textId="5494913B" w:rsidR="00215B49" w:rsidRDefault="00215B49" w:rsidP="00E757F8">
      <w:pPr>
        <w:pStyle w:val="BodyText"/>
        <w:keepNext/>
        <w:keepLines/>
      </w:pPr>
      <w:r>
        <w:t>Melbourne Water manages 1813 licences to use water from farm dams and waterways in the Yarra River, Maribyrnong River, Stony Creek, Kororoit Creek, Laverton Creek, Mordialloc Creek and Skeleton Creek catchments. Water is mainly used for agricultural, industrial, commercial, domestic and stock purposes. The total number of ‘take and use’ licences (that is, licences for uses such as irrigation) is 1193 with a combined volume of 35,134.8 ML.</w:t>
      </w:r>
    </w:p>
    <w:p w14:paraId="0DA1585E" w14:textId="62946038" w:rsidR="00F6016D" w:rsidRDefault="00215B49" w:rsidP="00215B49">
      <w:pPr>
        <w:pStyle w:val="BodyText"/>
      </w:pPr>
      <w:r>
        <w:t>Melbourne Water applies permanent management trigger and restriction conditions enacted under the Diversions Drought Response Plan (A Water Sharing Plan for all Licenced Water Users) and licence conditions. Melbourne Water has not invoked any additional drought response measures outside of the plan during 2020-21.</w:t>
      </w:r>
    </w:p>
    <w:tbl>
      <w:tblPr>
        <w:tblStyle w:val="Style1"/>
        <w:tblW w:w="5000" w:type="pct"/>
        <w:tblLook w:val="04A0" w:firstRow="1" w:lastRow="0" w:firstColumn="1" w:lastColumn="0" w:noHBand="0" w:noVBand="1"/>
      </w:tblPr>
      <w:tblGrid>
        <w:gridCol w:w="3485"/>
        <w:gridCol w:w="2049"/>
        <w:gridCol w:w="2049"/>
        <w:gridCol w:w="2048"/>
      </w:tblGrid>
      <w:tr w:rsidR="00215B49" w:rsidRPr="00C0228B" w14:paraId="5F4BFE13" w14:textId="77777777" w:rsidTr="00E75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pct"/>
            <w:tcBorders>
              <w:top w:val="single" w:sz="4" w:space="0" w:color="auto"/>
            </w:tcBorders>
            <w:vAlign w:val="bottom"/>
          </w:tcPr>
          <w:p w14:paraId="7E7D0FDD" w14:textId="32CD39F3" w:rsidR="00215B49" w:rsidRPr="00C0228B" w:rsidRDefault="00215B49" w:rsidP="00C0228B">
            <w:bookmarkStart w:id="1432" w:name="ColumnTitle_120"/>
            <w:r w:rsidRPr="00C0228B">
              <w:t>Licence Totals</w:t>
            </w:r>
          </w:p>
        </w:tc>
        <w:tc>
          <w:tcPr>
            <w:tcW w:w="1064" w:type="pct"/>
            <w:tcBorders>
              <w:top w:val="single" w:sz="4" w:space="0" w:color="auto"/>
            </w:tcBorders>
            <w:vAlign w:val="bottom"/>
          </w:tcPr>
          <w:p w14:paraId="1ED69AC8" w14:textId="75C69635" w:rsidR="00215B49" w:rsidRPr="00C0228B" w:rsidRDefault="00215B49" w:rsidP="00C0228B">
            <w:pPr>
              <w:cnfStyle w:val="100000000000" w:firstRow="1" w:lastRow="0" w:firstColumn="0" w:lastColumn="0" w:oddVBand="0" w:evenVBand="0" w:oddHBand="0" w:evenHBand="0" w:firstRowFirstColumn="0" w:firstRowLastColumn="0" w:lastRowFirstColumn="0" w:lastRowLastColumn="0"/>
            </w:pPr>
            <w:r w:rsidRPr="00C0228B">
              <w:t>No. Licences</w:t>
            </w:r>
          </w:p>
        </w:tc>
        <w:tc>
          <w:tcPr>
            <w:tcW w:w="1064" w:type="pct"/>
            <w:tcBorders>
              <w:top w:val="single" w:sz="4" w:space="0" w:color="auto"/>
            </w:tcBorders>
            <w:vAlign w:val="bottom"/>
          </w:tcPr>
          <w:p w14:paraId="29FCAA1F" w14:textId="3678BCF9" w:rsidR="00215B49" w:rsidRPr="00C0228B" w:rsidRDefault="00215B49" w:rsidP="00C0228B">
            <w:pPr>
              <w:cnfStyle w:val="100000000000" w:firstRow="1" w:lastRow="0" w:firstColumn="0" w:lastColumn="0" w:oddVBand="0" w:evenVBand="0" w:oddHBand="0" w:evenHBand="0" w:firstRowFirstColumn="0" w:firstRowLastColumn="0" w:lastRowFirstColumn="0" w:lastRowLastColumn="0"/>
            </w:pPr>
            <w:r w:rsidRPr="00C0228B">
              <w:t>Volume (ML)</w:t>
            </w:r>
          </w:p>
        </w:tc>
        <w:tc>
          <w:tcPr>
            <w:tcW w:w="1063" w:type="pct"/>
            <w:tcBorders>
              <w:top w:val="single" w:sz="4" w:space="0" w:color="auto"/>
            </w:tcBorders>
            <w:vAlign w:val="bottom"/>
          </w:tcPr>
          <w:p w14:paraId="5D173B54" w14:textId="7B125C4D" w:rsidR="00215B49" w:rsidRPr="00C0228B" w:rsidRDefault="00215B49" w:rsidP="00C0228B">
            <w:pPr>
              <w:cnfStyle w:val="100000000000" w:firstRow="1" w:lastRow="0" w:firstColumn="0" w:lastColumn="0" w:oddVBand="0" w:evenVBand="0" w:oddHBand="0" w:evenHBand="0" w:firstRowFirstColumn="0" w:firstRowLastColumn="0" w:lastRowFirstColumn="0" w:lastRowLastColumn="0"/>
            </w:pPr>
            <w:r w:rsidRPr="00C0228B">
              <w:t>Metered Usage (ML)</w:t>
            </w:r>
          </w:p>
        </w:tc>
      </w:tr>
      <w:bookmarkEnd w:id="1432"/>
      <w:tr w:rsidR="00215B49" w:rsidRPr="00215B49" w14:paraId="2EFAF40B" w14:textId="77777777" w:rsidTr="00C0228B">
        <w:tc>
          <w:tcPr>
            <w:cnfStyle w:val="001000000000" w:firstRow="0" w:lastRow="0" w:firstColumn="1" w:lastColumn="0" w:oddVBand="0" w:evenVBand="0" w:oddHBand="0" w:evenHBand="0" w:firstRowFirstColumn="0" w:firstRowLastColumn="0" w:lastRowFirstColumn="0" w:lastRowLastColumn="0"/>
            <w:tcW w:w="1809" w:type="pct"/>
            <w:vAlign w:val="top"/>
          </w:tcPr>
          <w:p w14:paraId="015F02B6" w14:textId="29B50573" w:rsidR="00215B49" w:rsidRPr="00215B49" w:rsidRDefault="00215B49" w:rsidP="00C0228B">
            <w:pPr>
              <w:pStyle w:val="TableBodyText"/>
            </w:pPr>
            <w:r>
              <w:t>Farm Dam Registrations</w:t>
            </w:r>
          </w:p>
        </w:tc>
        <w:tc>
          <w:tcPr>
            <w:tcW w:w="1064" w:type="pct"/>
            <w:vAlign w:val="top"/>
          </w:tcPr>
          <w:p w14:paraId="34F7B17F" w14:textId="61C711E7"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522</w:t>
            </w:r>
          </w:p>
        </w:tc>
        <w:tc>
          <w:tcPr>
            <w:tcW w:w="1064" w:type="pct"/>
            <w:vAlign w:val="top"/>
          </w:tcPr>
          <w:p w14:paraId="1D612384" w14:textId="63A4EAFB"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6771.0</w:t>
            </w:r>
          </w:p>
        </w:tc>
        <w:tc>
          <w:tcPr>
            <w:tcW w:w="1063" w:type="pct"/>
            <w:vAlign w:val="top"/>
          </w:tcPr>
          <w:p w14:paraId="329C3DC8" w14:textId="6143B742"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0.0</w:t>
            </w:r>
          </w:p>
        </w:tc>
      </w:tr>
      <w:tr w:rsidR="00215B49" w:rsidRPr="00215B49" w14:paraId="6F1E4155" w14:textId="77777777" w:rsidTr="00C0228B">
        <w:tc>
          <w:tcPr>
            <w:cnfStyle w:val="001000000000" w:firstRow="0" w:lastRow="0" w:firstColumn="1" w:lastColumn="0" w:oddVBand="0" w:evenVBand="0" w:oddHBand="0" w:evenHBand="0" w:firstRowFirstColumn="0" w:firstRowLastColumn="0" w:lastRowFirstColumn="0" w:lastRowLastColumn="0"/>
            <w:tcW w:w="1809" w:type="pct"/>
            <w:vAlign w:val="top"/>
          </w:tcPr>
          <w:p w14:paraId="6C7105AD" w14:textId="47A8AD9A" w:rsidR="00215B49" w:rsidRPr="00215B49" w:rsidRDefault="00215B49" w:rsidP="00C0228B">
            <w:pPr>
              <w:pStyle w:val="TableBodyText"/>
            </w:pPr>
            <w:r>
              <w:t>Farm Dam Licences</w:t>
            </w:r>
          </w:p>
        </w:tc>
        <w:tc>
          <w:tcPr>
            <w:tcW w:w="1064" w:type="pct"/>
            <w:vAlign w:val="top"/>
          </w:tcPr>
          <w:p w14:paraId="46F39E78" w14:textId="39C7E452"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44</w:t>
            </w:r>
          </w:p>
        </w:tc>
        <w:tc>
          <w:tcPr>
            <w:tcW w:w="1064" w:type="pct"/>
            <w:vAlign w:val="top"/>
          </w:tcPr>
          <w:p w14:paraId="0B1330F2" w14:textId="3DB17186"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1004.5</w:t>
            </w:r>
          </w:p>
        </w:tc>
        <w:tc>
          <w:tcPr>
            <w:tcW w:w="1063" w:type="pct"/>
            <w:vAlign w:val="top"/>
          </w:tcPr>
          <w:p w14:paraId="7A497519" w14:textId="68E12C87"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143.5</w:t>
            </w:r>
          </w:p>
        </w:tc>
      </w:tr>
      <w:tr w:rsidR="00215B49" w:rsidRPr="00215B49" w14:paraId="17F8A18B" w14:textId="77777777" w:rsidTr="00C0228B">
        <w:tc>
          <w:tcPr>
            <w:cnfStyle w:val="001000000000" w:firstRow="0" w:lastRow="0" w:firstColumn="1" w:lastColumn="0" w:oddVBand="0" w:evenVBand="0" w:oddHBand="0" w:evenHBand="0" w:firstRowFirstColumn="0" w:firstRowLastColumn="0" w:lastRowFirstColumn="0" w:lastRowLastColumn="0"/>
            <w:tcW w:w="1809" w:type="pct"/>
            <w:vAlign w:val="top"/>
          </w:tcPr>
          <w:p w14:paraId="405E594C" w14:textId="21B9EDF4" w:rsidR="00215B49" w:rsidRPr="00215B49" w:rsidRDefault="00215B49" w:rsidP="00C0228B">
            <w:pPr>
              <w:pStyle w:val="TableBodyText"/>
            </w:pPr>
            <w:r>
              <w:t>Take and Use Licences Yarra</w:t>
            </w:r>
          </w:p>
        </w:tc>
        <w:tc>
          <w:tcPr>
            <w:tcW w:w="1064" w:type="pct"/>
            <w:vAlign w:val="top"/>
          </w:tcPr>
          <w:p w14:paraId="7E94931F" w14:textId="187F7520"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1146</w:t>
            </w:r>
          </w:p>
        </w:tc>
        <w:tc>
          <w:tcPr>
            <w:tcW w:w="1064" w:type="pct"/>
            <w:vAlign w:val="top"/>
          </w:tcPr>
          <w:p w14:paraId="24DCF64A" w14:textId="489C3506"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34025.8</w:t>
            </w:r>
          </w:p>
        </w:tc>
        <w:tc>
          <w:tcPr>
            <w:tcW w:w="1063" w:type="pct"/>
            <w:vAlign w:val="top"/>
          </w:tcPr>
          <w:p w14:paraId="4BE12942" w14:textId="0B530C5C"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8718.1</w:t>
            </w:r>
          </w:p>
        </w:tc>
      </w:tr>
      <w:tr w:rsidR="00215B49" w:rsidRPr="00215B49" w14:paraId="0EBA9BA1" w14:textId="77777777" w:rsidTr="00C0228B">
        <w:tc>
          <w:tcPr>
            <w:cnfStyle w:val="001000000000" w:firstRow="0" w:lastRow="0" w:firstColumn="1" w:lastColumn="0" w:oddVBand="0" w:evenVBand="0" w:oddHBand="0" w:evenHBand="0" w:firstRowFirstColumn="0" w:firstRowLastColumn="0" w:lastRowFirstColumn="0" w:lastRowLastColumn="0"/>
            <w:tcW w:w="1809" w:type="pct"/>
            <w:vAlign w:val="top"/>
          </w:tcPr>
          <w:p w14:paraId="12629AF5" w14:textId="2721347A" w:rsidR="00215B49" w:rsidRPr="00215B49" w:rsidRDefault="00215B49" w:rsidP="00C0228B">
            <w:pPr>
              <w:pStyle w:val="TableBodyText"/>
            </w:pPr>
            <w:r>
              <w:t>Take and Use Licences Maribyrnong</w:t>
            </w:r>
          </w:p>
        </w:tc>
        <w:tc>
          <w:tcPr>
            <w:tcW w:w="1064" w:type="pct"/>
            <w:vAlign w:val="top"/>
          </w:tcPr>
          <w:p w14:paraId="6BDF65EB" w14:textId="086F5671"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47</w:t>
            </w:r>
          </w:p>
        </w:tc>
        <w:tc>
          <w:tcPr>
            <w:tcW w:w="1064" w:type="pct"/>
            <w:vAlign w:val="top"/>
          </w:tcPr>
          <w:p w14:paraId="7455DC0F" w14:textId="4FF72AE2"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1109.0</w:t>
            </w:r>
          </w:p>
        </w:tc>
        <w:tc>
          <w:tcPr>
            <w:tcW w:w="1063" w:type="pct"/>
            <w:vAlign w:val="top"/>
          </w:tcPr>
          <w:p w14:paraId="1CE816AD" w14:textId="13935A1E"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177.5</w:t>
            </w:r>
          </w:p>
        </w:tc>
      </w:tr>
      <w:tr w:rsidR="00215B49" w:rsidRPr="00215B49" w14:paraId="29272A17" w14:textId="77777777" w:rsidTr="00C0228B">
        <w:tc>
          <w:tcPr>
            <w:cnfStyle w:val="001000000000" w:firstRow="0" w:lastRow="0" w:firstColumn="1" w:lastColumn="0" w:oddVBand="0" w:evenVBand="0" w:oddHBand="0" w:evenHBand="0" w:firstRowFirstColumn="0" w:firstRowLastColumn="0" w:lastRowFirstColumn="0" w:lastRowLastColumn="0"/>
            <w:tcW w:w="1809" w:type="pct"/>
            <w:vAlign w:val="top"/>
          </w:tcPr>
          <w:p w14:paraId="0D6E1337" w14:textId="3C21F805" w:rsidR="00215B49" w:rsidRPr="00215B49" w:rsidRDefault="00215B49" w:rsidP="00C0228B">
            <w:pPr>
              <w:pStyle w:val="TableBodyText"/>
            </w:pPr>
            <w:r>
              <w:t>Stormwater Licences</w:t>
            </w:r>
          </w:p>
        </w:tc>
        <w:tc>
          <w:tcPr>
            <w:tcW w:w="1064" w:type="pct"/>
            <w:vAlign w:val="top"/>
          </w:tcPr>
          <w:p w14:paraId="52E3E8CA" w14:textId="4CFDFC22"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54</w:t>
            </w:r>
          </w:p>
        </w:tc>
        <w:tc>
          <w:tcPr>
            <w:tcW w:w="1064" w:type="pct"/>
            <w:vAlign w:val="top"/>
          </w:tcPr>
          <w:p w14:paraId="0C6675FC" w14:textId="046161E7"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3624.7</w:t>
            </w:r>
          </w:p>
        </w:tc>
        <w:tc>
          <w:tcPr>
            <w:tcW w:w="1063" w:type="pct"/>
            <w:vAlign w:val="top"/>
          </w:tcPr>
          <w:p w14:paraId="51C90DE7" w14:textId="3B59D8EA"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900.0</w:t>
            </w:r>
          </w:p>
        </w:tc>
      </w:tr>
      <w:tr w:rsidR="00215B49" w:rsidRPr="00215B49" w14:paraId="6FA03D17" w14:textId="77777777" w:rsidTr="00C0228B">
        <w:tc>
          <w:tcPr>
            <w:cnfStyle w:val="001000000000" w:firstRow="0" w:lastRow="0" w:firstColumn="1" w:lastColumn="0" w:oddVBand="0" w:evenVBand="0" w:oddHBand="0" w:evenHBand="0" w:firstRowFirstColumn="0" w:firstRowLastColumn="0" w:lastRowFirstColumn="0" w:lastRowLastColumn="0"/>
            <w:tcW w:w="1809" w:type="pct"/>
            <w:tcBorders>
              <w:bottom w:val="single" w:sz="4" w:space="0" w:color="auto"/>
            </w:tcBorders>
            <w:vAlign w:val="top"/>
          </w:tcPr>
          <w:p w14:paraId="78C14DEE" w14:textId="209ED6CF" w:rsidR="00215B49" w:rsidRPr="00215B49" w:rsidRDefault="00215B49" w:rsidP="00C0228B">
            <w:pPr>
              <w:pStyle w:val="TableBodyText"/>
            </w:pPr>
            <w:r>
              <w:t>Environmental Water Licence</w:t>
            </w:r>
          </w:p>
        </w:tc>
        <w:tc>
          <w:tcPr>
            <w:tcW w:w="1064" w:type="pct"/>
            <w:tcBorders>
              <w:bottom w:val="single" w:sz="4" w:space="0" w:color="auto"/>
            </w:tcBorders>
            <w:vAlign w:val="top"/>
          </w:tcPr>
          <w:p w14:paraId="2AD79D72" w14:textId="00E368C5"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8</w:t>
            </w:r>
          </w:p>
        </w:tc>
        <w:tc>
          <w:tcPr>
            <w:tcW w:w="1064" w:type="pct"/>
            <w:tcBorders>
              <w:bottom w:val="single" w:sz="4" w:space="0" w:color="auto"/>
            </w:tcBorders>
            <w:vAlign w:val="top"/>
          </w:tcPr>
          <w:p w14:paraId="2CBFED2A" w14:textId="2428019A"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1634.2</w:t>
            </w:r>
          </w:p>
        </w:tc>
        <w:tc>
          <w:tcPr>
            <w:tcW w:w="1063" w:type="pct"/>
            <w:tcBorders>
              <w:bottom w:val="single" w:sz="4" w:space="0" w:color="auto"/>
            </w:tcBorders>
            <w:vAlign w:val="top"/>
          </w:tcPr>
          <w:p w14:paraId="59FA3A6D" w14:textId="0B8E9027" w:rsidR="00215B49" w:rsidRPr="00215B49" w:rsidRDefault="00215B49" w:rsidP="00C0228B">
            <w:pPr>
              <w:pStyle w:val="TableBodyText"/>
              <w:cnfStyle w:val="000000000000" w:firstRow="0" w:lastRow="0" w:firstColumn="0" w:lastColumn="0" w:oddVBand="0" w:evenVBand="0" w:oddHBand="0" w:evenHBand="0" w:firstRowFirstColumn="0" w:firstRowLastColumn="0" w:lastRowFirstColumn="0" w:lastRowLastColumn="0"/>
            </w:pPr>
            <w:r>
              <w:t>0.0</w:t>
            </w:r>
          </w:p>
        </w:tc>
      </w:tr>
    </w:tbl>
    <w:p w14:paraId="461CCB00" w14:textId="77777777" w:rsidR="00215B49" w:rsidRDefault="00215B49" w:rsidP="00215B49">
      <w:pPr>
        <w:pStyle w:val="Heading3"/>
      </w:pPr>
      <w:bookmarkStart w:id="1433" w:name="_Toc89723186"/>
      <w:bookmarkStart w:id="1434" w:name="_Toc90326128"/>
      <w:bookmarkStart w:id="1435" w:name="_Toc93659534"/>
      <w:r>
        <w:t>Policy Requirements and Review Recommendations</w:t>
      </w:r>
      <w:bookmarkEnd w:id="1433"/>
      <w:bookmarkEnd w:id="1434"/>
      <w:bookmarkEnd w:id="1435"/>
    </w:p>
    <w:p w14:paraId="185A9ADF" w14:textId="4462FCA7" w:rsidR="00215B49" w:rsidRDefault="00215B49" w:rsidP="00215B49">
      <w:pPr>
        <w:pStyle w:val="BodyText"/>
      </w:pPr>
      <w:r>
        <w:t xml:space="preserve">Melbourne Water has been working closely with </w:t>
      </w:r>
      <w:r w:rsidR="0030196D">
        <w:t>Department of Environment, Land, Water and Planning</w:t>
      </w:r>
      <w:r>
        <w:t xml:space="preserve"> and Mr Des Pearson, AO, on the recent Compliance and Enforcement Review. The review recommended that Melbourne Water :</w:t>
      </w:r>
    </w:p>
    <w:p w14:paraId="66F409E4" w14:textId="77994437" w:rsidR="00215B49" w:rsidRDefault="00215B49" w:rsidP="00215B49">
      <w:pPr>
        <w:pStyle w:val="ListBullet"/>
      </w:pPr>
      <w:r>
        <w:t>Develop a compliance and enforcement strategy</w:t>
      </w:r>
    </w:p>
    <w:p w14:paraId="3B2C6877" w14:textId="650AF57D" w:rsidR="00215B49" w:rsidRDefault="00215B49" w:rsidP="00215B49">
      <w:pPr>
        <w:pStyle w:val="ListBullet"/>
      </w:pPr>
      <w:r>
        <w:t>Review our Compliance and Enforcement Manual.</w:t>
      </w:r>
    </w:p>
    <w:p w14:paraId="19FB7CB4" w14:textId="60AFEB5B" w:rsidR="00215B49" w:rsidRDefault="00215B49" w:rsidP="00215B49">
      <w:pPr>
        <w:pStyle w:val="BodyText"/>
      </w:pPr>
      <w:r>
        <w:t xml:space="preserve">Our </w:t>
      </w:r>
      <w:r w:rsidRPr="00215B49">
        <w:rPr>
          <w:rStyle w:val="ItalicText"/>
        </w:rPr>
        <w:t>Healthy Waterways Strategy</w:t>
      </w:r>
      <w:r>
        <w:t xml:space="preserve"> and </w:t>
      </w:r>
      <w:r w:rsidRPr="00215B49">
        <w:rPr>
          <w:rStyle w:val="ItalicText"/>
        </w:rPr>
        <w:t>Stream Flow Management Plans</w:t>
      </w:r>
      <w:r>
        <w:t xml:space="preserve"> provide guidance on our compliance and enforcement priorities which are now further supported by our new Compliance and Enforcement Statement. The Statement is now available on our website and outlines our approach to compliance and enforcement and was developed in line with </w:t>
      </w:r>
      <w:r w:rsidR="0030196D">
        <w:t>Department of Environment, Land, Water and Planning</w:t>
      </w:r>
      <w:r>
        <w:t xml:space="preserve">’s </w:t>
      </w:r>
      <w:r w:rsidRPr="00215B49">
        <w:rPr>
          <w:rStyle w:val="ItalicText"/>
        </w:rPr>
        <w:t>Non-Urban Compliance and Enforcement Guidelines for Water Corporations 2019</w:t>
      </w:r>
      <w:r>
        <w:t>. This document can be assessed</w:t>
      </w:r>
      <w:r w:rsidR="00325446">
        <w:t xml:space="preserve"> on the</w:t>
      </w:r>
      <w:r>
        <w:t xml:space="preserve"> </w:t>
      </w:r>
      <w:hyperlink r:id="rId37" w:history="1">
        <w:r w:rsidR="00325446">
          <w:rPr>
            <w:rStyle w:val="Hyperlink"/>
          </w:rPr>
          <w:t>website</w:t>
        </w:r>
      </w:hyperlink>
      <w:r w:rsidR="000D5CF0">
        <w:rPr>
          <w:rStyle w:val="FootnoteReference"/>
        </w:rPr>
        <w:footnoteReference w:id="11"/>
      </w:r>
      <w:r>
        <w:t>. The Compliance and Enforcement manual has been reviewed and updated.</w:t>
      </w:r>
    </w:p>
    <w:p w14:paraId="16D94027" w14:textId="713C31BD" w:rsidR="006B2667" w:rsidRDefault="00215B49" w:rsidP="00215B49">
      <w:pPr>
        <w:pStyle w:val="BodyText"/>
      </w:pPr>
      <w:r>
        <w:t>Our compliance priorities include implementing system improvements to assist with our compliance and enforcement reporting capability and increasing automation of reporting. Upgrading meters to AS4747 meters as per our Meter Action Plan, continuing our communications campaign to build customer understanding of the zero-tolerance approach to improving compliance. Building the capability of our staff to deliver a zero tolerance approach including additional training to relevant staff. This enhanced capability will assist Melbourne Water to support the introduction of Penalty Infringement Notices (PINs).</w:t>
      </w:r>
    </w:p>
    <w:p w14:paraId="1D7F68DD" w14:textId="230ACC12" w:rsidR="000D5CF0" w:rsidRDefault="000D5CF0" w:rsidP="000D5CF0">
      <w:pPr>
        <w:pStyle w:val="Heading3"/>
      </w:pPr>
      <w:bookmarkStart w:id="1436" w:name="_Toc89723187"/>
      <w:bookmarkStart w:id="1437" w:name="_Toc90326129"/>
      <w:bookmarkStart w:id="1438" w:name="_Toc93659535"/>
      <w:r>
        <w:lastRenderedPageBreak/>
        <w:t>Compliance and Enforcement Actions</w:t>
      </w:r>
      <w:bookmarkEnd w:id="1436"/>
      <w:bookmarkEnd w:id="1437"/>
      <w:bookmarkEnd w:id="1438"/>
    </w:p>
    <w:p w14:paraId="3BE6A23A" w14:textId="37A94AD7" w:rsidR="000D5CF0" w:rsidRDefault="000D5CF0" w:rsidP="000D5CF0">
      <w:pPr>
        <w:pStyle w:val="BodyText"/>
      </w:pPr>
      <w:r>
        <w:t xml:space="preserve">A summary of the investigations into non-compliances and their resolutions over the past two years is provided in </w:t>
      </w:r>
      <w:r w:rsidR="00AA45BE">
        <w:fldChar w:fldCharType="begin"/>
      </w:r>
      <w:r w:rsidR="00AA45BE">
        <w:instrText xml:space="preserve"> REF _Ref89644503 \h </w:instrText>
      </w:r>
      <w:r w:rsidR="00AA45BE">
        <w:fldChar w:fldCharType="separate"/>
      </w:r>
      <w:r w:rsidR="00472151">
        <w:t xml:space="preserve">Table </w:t>
      </w:r>
      <w:r w:rsidR="00472151">
        <w:rPr>
          <w:noProof/>
        </w:rPr>
        <w:t>11</w:t>
      </w:r>
      <w:r w:rsidR="00AA45BE">
        <w:fldChar w:fldCharType="end"/>
      </w:r>
      <w:r>
        <w:t>.</w:t>
      </w:r>
    </w:p>
    <w:p w14:paraId="4A455D59" w14:textId="04727F94" w:rsidR="006B2667" w:rsidRDefault="000D5CF0" w:rsidP="000D5CF0">
      <w:pPr>
        <w:pStyle w:val="Caption"/>
      </w:pPr>
      <w:bookmarkStart w:id="1439" w:name="_Ref89644503"/>
      <w:r>
        <w:t xml:space="preserve">Table </w:t>
      </w:r>
      <w:r w:rsidR="00926282">
        <w:fldChar w:fldCharType="begin"/>
      </w:r>
      <w:r w:rsidR="00926282">
        <w:instrText xml:space="preserve"> SEQ Table \* ARABIC </w:instrText>
      </w:r>
      <w:r w:rsidR="00926282">
        <w:fldChar w:fldCharType="separate"/>
      </w:r>
      <w:r w:rsidR="00472151">
        <w:rPr>
          <w:noProof/>
        </w:rPr>
        <w:t>11</w:t>
      </w:r>
      <w:r w:rsidR="00926282">
        <w:rPr>
          <w:noProof/>
        </w:rPr>
        <w:fldChar w:fldCharType="end"/>
      </w:r>
      <w:bookmarkEnd w:id="1439"/>
      <w:r>
        <w:t>: Compliance actions undertaken in the past two years.</w:t>
      </w:r>
    </w:p>
    <w:tbl>
      <w:tblPr>
        <w:tblStyle w:val="Style1"/>
        <w:tblW w:w="0" w:type="auto"/>
        <w:tblLook w:val="04A0" w:firstRow="1" w:lastRow="0" w:firstColumn="1" w:lastColumn="0" w:noHBand="0" w:noVBand="1"/>
      </w:tblPr>
      <w:tblGrid>
        <w:gridCol w:w="7088"/>
        <w:gridCol w:w="1276"/>
        <w:gridCol w:w="1267"/>
      </w:tblGrid>
      <w:tr w:rsidR="000D5CF0" w:rsidRPr="009630FB" w14:paraId="505B3010" w14:textId="77777777" w:rsidTr="00E75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tcBorders>
              <w:top w:val="single" w:sz="4" w:space="0" w:color="auto"/>
            </w:tcBorders>
            <w:vAlign w:val="bottom"/>
          </w:tcPr>
          <w:p w14:paraId="25134844" w14:textId="37A6EE6B" w:rsidR="000D5CF0" w:rsidRPr="009630FB" w:rsidRDefault="000D5CF0" w:rsidP="009630FB">
            <w:bookmarkStart w:id="1440" w:name="ColumnTitle_121"/>
            <w:r w:rsidRPr="009630FB">
              <w:t>Item</w:t>
            </w:r>
          </w:p>
        </w:tc>
        <w:tc>
          <w:tcPr>
            <w:tcW w:w="1276" w:type="dxa"/>
            <w:tcBorders>
              <w:top w:val="single" w:sz="4" w:space="0" w:color="auto"/>
            </w:tcBorders>
            <w:vAlign w:val="bottom"/>
          </w:tcPr>
          <w:p w14:paraId="6FC82846" w14:textId="14363BC7" w:rsidR="000D5CF0" w:rsidRPr="009630FB" w:rsidRDefault="000D5CF0" w:rsidP="009630FB">
            <w:pPr>
              <w:cnfStyle w:val="100000000000" w:firstRow="1" w:lastRow="0" w:firstColumn="0" w:lastColumn="0" w:oddVBand="0" w:evenVBand="0" w:oddHBand="0" w:evenHBand="0" w:firstRowFirstColumn="0" w:firstRowLastColumn="0" w:lastRowFirstColumn="0" w:lastRowLastColumn="0"/>
            </w:pPr>
            <w:r w:rsidRPr="009630FB">
              <w:t>2019-20</w:t>
            </w:r>
          </w:p>
        </w:tc>
        <w:tc>
          <w:tcPr>
            <w:tcW w:w="1267" w:type="dxa"/>
            <w:tcBorders>
              <w:top w:val="single" w:sz="4" w:space="0" w:color="auto"/>
            </w:tcBorders>
            <w:vAlign w:val="bottom"/>
          </w:tcPr>
          <w:p w14:paraId="6CBE01E2" w14:textId="69B23A10" w:rsidR="000D5CF0" w:rsidRPr="009630FB" w:rsidRDefault="000D5CF0" w:rsidP="009630FB">
            <w:pPr>
              <w:cnfStyle w:val="100000000000" w:firstRow="1" w:lastRow="0" w:firstColumn="0" w:lastColumn="0" w:oddVBand="0" w:evenVBand="0" w:oddHBand="0" w:evenHBand="0" w:firstRowFirstColumn="0" w:firstRowLastColumn="0" w:lastRowFirstColumn="0" w:lastRowLastColumn="0"/>
            </w:pPr>
            <w:r w:rsidRPr="009630FB">
              <w:t>2020-21</w:t>
            </w:r>
          </w:p>
        </w:tc>
      </w:tr>
      <w:bookmarkEnd w:id="1440"/>
      <w:tr w:rsidR="000D5CF0" w:rsidRPr="000D5CF0" w14:paraId="3F4EA3D1"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01885518" w14:textId="2CC8A831" w:rsidR="000D5CF0" w:rsidRPr="000D5CF0" w:rsidRDefault="000D5CF0" w:rsidP="009630FB">
            <w:pPr>
              <w:pStyle w:val="TableBodyText"/>
              <w:rPr>
                <w:rStyle w:val="Bold"/>
              </w:rPr>
            </w:pPr>
            <w:r w:rsidRPr="000D5CF0">
              <w:rPr>
                <w:rStyle w:val="Bold"/>
              </w:rPr>
              <w:t>Type</w:t>
            </w:r>
          </w:p>
        </w:tc>
        <w:tc>
          <w:tcPr>
            <w:tcW w:w="1276" w:type="dxa"/>
          </w:tcPr>
          <w:p w14:paraId="663531D7" w14:textId="0385F82E" w:rsidR="000D5CF0" w:rsidRDefault="000D5CF0"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21C5E0D2" w14:textId="01E9CF22" w:rsidR="000D5CF0" w:rsidRDefault="000D5CF0" w:rsidP="009630F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D5CF0" w:rsidRPr="000D5CF0" w14:paraId="717A3A4E"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554FC47B" w14:textId="296AB2AC" w:rsidR="000D5CF0" w:rsidRPr="000D5CF0" w:rsidRDefault="000D5CF0" w:rsidP="009630FB">
            <w:pPr>
              <w:pStyle w:val="TableBodyText"/>
            </w:pPr>
            <w:r>
              <w:t>Potential breaches detected</w:t>
            </w:r>
          </w:p>
        </w:tc>
        <w:tc>
          <w:tcPr>
            <w:tcW w:w="1276" w:type="dxa"/>
          </w:tcPr>
          <w:p w14:paraId="70318762" w14:textId="17F3E390" w:rsidR="000D5CF0" w:rsidRPr="000D5CF0" w:rsidRDefault="000D5CF0"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3723BF9A" w14:textId="0CC8B486" w:rsidR="000D5CF0" w:rsidRPr="000D5CF0" w:rsidRDefault="000D5CF0" w:rsidP="009630F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D5CF0" w:rsidRPr="000D5CF0" w14:paraId="696472BF"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791BA77C" w14:textId="4CA41BD7" w:rsidR="000D5CF0" w:rsidRPr="000D5CF0" w:rsidRDefault="000D5CF0" w:rsidP="009630FB">
            <w:pPr>
              <w:pStyle w:val="TableBodyText"/>
            </w:pPr>
            <w:r>
              <w:t>Investigations commenced</w:t>
            </w:r>
          </w:p>
        </w:tc>
        <w:tc>
          <w:tcPr>
            <w:tcW w:w="1276" w:type="dxa"/>
          </w:tcPr>
          <w:p w14:paraId="34F548A4" w14:textId="790751BE"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18</w:t>
            </w:r>
          </w:p>
        </w:tc>
        <w:tc>
          <w:tcPr>
            <w:tcW w:w="1267" w:type="dxa"/>
          </w:tcPr>
          <w:p w14:paraId="40F09A83" w14:textId="28D7E10F"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7</w:t>
            </w:r>
          </w:p>
        </w:tc>
      </w:tr>
      <w:tr w:rsidR="000D5CF0" w:rsidRPr="000D5CF0" w14:paraId="3F5530C9"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0FD528A0" w14:textId="05E61487" w:rsidR="000D5CF0" w:rsidRPr="000D5CF0" w:rsidRDefault="000D5CF0" w:rsidP="009630FB">
            <w:pPr>
              <w:pStyle w:val="TableBodyText"/>
            </w:pPr>
            <w:r>
              <w:t>Investigations commenced – formal Interview</w:t>
            </w:r>
          </w:p>
        </w:tc>
        <w:tc>
          <w:tcPr>
            <w:tcW w:w="1276" w:type="dxa"/>
          </w:tcPr>
          <w:p w14:paraId="7F843705" w14:textId="55FC0A8B"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0E3FC42A" w14:textId="412D695D"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2</w:t>
            </w:r>
          </w:p>
        </w:tc>
      </w:tr>
      <w:tr w:rsidR="000D5CF0" w:rsidRPr="000D5CF0" w14:paraId="1F4434B8" w14:textId="77777777" w:rsidTr="009630FB">
        <w:tc>
          <w:tcPr>
            <w:cnfStyle w:val="001000000000" w:firstRow="0" w:lastRow="0" w:firstColumn="1" w:lastColumn="0" w:oddVBand="0" w:evenVBand="0" w:oddHBand="0" w:evenHBand="0" w:firstRowFirstColumn="0" w:firstRowLastColumn="0" w:lastRowFirstColumn="0" w:lastRowLastColumn="0"/>
            <w:tcW w:w="7088" w:type="dxa"/>
            <w:tcBorders>
              <w:bottom w:val="single" w:sz="4" w:space="0" w:color="auto"/>
            </w:tcBorders>
          </w:tcPr>
          <w:p w14:paraId="45767E97" w14:textId="21B29BBA" w:rsidR="000D5CF0" w:rsidRPr="000D5CF0" w:rsidRDefault="000D5CF0" w:rsidP="009630FB">
            <w:pPr>
              <w:pStyle w:val="TableBodyText"/>
            </w:pPr>
            <w:r>
              <w:t>Investigation finalised</w:t>
            </w:r>
          </w:p>
        </w:tc>
        <w:tc>
          <w:tcPr>
            <w:tcW w:w="1276" w:type="dxa"/>
            <w:tcBorders>
              <w:bottom w:val="single" w:sz="4" w:space="0" w:color="auto"/>
            </w:tcBorders>
          </w:tcPr>
          <w:p w14:paraId="6DE3318E" w14:textId="74C045E0"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33</w:t>
            </w:r>
          </w:p>
        </w:tc>
        <w:tc>
          <w:tcPr>
            <w:tcW w:w="1267" w:type="dxa"/>
            <w:tcBorders>
              <w:bottom w:val="single" w:sz="4" w:space="0" w:color="auto"/>
            </w:tcBorders>
          </w:tcPr>
          <w:p w14:paraId="3FF11876" w14:textId="7D3E7C4D"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44</w:t>
            </w:r>
          </w:p>
        </w:tc>
      </w:tr>
      <w:tr w:rsidR="000D5CF0" w:rsidRPr="00AD7993" w14:paraId="6835438E" w14:textId="77777777" w:rsidTr="009630FB">
        <w:tc>
          <w:tcPr>
            <w:cnfStyle w:val="001000000000" w:firstRow="0" w:lastRow="0" w:firstColumn="1" w:lastColumn="0" w:oddVBand="0" w:evenVBand="0" w:oddHBand="0" w:evenHBand="0" w:firstRowFirstColumn="0" w:firstRowLastColumn="0" w:lastRowFirstColumn="0" w:lastRowLastColumn="0"/>
            <w:tcW w:w="7088" w:type="dxa"/>
            <w:tcBorders>
              <w:top w:val="single" w:sz="4" w:space="0" w:color="auto"/>
              <w:bottom w:val="single" w:sz="4" w:space="0" w:color="auto"/>
            </w:tcBorders>
          </w:tcPr>
          <w:p w14:paraId="61AF5A6D" w14:textId="607CD604" w:rsidR="000D5CF0" w:rsidRPr="00AD7993" w:rsidRDefault="000D5CF0" w:rsidP="009630FB">
            <w:pPr>
              <w:pStyle w:val="TableBodyText"/>
              <w:rPr>
                <w:rStyle w:val="Bold"/>
              </w:rPr>
            </w:pPr>
            <w:r w:rsidRPr="00AD7993">
              <w:rPr>
                <w:rStyle w:val="Bold"/>
              </w:rPr>
              <w:t>Totals</w:t>
            </w:r>
          </w:p>
        </w:tc>
        <w:tc>
          <w:tcPr>
            <w:tcW w:w="1276" w:type="dxa"/>
            <w:tcBorders>
              <w:top w:val="single" w:sz="4" w:space="0" w:color="auto"/>
              <w:bottom w:val="single" w:sz="4" w:space="0" w:color="auto"/>
            </w:tcBorders>
          </w:tcPr>
          <w:p w14:paraId="1F2CF78B" w14:textId="10D3482B" w:rsidR="000D5CF0" w:rsidRPr="00AD7993" w:rsidRDefault="00AD7993" w:rsidP="009630F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AD7993">
              <w:rPr>
                <w:rStyle w:val="Bold"/>
              </w:rPr>
              <w:t>51</w:t>
            </w:r>
          </w:p>
        </w:tc>
        <w:tc>
          <w:tcPr>
            <w:tcW w:w="1267" w:type="dxa"/>
            <w:tcBorders>
              <w:top w:val="single" w:sz="4" w:space="0" w:color="auto"/>
              <w:bottom w:val="single" w:sz="4" w:space="0" w:color="auto"/>
            </w:tcBorders>
          </w:tcPr>
          <w:p w14:paraId="1B215136" w14:textId="323B2D81" w:rsidR="000D5CF0" w:rsidRPr="00AD7993" w:rsidRDefault="00AD7993" w:rsidP="009630F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AD7993">
              <w:rPr>
                <w:rStyle w:val="Bold"/>
              </w:rPr>
              <w:t>53</w:t>
            </w:r>
          </w:p>
        </w:tc>
      </w:tr>
      <w:tr w:rsidR="000D5CF0" w:rsidRPr="000D5CF0" w14:paraId="12FB889D" w14:textId="77777777" w:rsidTr="009630FB">
        <w:tc>
          <w:tcPr>
            <w:cnfStyle w:val="001000000000" w:firstRow="0" w:lastRow="0" w:firstColumn="1" w:lastColumn="0" w:oddVBand="0" w:evenVBand="0" w:oddHBand="0" w:evenHBand="0" w:firstRowFirstColumn="0" w:firstRowLastColumn="0" w:lastRowFirstColumn="0" w:lastRowLastColumn="0"/>
            <w:tcW w:w="7088" w:type="dxa"/>
            <w:tcBorders>
              <w:top w:val="single" w:sz="4" w:space="0" w:color="auto"/>
            </w:tcBorders>
          </w:tcPr>
          <w:p w14:paraId="627979BF" w14:textId="3FE532E8" w:rsidR="000D5CF0" w:rsidRPr="00AD7993" w:rsidRDefault="000D5CF0" w:rsidP="009630FB">
            <w:pPr>
              <w:pStyle w:val="TableBodyText"/>
              <w:rPr>
                <w:rStyle w:val="Bold"/>
              </w:rPr>
            </w:pPr>
            <w:r w:rsidRPr="00AD7993">
              <w:rPr>
                <w:rStyle w:val="Bold"/>
              </w:rPr>
              <w:t>Resolutions</w:t>
            </w:r>
          </w:p>
        </w:tc>
        <w:tc>
          <w:tcPr>
            <w:tcW w:w="1276" w:type="dxa"/>
            <w:tcBorders>
              <w:top w:val="single" w:sz="4" w:space="0" w:color="auto"/>
            </w:tcBorders>
          </w:tcPr>
          <w:p w14:paraId="69407FE8" w14:textId="60B3C23B" w:rsidR="000D5CF0" w:rsidRPr="000D5CF0" w:rsidRDefault="000D5CF0"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Borders>
              <w:top w:val="single" w:sz="4" w:space="0" w:color="auto"/>
            </w:tcBorders>
          </w:tcPr>
          <w:p w14:paraId="6A77DA38" w14:textId="6DCD11DF" w:rsidR="000D5CF0" w:rsidRPr="000D5CF0" w:rsidRDefault="000D5CF0" w:rsidP="009630FB">
            <w:pPr>
              <w:pStyle w:val="TableBodyText"/>
              <w:cnfStyle w:val="000000000000" w:firstRow="0" w:lastRow="0" w:firstColumn="0" w:lastColumn="0" w:oddVBand="0" w:evenVBand="0" w:oddHBand="0" w:evenHBand="0" w:firstRowFirstColumn="0" w:firstRowLastColumn="0" w:lastRowFirstColumn="0" w:lastRowLastColumn="0"/>
            </w:pPr>
            <w:r>
              <w:t>N/A</w:t>
            </w:r>
          </w:p>
        </w:tc>
      </w:tr>
      <w:tr w:rsidR="000D5CF0" w:rsidRPr="000D5CF0" w14:paraId="3EB02FE5"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3FF01083" w14:textId="446F353F" w:rsidR="000D5CF0" w:rsidRPr="000D5CF0" w:rsidRDefault="000D5CF0" w:rsidP="009630FB">
            <w:pPr>
              <w:pStyle w:val="TableBodyText"/>
            </w:pPr>
            <w:r>
              <w:t>Under investigation</w:t>
            </w:r>
          </w:p>
        </w:tc>
        <w:tc>
          <w:tcPr>
            <w:tcW w:w="1276" w:type="dxa"/>
          </w:tcPr>
          <w:p w14:paraId="77B647C2" w14:textId="70E6CC71"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18</w:t>
            </w:r>
          </w:p>
        </w:tc>
        <w:tc>
          <w:tcPr>
            <w:tcW w:w="1267" w:type="dxa"/>
          </w:tcPr>
          <w:p w14:paraId="26EBC9F9" w14:textId="613E003D"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9</w:t>
            </w:r>
          </w:p>
        </w:tc>
      </w:tr>
      <w:tr w:rsidR="000D5CF0" w:rsidRPr="000D5CF0" w14:paraId="0779EA1B"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15B93AB3" w14:textId="541BC970" w:rsidR="000D5CF0" w:rsidRPr="000D5CF0" w:rsidRDefault="000D5CF0" w:rsidP="009630FB">
            <w:pPr>
              <w:pStyle w:val="TableBodyText"/>
            </w:pPr>
            <w:r>
              <w:t>Dismissed (insufficient evidence)</w:t>
            </w:r>
          </w:p>
        </w:tc>
        <w:tc>
          <w:tcPr>
            <w:tcW w:w="1276" w:type="dxa"/>
          </w:tcPr>
          <w:p w14:paraId="7E0DA59D" w14:textId="229C014C"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1</w:t>
            </w:r>
          </w:p>
        </w:tc>
        <w:tc>
          <w:tcPr>
            <w:tcW w:w="1267" w:type="dxa"/>
          </w:tcPr>
          <w:p w14:paraId="6C9767E7" w14:textId="55EA91FB"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5</w:t>
            </w:r>
          </w:p>
        </w:tc>
      </w:tr>
      <w:tr w:rsidR="000D5CF0" w:rsidRPr="000D5CF0" w14:paraId="3DFE97F0"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3B313F72" w14:textId="55A40111" w:rsidR="000D5CF0" w:rsidRPr="000D5CF0" w:rsidRDefault="000D5CF0" w:rsidP="009630FB">
            <w:pPr>
              <w:pStyle w:val="TableBodyText"/>
            </w:pPr>
            <w:r>
              <w:t>No further action required</w:t>
            </w:r>
          </w:p>
        </w:tc>
        <w:tc>
          <w:tcPr>
            <w:tcW w:w="1276" w:type="dxa"/>
          </w:tcPr>
          <w:p w14:paraId="6B5BCECE" w14:textId="4CC6FA85"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21</w:t>
            </w:r>
          </w:p>
        </w:tc>
        <w:tc>
          <w:tcPr>
            <w:tcW w:w="1267" w:type="dxa"/>
          </w:tcPr>
          <w:p w14:paraId="3C199F3C" w14:textId="0BE19AE4"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25</w:t>
            </w:r>
          </w:p>
        </w:tc>
      </w:tr>
      <w:tr w:rsidR="000D5CF0" w:rsidRPr="000D5CF0" w14:paraId="6677B010"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2CACB95C" w14:textId="0294DD3D" w:rsidR="000D5CF0" w:rsidRPr="000D5CF0" w:rsidRDefault="000D5CF0" w:rsidP="009630FB">
            <w:pPr>
              <w:pStyle w:val="TableBodyText"/>
            </w:pPr>
            <w:r>
              <w:t>Referred to another agency</w:t>
            </w:r>
          </w:p>
        </w:tc>
        <w:tc>
          <w:tcPr>
            <w:tcW w:w="1276" w:type="dxa"/>
          </w:tcPr>
          <w:p w14:paraId="794FD32A" w14:textId="4E6D0187"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0664DCCF" w14:textId="46E07F98"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2</w:t>
            </w:r>
          </w:p>
        </w:tc>
      </w:tr>
      <w:tr w:rsidR="000D5CF0" w:rsidRPr="000D5CF0" w14:paraId="0DF858EC"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65BEC780" w14:textId="3B7084CB" w:rsidR="000D5CF0" w:rsidRPr="000D5CF0" w:rsidRDefault="000D5CF0" w:rsidP="009630FB">
            <w:pPr>
              <w:pStyle w:val="TableBodyText"/>
            </w:pPr>
            <w:r>
              <w:t>Verbal warning</w:t>
            </w:r>
          </w:p>
        </w:tc>
        <w:tc>
          <w:tcPr>
            <w:tcW w:w="1276" w:type="dxa"/>
          </w:tcPr>
          <w:p w14:paraId="62F85642" w14:textId="625B5A1E"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6C121D3B" w14:textId="659D2ABB"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7</w:t>
            </w:r>
          </w:p>
        </w:tc>
      </w:tr>
      <w:tr w:rsidR="000D5CF0" w:rsidRPr="000D5CF0" w14:paraId="5E56B491"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7A2621C3" w14:textId="1B97F50E" w:rsidR="000D5CF0" w:rsidRPr="000D5CF0" w:rsidRDefault="000D5CF0" w:rsidP="009630FB">
            <w:pPr>
              <w:pStyle w:val="TableBodyText"/>
            </w:pPr>
            <w:r>
              <w:t>Advisory letter</w:t>
            </w:r>
          </w:p>
        </w:tc>
        <w:tc>
          <w:tcPr>
            <w:tcW w:w="1276" w:type="dxa"/>
          </w:tcPr>
          <w:p w14:paraId="23EA348C" w14:textId="597D2F1C"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3</w:t>
            </w:r>
          </w:p>
        </w:tc>
        <w:tc>
          <w:tcPr>
            <w:tcW w:w="1267" w:type="dxa"/>
          </w:tcPr>
          <w:p w14:paraId="6AEE9854" w14:textId="32852395"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0</w:t>
            </w:r>
          </w:p>
        </w:tc>
      </w:tr>
      <w:tr w:rsidR="000D5CF0" w:rsidRPr="000D5CF0" w14:paraId="59F113D7"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02B21F9F" w14:textId="6786102F" w:rsidR="000D5CF0" w:rsidRPr="000D5CF0" w:rsidRDefault="000D5CF0" w:rsidP="009630FB">
            <w:pPr>
              <w:pStyle w:val="TableBodyText"/>
            </w:pPr>
            <w:r>
              <w:t>Formal warning</w:t>
            </w:r>
          </w:p>
        </w:tc>
        <w:tc>
          <w:tcPr>
            <w:tcW w:w="1276" w:type="dxa"/>
          </w:tcPr>
          <w:p w14:paraId="0673CD9D" w14:textId="38B2DFE0"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8</w:t>
            </w:r>
          </w:p>
        </w:tc>
        <w:tc>
          <w:tcPr>
            <w:tcW w:w="1267" w:type="dxa"/>
          </w:tcPr>
          <w:p w14:paraId="23A3B204" w14:textId="4143588F"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5</w:t>
            </w:r>
          </w:p>
        </w:tc>
      </w:tr>
      <w:tr w:rsidR="000D5CF0" w:rsidRPr="000D5CF0" w14:paraId="570AB162"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4B65098F" w14:textId="4909B227" w:rsidR="000D5CF0" w:rsidRPr="000D5CF0" w:rsidRDefault="000D5CF0" w:rsidP="009630FB">
            <w:pPr>
              <w:pStyle w:val="TableBodyText"/>
            </w:pPr>
            <w:r>
              <w:t>Formal interview</w:t>
            </w:r>
          </w:p>
        </w:tc>
        <w:tc>
          <w:tcPr>
            <w:tcW w:w="1276" w:type="dxa"/>
          </w:tcPr>
          <w:p w14:paraId="7E2C93C1" w14:textId="7CC7D012"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0F2D4708" w14:textId="188648F7"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0</w:t>
            </w:r>
          </w:p>
        </w:tc>
      </w:tr>
      <w:tr w:rsidR="000D5CF0" w:rsidRPr="000D5CF0" w14:paraId="2D8DF872"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0AAD8DB6" w14:textId="59B8DE1B" w:rsidR="000D5CF0" w:rsidRPr="000D5CF0" w:rsidRDefault="000D5CF0" w:rsidP="009630FB">
            <w:pPr>
              <w:pStyle w:val="TableBodyText"/>
            </w:pPr>
            <w:r>
              <w:t>Penalty Infringement Notice</w:t>
            </w:r>
          </w:p>
        </w:tc>
        <w:tc>
          <w:tcPr>
            <w:tcW w:w="1276" w:type="dxa"/>
          </w:tcPr>
          <w:p w14:paraId="3F2224BB" w14:textId="0DD5CE13"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1BE7FAD2" w14:textId="5E4F71A9"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0</w:t>
            </w:r>
          </w:p>
        </w:tc>
      </w:tr>
      <w:tr w:rsidR="000D5CF0" w:rsidRPr="000D5CF0" w14:paraId="1AFD8174"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163E9C85" w14:textId="2D4D00FE" w:rsidR="000D5CF0" w:rsidRPr="000D5CF0" w:rsidRDefault="000D5CF0" w:rsidP="009630FB">
            <w:pPr>
              <w:pStyle w:val="TableBodyText"/>
            </w:pPr>
            <w:r>
              <w:t>s.151 Notice of Contravention</w:t>
            </w:r>
          </w:p>
        </w:tc>
        <w:tc>
          <w:tcPr>
            <w:tcW w:w="1276" w:type="dxa"/>
          </w:tcPr>
          <w:p w14:paraId="7B075C1A" w14:textId="7558D8DB"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64653DB7" w14:textId="6C844629"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0</w:t>
            </w:r>
          </w:p>
        </w:tc>
      </w:tr>
      <w:tr w:rsidR="000D5CF0" w:rsidRPr="000D5CF0" w14:paraId="55C4E30B"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15A364F8" w14:textId="7BE210A7" w:rsidR="000D5CF0" w:rsidRDefault="000D5CF0" w:rsidP="009630FB">
            <w:pPr>
              <w:pStyle w:val="TableBodyText"/>
            </w:pPr>
            <w:r>
              <w:t>s.133 Notice of Entry</w:t>
            </w:r>
          </w:p>
        </w:tc>
        <w:tc>
          <w:tcPr>
            <w:tcW w:w="1276" w:type="dxa"/>
          </w:tcPr>
          <w:p w14:paraId="38653EE8" w14:textId="0E164471"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1F2B28B1" w14:textId="074C5448"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0</w:t>
            </w:r>
          </w:p>
        </w:tc>
      </w:tr>
      <w:tr w:rsidR="000D5CF0" w:rsidRPr="000D5CF0" w14:paraId="13313D1C" w14:textId="77777777" w:rsidTr="000D5CF0">
        <w:tc>
          <w:tcPr>
            <w:cnfStyle w:val="001000000000" w:firstRow="0" w:lastRow="0" w:firstColumn="1" w:lastColumn="0" w:oddVBand="0" w:evenVBand="0" w:oddHBand="0" w:evenHBand="0" w:firstRowFirstColumn="0" w:firstRowLastColumn="0" w:lastRowFirstColumn="0" w:lastRowLastColumn="0"/>
            <w:tcW w:w="7088" w:type="dxa"/>
          </w:tcPr>
          <w:p w14:paraId="1345FADF" w14:textId="018F8B77" w:rsidR="000D5CF0" w:rsidRDefault="000D5CF0" w:rsidP="009630FB">
            <w:pPr>
              <w:pStyle w:val="TableBodyText"/>
            </w:pPr>
            <w:r>
              <w:t>Recommended for prosecution</w:t>
            </w:r>
          </w:p>
        </w:tc>
        <w:tc>
          <w:tcPr>
            <w:tcW w:w="1276" w:type="dxa"/>
          </w:tcPr>
          <w:p w14:paraId="7EB5F295" w14:textId="6097FE27"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Pr>
          <w:p w14:paraId="25283976" w14:textId="41FE06D8"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0</w:t>
            </w:r>
          </w:p>
        </w:tc>
      </w:tr>
      <w:tr w:rsidR="000D5CF0" w:rsidRPr="000D5CF0" w14:paraId="0C50FAB5" w14:textId="77777777" w:rsidTr="000D5CF0">
        <w:tc>
          <w:tcPr>
            <w:cnfStyle w:val="001000000000" w:firstRow="0" w:lastRow="0" w:firstColumn="1" w:lastColumn="0" w:oddVBand="0" w:evenVBand="0" w:oddHBand="0" w:evenHBand="0" w:firstRowFirstColumn="0" w:firstRowLastColumn="0" w:lastRowFirstColumn="0" w:lastRowLastColumn="0"/>
            <w:tcW w:w="7088" w:type="dxa"/>
            <w:tcBorders>
              <w:bottom w:val="single" w:sz="4" w:space="0" w:color="auto"/>
            </w:tcBorders>
          </w:tcPr>
          <w:p w14:paraId="6F74C783" w14:textId="4ECCED28" w:rsidR="000D5CF0" w:rsidRDefault="000D5CF0" w:rsidP="009630FB">
            <w:pPr>
              <w:pStyle w:val="TableBodyText"/>
            </w:pPr>
            <w:r>
              <w:t>Finalised prosecution</w:t>
            </w:r>
          </w:p>
        </w:tc>
        <w:tc>
          <w:tcPr>
            <w:tcW w:w="1276" w:type="dxa"/>
            <w:tcBorders>
              <w:bottom w:val="single" w:sz="4" w:space="0" w:color="auto"/>
            </w:tcBorders>
          </w:tcPr>
          <w:p w14:paraId="6E16EA64" w14:textId="1890ABCA"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N/A</w:t>
            </w:r>
          </w:p>
        </w:tc>
        <w:tc>
          <w:tcPr>
            <w:tcW w:w="1267" w:type="dxa"/>
            <w:tcBorders>
              <w:bottom w:val="single" w:sz="4" w:space="0" w:color="auto"/>
            </w:tcBorders>
          </w:tcPr>
          <w:p w14:paraId="002AFDA3" w14:textId="011B2965" w:rsidR="000D5CF0" w:rsidRPr="000D5CF0" w:rsidRDefault="00AD7993" w:rsidP="009630FB">
            <w:pPr>
              <w:pStyle w:val="TableBodyText"/>
              <w:cnfStyle w:val="000000000000" w:firstRow="0" w:lastRow="0" w:firstColumn="0" w:lastColumn="0" w:oddVBand="0" w:evenVBand="0" w:oddHBand="0" w:evenHBand="0" w:firstRowFirstColumn="0" w:firstRowLastColumn="0" w:lastRowFirstColumn="0" w:lastRowLastColumn="0"/>
            </w:pPr>
            <w:r>
              <w:t>0</w:t>
            </w:r>
          </w:p>
        </w:tc>
      </w:tr>
    </w:tbl>
    <w:p w14:paraId="313A5DC9" w14:textId="77777777" w:rsidR="00AD7993" w:rsidRDefault="00AD7993" w:rsidP="00E757F8">
      <w:pPr>
        <w:pStyle w:val="Heading3"/>
      </w:pPr>
      <w:bookmarkStart w:id="1441" w:name="_Toc89723188"/>
      <w:bookmarkStart w:id="1442" w:name="_Toc90326130"/>
      <w:bookmarkStart w:id="1443" w:name="_Toc93659536"/>
      <w:r>
        <w:lastRenderedPageBreak/>
        <w:t>Metering Activities</w:t>
      </w:r>
      <w:bookmarkEnd w:id="1441"/>
      <w:bookmarkEnd w:id="1442"/>
      <w:bookmarkEnd w:id="1443"/>
    </w:p>
    <w:p w14:paraId="10576D44" w14:textId="5D6C17B9" w:rsidR="00AD7993" w:rsidRDefault="00AD7993" w:rsidP="00E757F8">
      <w:pPr>
        <w:pStyle w:val="BodyText"/>
        <w:keepNext/>
        <w:keepLines/>
      </w:pPr>
      <w:r>
        <w:t>Melbourne Water has a zero-tolerance approach to unauthorised water take and a risk-based approach to licence management. To support this we have developed and are delivering our Metering Action Plan, focused on continuing to improve the meter fleet with highly reliable AS4747 compliant meters and telemetry to provide real-time water usage data to Melbourne Water and our customers. Rollout of our Metering Action Plan is progressing ahead of schedule, and we anticipate we will be fully compliant to the implementation program of the Victorian Metering Policy with the upgrade of 130 meters and the installation of 195 data loggers remaining by 2025. Our Non-Urban Metering Action Plan plus summary can be found</w:t>
      </w:r>
      <w:r w:rsidR="00325446">
        <w:t xml:space="preserve"> on the</w:t>
      </w:r>
      <w:r>
        <w:t xml:space="preserve"> </w:t>
      </w:r>
      <w:hyperlink r:id="rId38" w:history="1">
        <w:r w:rsidR="00325446">
          <w:rPr>
            <w:rStyle w:val="Hyperlink"/>
          </w:rPr>
          <w:t>website</w:t>
        </w:r>
      </w:hyperlink>
      <w:r>
        <w:rPr>
          <w:rStyle w:val="FootnoteReference"/>
        </w:rPr>
        <w:footnoteReference w:id="12"/>
      </w:r>
      <w:r>
        <w:t>.</w:t>
      </w:r>
    </w:p>
    <w:p w14:paraId="4214C4CB" w14:textId="5AE84C60" w:rsidR="006B2667" w:rsidRDefault="00AD7993" w:rsidP="00AD7993">
      <w:pPr>
        <w:pStyle w:val="Caption"/>
      </w:pPr>
      <w:r>
        <w:t xml:space="preserve">Table </w:t>
      </w:r>
      <w:r w:rsidR="00926282">
        <w:fldChar w:fldCharType="begin"/>
      </w:r>
      <w:r w:rsidR="00926282">
        <w:instrText xml:space="preserve"> SEQ Table \* ARABIC </w:instrText>
      </w:r>
      <w:r w:rsidR="00926282">
        <w:fldChar w:fldCharType="separate"/>
      </w:r>
      <w:r w:rsidR="00472151">
        <w:rPr>
          <w:noProof/>
        </w:rPr>
        <w:t>12</w:t>
      </w:r>
      <w:r w:rsidR="00926282">
        <w:rPr>
          <w:noProof/>
        </w:rPr>
        <w:fldChar w:fldCharType="end"/>
      </w:r>
      <w:r>
        <w:t>: Summary of licensed metered sites as of July 2021.</w:t>
      </w:r>
    </w:p>
    <w:tbl>
      <w:tblPr>
        <w:tblStyle w:val="Style1"/>
        <w:tblW w:w="5000" w:type="pct"/>
        <w:tblLook w:val="04A0" w:firstRow="1" w:lastRow="0" w:firstColumn="1" w:lastColumn="0" w:noHBand="0" w:noVBand="1"/>
      </w:tblPr>
      <w:tblGrid>
        <w:gridCol w:w="8364"/>
        <w:gridCol w:w="1267"/>
      </w:tblGrid>
      <w:tr w:rsidR="002904C2" w:rsidRPr="009630FB" w14:paraId="3A11A7EB" w14:textId="77777777" w:rsidTr="00E75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2" w:type="pct"/>
            <w:tcBorders>
              <w:top w:val="single" w:sz="4" w:space="0" w:color="auto"/>
            </w:tcBorders>
            <w:vAlign w:val="bottom"/>
          </w:tcPr>
          <w:p w14:paraId="0BE6DAAD" w14:textId="7D4F40FE" w:rsidR="002904C2" w:rsidRPr="009630FB" w:rsidRDefault="002904C2" w:rsidP="009630FB">
            <w:bookmarkStart w:id="1444" w:name="ColumnTitle_122"/>
            <w:r w:rsidRPr="009630FB">
              <w:t>Category</w:t>
            </w:r>
          </w:p>
        </w:tc>
        <w:tc>
          <w:tcPr>
            <w:tcW w:w="658" w:type="pct"/>
            <w:tcBorders>
              <w:top w:val="single" w:sz="4" w:space="0" w:color="auto"/>
            </w:tcBorders>
            <w:vAlign w:val="bottom"/>
          </w:tcPr>
          <w:p w14:paraId="20FD8CDC" w14:textId="77777777" w:rsidR="002904C2" w:rsidRPr="009630FB" w:rsidRDefault="002904C2" w:rsidP="009630FB">
            <w:pPr>
              <w:cnfStyle w:val="100000000000" w:firstRow="1" w:lastRow="0" w:firstColumn="0" w:lastColumn="0" w:oddVBand="0" w:evenVBand="0" w:oddHBand="0" w:evenHBand="0" w:firstRowFirstColumn="0" w:firstRowLastColumn="0" w:lastRowFirstColumn="0" w:lastRowLastColumn="0"/>
            </w:pPr>
            <w:r w:rsidRPr="009630FB">
              <w:t>2020-21</w:t>
            </w:r>
          </w:p>
        </w:tc>
      </w:tr>
      <w:bookmarkEnd w:id="1444"/>
      <w:tr w:rsidR="002904C2" w:rsidRPr="000D5CF0" w14:paraId="7AB50820" w14:textId="77777777" w:rsidTr="009630FB">
        <w:tc>
          <w:tcPr>
            <w:cnfStyle w:val="001000000000" w:firstRow="0" w:lastRow="0" w:firstColumn="1" w:lastColumn="0" w:oddVBand="0" w:evenVBand="0" w:oddHBand="0" w:evenHBand="0" w:firstRowFirstColumn="0" w:firstRowLastColumn="0" w:lastRowFirstColumn="0" w:lastRowLastColumn="0"/>
            <w:tcW w:w="4342" w:type="pct"/>
            <w:vAlign w:val="top"/>
          </w:tcPr>
          <w:p w14:paraId="29B6A3D5" w14:textId="3667A1B0" w:rsidR="002904C2" w:rsidRPr="000D5CF0" w:rsidRDefault="002904C2" w:rsidP="009630FB">
            <w:pPr>
              <w:pStyle w:val="TableBodyText"/>
            </w:pPr>
            <w:r>
              <w:t>1. AS4747 Compliant Meters</w:t>
            </w:r>
          </w:p>
        </w:tc>
        <w:tc>
          <w:tcPr>
            <w:tcW w:w="658" w:type="pct"/>
            <w:vAlign w:val="top"/>
          </w:tcPr>
          <w:p w14:paraId="4FBC0267" w14:textId="176C9B2B" w:rsidR="002904C2" w:rsidRPr="000D5CF0" w:rsidRDefault="002904C2" w:rsidP="009630FB">
            <w:pPr>
              <w:pStyle w:val="TableBodyText"/>
              <w:cnfStyle w:val="000000000000" w:firstRow="0" w:lastRow="0" w:firstColumn="0" w:lastColumn="0" w:oddVBand="0" w:evenVBand="0" w:oddHBand="0" w:evenHBand="0" w:firstRowFirstColumn="0" w:firstRowLastColumn="0" w:lastRowFirstColumn="0" w:lastRowLastColumn="0"/>
            </w:pPr>
            <w:r>
              <w:t>322</w:t>
            </w:r>
          </w:p>
        </w:tc>
      </w:tr>
      <w:tr w:rsidR="002904C2" w:rsidRPr="000D5CF0" w14:paraId="78C89E74" w14:textId="77777777" w:rsidTr="009630FB">
        <w:tc>
          <w:tcPr>
            <w:cnfStyle w:val="001000000000" w:firstRow="0" w:lastRow="0" w:firstColumn="1" w:lastColumn="0" w:oddVBand="0" w:evenVBand="0" w:oddHBand="0" w:evenHBand="0" w:firstRowFirstColumn="0" w:firstRowLastColumn="0" w:lastRowFirstColumn="0" w:lastRowLastColumn="0"/>
            <w:tcW w:w="4342" w:type="pct"/>
            <w:vAlign w:val="top"/>
          </w:tcPr>
          <w:p w14:paraId="0E05A43F" w14:textId="1FC08F1D" w:rsidR="002904C2" w:rsidRPr="000D5CF0" w:rsidRDefault="002904C2" w:rsidP="009630FB">
            <w:pPr>
              <w:pStyle w:val="TableBodyText"/>
            </w:pPr>
            <w:r>
              <w:t>2. AS4747 Compliant Meters Still in Progress</w:t>
            </w:r>
          </w:p>
        </w:tc>
        <w:tc>
          <w:tcPr>
            <w:tcW w:w="658" w:type="pct"/>
            <w:vAlign w:val="top"/>
          </w:tcPr>
          <w:p w14:paraId="440B18F1" w14:textId="20F4ACF0" w:rsidR="002904C2" w:rsidRPr="000D5CF0" w:rsidRDefault="002904C2" w:rsidP="009630FB">
            <w:pPr>
              <w:pStyle w:val="TableBodyText"/>
              <w:cnfStyle w:val="000000000000" w:firstRow="0" w:lastRow="0" w:firstColumn="0" w:lastColumn="0" w:oddVBand="0" w:evenVBand="0" w:oddHBand="0" w:evenHBand="0" w:firstRowFirstColumn="0" w:firstRowLastColumn="0" w:lastRowFirstColumn="0" w:lastRowLastColumn="0"/>
            </w:pPr>
            <w:r>
              <w:t>14</w:t>
            </w:r>
          </w:p>
        </w:tc>
      </w:tr>
      <w:tr w:rsidR="002904C2" w:rsidRPr="000D5CF0" w14:paraId="0CE6C504" w14:textId="77777777" w:rsidTr="009630FB">
        <w:tc>
          <w:tcPr>
            <w:cnfStyle w:val="001000000000" w:firstRow="0" w:lastRow="0" w:firstColumn="1" w:lastColumn="0" w:oddVBand="0" w:evenVBand="0" w:oddHBand="0" w:evenHBand="0" w:firstRowFirstColumn="0" w:firstRowLastColumn="0" w:lastRowFirstColumn="0" w:lastRowLastColumn="0"/>
            <w:tcW w:w="4342" w:type="pct"/>
            <w:vAlign w:val="top"/>
          </w:tcPr>
          <w:p w14:paraId="68231B11" w14:textId="76992132" w:rsidR="002904C2" w:rsidRPr="000D5CF0" w:rsidRDefault="002904C2" w:rsidP="009630FB">
            <w:pPr>
              <w:pStyle w:val="TableBodyText"/>
            </w:pPr>
            <w:r>
              <w:t>3. Subtotal</w:t>
            </w:r>
          </w:p>
        </w:tc>
        <w:tc>
          <w:tcPr>
            <w:tcW w:w="658" w:type="pct"/>
            <w:vAlign w:val="top"/>
          </w:tcPr>
          <w:p w14:paraId="25D23923" w14:textId="5860C6B6" w:rsidR="002904C2" w:rsidRDefault="002904C2" w:rsidP="009630FB">
            <w:pPr>
              <w:pStyle w:val="TableBodyText"/>
              <w:cnfStyle w:val="000000000000" w:firstRow="0" w:lastRow="0" w:firstColumn="0" w:lastColumn="0" w:oddVBand="0" w:evenVBand="0" w:oddHBand="0" w:evenHBand="0" w:firstRowFirstColumn="0" w:firstRowLastColumn="0" w:lastRowFirstColumn="0" w:lastRowLastColumn="0"/>
            </w:pPr>
            <w:r>
              <w:t>336</w:t>
            </w:r>
          </w:p>
        </w:tc>
      </w:tr>
      <w:tr w:rsidR="002904C2" w:rsidRPr="000D5CF0" w14:paraId="54F6BE22" w14:textId="77777777" w:rsidTr="009630FB">
        <w:tc>
          <w:tcPr>
            <w:cnfStyle w:val="001000000000" w:firstRow="0" w:lastRow="0" w:firstColumn="1" w:lastColumn="0" w:oddVBand="0" w:evenVBand="0" w:oddHBand="0" w:evenHBand="0" w:firstRowFirstColumn="0" w:firstRowLastColumn="0" w:lastRowFirstColumn="0" w:lastRowLastColumn="0"/>
            <w:tcW w:w="4342" w:type="pct"/>
            <w:vAlign w:val="top"/>
          </w:tcPr>
          <w:p w14:paraId="03547843" w14:textId="48963375" w:rsidR="002904C2" w:rsidRPr="000D5CF0" w:rsidRDefault="002904C2" w:rsidP="009630FB">
            <w:pPr>
              <w:pStyle w:val="TableBodyText"/>
            </w:pPr>
            <w:r>
              <w:t>4. Contemporary Meters</w:t>
            </w:r>
            <w:r>
              <w:rPr>
                <w:rStyle w:val="FootnoteReference"/>
              </w:rPr>
              <w:footnoteReference w:id="13"/>
            </w:r>
          </w:p>
        </w:tc>
        <w:tc>
          <w:tcPr>
            <w:tcW w:w="658" w:type="pct"/>
            <w:vAlign w:val="top"/>
          </w:tcPr>
          <w:p w14:paraId="5A965990" w14:textId="7133474C" w:rsidR="002904C2" w:rsidRDefault="002904C2" w:rsidP="009630FB">
            <w:pPr>
              <w:pStyle w:val="TableBodyText"/>
              <w:cnfStyle w:val="000000000000" w:firstRow="0" w:lastRow="0" w:firstColumn="0" w:lastColumn="0" w:oddVBand="0" w:evenVBand="0" w:oddHBand="0" w:evenHBand="0" w:firstRowFirstColumn="0" w:firstRowLastColumn="0" w:lastRowFirstColumn="0" w:lastRowLastColumn="0"/>
            </w:pPr>
            <w:r>
              <w:t>130</w:t>
            </w:r>
          </w:p>
        </w:tc>
      </w:tr>
      <w:tr w:rsidR="002904C2" w:rsidRPr="000D5CF0" w14:paraId="1F3E99F3" w14:textId="77777777" w:rsidTr="009630FB">
        <w:tc>
          <w:tcPr>
            <w:cnfStyle w:val="001000000000" w:firstRow="0" w:lastRow="0" w:firstColumn="1" w:lastColumn="0" w:oddVBand="0" w:evenVBand="0" w:oddHBand="0" w:evenHBand="0" w:firstRowFirstColumn="0" w:firstRowLastColumn="0" w:lastRowFirstColumn="0" w:lastRowLastColumn="0"/>
            <w:tcW w:w="4342" w:type="pct"/>
            <w:tcBorders>
              <w:bottom w:val="single" w:sz="4" w:space="0" w:color="auto"/>
            </w:tcBorders>
            <w:vAlign w:val="top"/>
          </w:tcPr>
          <w:p w14:paraId="4373BE3A" w14:textId="266AC646" w:rsidR="002904C2" w:rsidRPr="000D5CF0" w:rsidRDefault="002904C2" w:rsidP="009630FB">
            <w:pPr>
              <w:pStyle w:val="TableBodyText"/>
            </w:pPr>
            <w:r>
              <w:t xml:space="preserve">5. </w:t>
            </w:r>
            <w:r w:rsidRPr="002904C2">
              <w:t>Exempt</w:t>
            </w:r>
            <w:r>
              <w:t xml:space="preserve"> Meters</w:t>
            </w:r>
          </w:p>
        </w:tc>
        <w:tc>
          <w:tcPr>
            <w:tcW w:w="658" w:type="pct"/>
            <w:tcBorders>
              <w:bottom w:val="single" w:sz="4" w:space="0" w:color="auto"/>
            </w:tcBorders>
            <w:vAlign w:val="top"/>
          </w:tcPr>
          <w:p w14:paraId="512BFABA" w14:textId="208634D4" w:rsidR="002904C2" w:rsidRPr="000D5CF0" w:rsidRDefault="002904C2" w:rsidP="009630FB">
            <w:pPr>
              <w:pStyle w:val="TableBodyText"/>
              <w:cnfStyle w:val="000000000000" w:firstRow="0" w:lastRow="0" w:firstColumn="0" w:lastColumn="0" w:oddVBand="0" w:evenVBand="0" w:oddHBand="0" w:evenHBand="0" w:firstRowFirstColumn="0" w:firstRowLastColumn="0" w:lastRowFirstColumn="0" w:lastRowLastColumn="0"/>
            </w:pPr>
            <w:r>
              <w:t>324</w:t>
            </w:r>
          </w:p>
        </w:tc>
      </w:tr>
      <w:tr w:rsidR="002904C2" w:rsidRPr="002904C2" w14:paraId="3E6F6E41" w14:textId="77777777" w:rsidTr="009630FB">
        <w:tc>
          <w:tcPr>
            <w:cnfStyle w:val="001000000000" w:firstRow="0" w:lastRow="0" w:firstColumn="1" w:lastColumn="0" w:oddVBand="0" w:evenVBand="0" w:oddHBand="0" w:evenHBand="0" w:firstRowFirstColumn="0" w:firstRowLastColumn="0" w:lastRowFirstColumn="0" w:lastRowLastColumn="0"/>
            <w:tcW w:w="4342" w:type="pct"/>
            <w:tcBorders>
              <w:top w:val="single" w:sz="4" w:space="0" w:color="auto"/>
              <w:bottom w:val="single" w:sz="4" w:space="0" w:color="auto"/>
            </w:tcBorders>
            <w:vAlign w:val="top"/>
          </w:tcPr>
          <w:p w14:paraId="18B64E88" w14:textId="088E8D21" w:rsidR="002904C2" w:rsidRPr="002904C2" w:rsidRDefault="002904C2" w:rsidP="009630FB">
            <w:pPr>
              <w:pStyle w:val="TableBodyText"/>
              <w:rPr>
                <w:rStyle w:val="Bold"/>
              </w:rPr>
            </w:pPr>
            <w:r w:rsidRPr="002904C2">
              <w:rPr>
                <w:rStyle w:val="Bold"/>
              </w:rPr>
              <w:t>Total</w:t>
            </w:r>
          </w:p>
        </w:tc>
        <w:tc>
          <w:tcPr>
            <w:tcW w:w="658" w:type="pct"/>
            <w:tcBorders>
              <w:top w:val="single" w:sz="4" w:space="0" w:color="auto"/>
              <w:bottom w:val="single" w:sz="4" w:space="0" w:color="auto"/>
            </w:tcBorders>
            <w:vAlign w:val="top"/>
          </w:tcPr>
          <w:p w14:paraId="0F7CB66F" w14:textId="4127EEC3" w:rsidR="002904C2" w:rsidRPr="002904C2" w:rsidRDefault="002904C2" w:rsidP="009630FB">
            <w:pPr>
              <w:pStyle w:val="TableBodyText"/>
              <w:cnfStyle w:val="000000000000" w:firstRow="0" w:lastRow="0" w:firstColumn="0" w:lastColumn="0" w:oddVBand="0" w:evenVBand="0" w:oddHBand="0" w:evenHBand="0" w:firstRowFirstColumn="0" w:firstRowLastColumn="0" w:lastRowFirstColumn="0" w:lastRowLastColumn="0"/>
              <w:rPr>
                <w:rStyle w:val="Bold"/>
              </w:rPr>
            </w:pPr>
            <w:r w:rsidRPr="002904C2">
              <w:rPr>
                <w:rStyle w:val="Bold"/>
              </w:rPr>
              <w:t>790</w:t>
            </w:r>
          </w:p>
        </w:tc>
      </w:tr>
    </w:tbl>
    <w:p w14:paraId="56B7D00A" w14:textId="2BC6C4E4" w:rsidR="002904C2" w:rsidRDefault="002904C2" w:rsidP="002904C2">
      <w:pPr>
        <w:pStyle w:val="BodyText"/>
      </w:pPr>
      <w:r>
        <w:t>The 790 Melbourne Water meters range in diameters from 25 to 450 mm in size with the vast majority of the meters being in the 50 to 150 mm range. As of June 2021, we have 72 per cent of total required meter fleet compliant with AS4747 meters with the remaining 130 meters scheduled to be upgraded to AS4747 by 2025.</w:t>
      </w:r>
    </w:p>
    <w:p w14:paraId="56412203" w14:textId="7B0B8731" w:rsidR="006B2667" w:rsidRDefault="002904C2" w:rsidP="002904C2">
      <w:pPr>
        <w:pStyle w:val="BodyText"/>
      </w:pPr>
      <w:r>
        <w:t>Melbourne Water also undertakes meter validations as per AS4747. This is done on each waterway every five years by a Certified Meter Validator. During 2020-21, there were approximately 218 meters were validated onsite.</w:t>
      </w:r>
    </w:p>
    <w:p w14:paraId="79BB1BDC" w14:textId="77777777" w:rsidR="00317C92" w:rsidRDefault="00317C92" w:rsidP="00317C92">
      <w:pPr>
        <w:pStyle w:val="Heading3"/>
      </w:pPr>
      <w:bookmarkStart w:id="1445" w:name="_Toc89723189"/>
      <w:bookmarkStart w:id="1446" w:name="_Toc90326131"/>
      <w:bookmarkStart w:id="1447" w:name="_Toc93659537"/>
      <w:r>
        <w:t>Public Information and Education Campaigns</w:t>
      </w:r>
      <w:bookmarkEnd w:id="1445"/>
      <w:bookmarkEnd w:id="1446"/>
      <w:bookmarkEnd w:id="1447"/>
    </w:p>
    <w:p w14:paraId="18177C55" w14:textId="682D76FF" w:rsidR="00317C92" w:rsidRDefault="00317C92" w:rsidP="00317C92">
      <w:pPr>
        <w:pStyle w:val="BodyText"/>
      </w:pPr>
      <w:r>
        <w:t>To inform customers and promote our approach to zero tolerance on water theft Melbourne Water has undertaken a number of initiatives including developing a compliance and enforcement web page, adding Zero Tolerance to water theft banners on invoices, having a compliance focus for the annual StreamNews newsletter, conversations with customers by our officers in the field and creating four Fact Sheets. These documents can be assessed</w:t>
      </w:r>
      <w:r w:rsidR="00325446">
        <w:t xml:space="preserve"> on the</w:t>
      </w:r>
      <w:r>
        <w:t xml:space="preserve"> </w:t>
      </w:r>
      <w:hyperlink r:id="rId39" w:history="1">
        <w:r w:rsidR="00325446">
          <w:rPr>
            <w:rStyle w:val="Hyperlink"/>
          </w:rPr>
          <w:t>website</w:t>
        </w:r>
      </w:hyperlink>
      <w:r>
        <w:rPr>
          <w:rStyle w:val="FootnoteReference"/>
        </w:rPr>
        <w:footnoteReference w:id="14"/>
      </w:r>
      <w:r>
        <w:t>.</w:t>
      </w:r>
    </w:p>
    <w:p w14:paraId="00BDC74D" w14:textId="354B4D4D" w:rsidR="00317C92" w:rsidRDefault="00317C92" w:rsidP="00317C92">
      <w:pPr>
        <w:pStyle w:val="BodyText"/>
      </w:pPr>
      <w:r>
        <w:t>Melbourne Water's Compliance and Enforcement is a risk-based strategy to ensure that resources are used efficiently, focusing more on areas where there are the greatest compliance risks. Our approach to compliance and enforcement is risk-based and responsive, so our actions reflect the seriousness of the offence. We are committed to:</w:t>
      </w:r>
    </w:p>
    <w:p w14:paraId="36790EDB" w14:textId="140FAF29" w:rsidR="00317C92" w:rsidRDefault="00317C92" w:rsidP="00C778D6">
      <w:pPr>
        <w:pStyle w:val="ListBullet"/>
      </w:pPr>
      <w:r>
        <w:t>an emphasis on education, community engagement, technology and monitoring programs, to encourage and assist with compliance</w:t>
      </w:r>
    </w:p>
    <w:p w14:paraId="5D3BBA17" w14:textId="23D17E50" w:rsidR="00317C92" w:rsidRDefault="00317C92" w:rsidP="00317C92">
      <w:pPr>
        <w:pStyle w:val="ListBullet"/>
      </w:pPr>
      <w:r>
        <w:t>a clear and logical escalation pathway in response to detected breaches</w:t>
      </w:r>
    </w:p>
    <w:p w14:paraId="575EF44C" w14:textId="6C6193C5" w:rsidR="00317C92" w:rsidRDefault="00317C92" w:rsidP="00317C92">
      <w:pPr>
        <w:pStyle w:val="ListBullet"/>
      </w:pPr>
      <w:r>
        <w:lastRenderedPageBreak/>
        <w:t>working in good faith with all parties and using our enforcement powers only when needed.</w:t>
      </w:r>
    </w:p>
    <w:p w14:paraId="70CEEFAF" w14:textId="77777777" w:rsidR="00317C92" w:rsidRDefault="00317C92" w:rsidP="00317C92">
      <w:pPr>
        <w:pStyle w:val="Heading3"/>
      </w:pPr>
      <w:bookmarkStart w:id="1448" w:name="_Toc89723190"/>
      <w:bookmarkStart w:id="1449" w:name="_Toc90326132"/>
      <w:bookmarkStart w:id="1450" w:name="_Toc93659538"/>
      <w:r>
        <w:t>Bans and Restrictions</w:t>
      </w:r>
      <w:bookmarkEnd w:id="1448"/>
      <w:bookmarkEnd w:id="1449"/>
      <w:bookmarkEnd w:id="1450"/>
    </w:p>
    <w:p w14:paraId="70C50E64" w14:textId="0EE0AF03" w:rsidR="00317C92" w:rsidRDefault="00317C92" w:rsidP="00317C92">
      <w:pPr>
        <w:pStyle w:val="BodyText"/>
      </w:pPr>
      <w:r>
        <w:t>Melbourne Water will be transparent about our water use compliance strategies, protocols, and compliance and enforcement activities.</w:t>
      </w:r>
    </w:p>
    <w:p w14:paraId="41E6ED9B" w14:textId="5717F6C6" w:rsidR="00317C92" w:rsidRDefault="00317C92" w:rsidP="00317C92">
      <w:pPr>
        <w:pStyle w:val="BodyText"/>
      </w:pPr>
      <w:r>
        <w:t>Also, during drought or low flow conditions, licenced diverters’ access to water may be restricted or banned to protect the environment. Our Drought Response Plan is active at all times, and specifies how water is shared when there is not enough to meet all users’ needs. It states river flow levels which trigger restrictions or bans, and how these are applied to different licence types. These trigger points have been developed together with stream flow management plans or local management rules/plans.</w:t>
      </w:r>
    </w:p>
    <w:p w14:paraId="210B7B7C" w14:textId="333B0B8D" w:rsidR="00317C92" w:rsidRDefault="00317C92" w:rsidP="00317C92">
      <w:pPr>
        <w:pStyle w:val="BodyText"/>
      </w:pPr>
      <w:r>
        <w:t xml:space="preserve">The status of restrictions and bans for individual catchments is posted daily on Melbourne Water’s </w:t>
      </w:r>
      <w:hyperlink r:id="rId40" w:history="1">
        <w:r w:rsidRPr="00317C92">
          <w:rPr>
            <w:rStyle w:val="Hyperlink"/>
          </w:rPr>
          <w:t>website</w:t>
        </w:r>
      </w:hyperlink>
      <w:r>
        <w:rPr>
          <w:rStyle w:val="FootnoteReference"/>
        </w:rPr>
        <w:footnoteReference w:id="15"/>
      </w:r>
      <w:r>
        <w:t xml:space="preserve"> and is available by calling Melbourne Water on 131 722 at any time or via an automated SMS services to subscribed customers.</w:t>
      </w:r>
    </w:p>
    <w:p w14:paraId="4ACA03CF" w14:textId="246566CD" w:rsidR="00317C92" w:rsidRDefault="00317C92" w:rsidP="00317C92">
      <w:pPr>
        <w:pStyle w:val="BodyText"/>
      </w:pPr>
      <w:r>
        <w:t>During 2020-21, we sent out 4630 text messages to 240 subscribed customers advising them on waterway pumping restrictions and/or bans.</w:t>
      </w:r>
    </w:p>
    <w:p w14:paraId="044E5718" w14:textId="2175092B" w:rsidR="002904C2" w:rsidRDefault="00317C92" w:rsidP="00317C92">
      <w:pPr>
        <w:pStyle w:val="Caption"/>
      </w:pPr>
      <w:r>
        <w:t xml:space="preserve">Table </w:t>
      </w:r>
      <w:r w:rsidR="00926282">
        <w:fldChar w:fldCharType="begin"/>
      </w:r>
      <w:r w:rsidR="00926282">
        <w:instrText xml:space="preserve"> SEQ Table \* ARABIC </w:instrText>
      </w:r>
      <w:r w:rsidR="00926282">
        <w:fldChar w:fldCharType="separate"/>
      </w:r>
      <w:r w:rsidR="00472151">
        <w:rPr>
          <w:noProof/>
        </w:rPr>
        <w:t>13</w:t>
      </w:r>
      <w:r w:rsidR="00926282">
        <w:rPr>
          <w:noProof/>
        </w:rPr>
        <w:fldChar w:fldCharType="end"/>
      </w:r>
      <w:r>
        <w:t>: Summary of bans and restrictions in 2020-21.</w:t>
      </w:r>
    </w:p>
    <w:tbl>
      <w:tblPr>
        <w:tblStyle w:val="TableGrid"/>
        <w:tblW w:w="5000" w:type="pct"/>
        <w:tblLayout w:type="fixed"/>
        <w:tblLook w:val="04A0" w:firstRow="1" w:lastRow="0" w:firstColumn="1" w:lastColumn="0" w:noHBand="0" w:noVBand="1"/>
      </w:tblPr>
      <w:tblGrid>
        <w:gridCol w:w="3828"/>
        <w:gridCol w:w="1601"/>
        <w:gridCol w:w="1094"/>
        <w:gridCol w:w="1710"/>
        <w:gridCol w:w="1398"/>
      </w:tblGrid>
      <w:tr w:rsidR="004646A5" w:rsidRPr="00961977" w14:paraId="4A402FC3" w14:textId="77777777" w:rsidTr="00A54B77">
        <w:trPr>
          <w:cnfStyle w:val="100000000000" w:firstRow="1" w:lastRow="0" w:firstColumn="0" w:lastColumn="0" w:oddVBand="0" w:evenVBand="0" w:oddHBand="0" w:evenHBand="0" w:firstRowFirstColumn="0" w:firstRowLastColumn="0" w:lastRowFirstColumn="0" w:lastRowLastColumn="0"/>
          <w:trHeight w:val="20"/>
          <w:tblHeader/>
        </w:trPr>
        <w:tc>
          <w:tcPr>
            <w:tcW w:w="1987" w:type="pct"/>
            <w:vAlign w:val="bottom"/>
          </w:tcPr>
          <w:p w14:paraId="12BC9A61" w14:textId="746C50B8" w:rsidR="004646A5" w:rsidRPr="00961977" w:rsidRDefault="004646A5" w:rsidP="00961977">
            <w:bookmarkStart w:id="1451" w:name="ColumnTitle_123"/>
            <w:r w:rsidRPr="00961977">
              <w:t>Catchment</w:t>
            </w:r>
          </w:p>
        </w:tc>
        <w:tc>
          <w:tcPr>
            <w:tcW w:w="831" w:type="pct"/>
            <w:vAlign w:val="bottom"/>
          </w:tcPr>
          <w:p w14:paraId="687B32E8" w14:textId="4D19C775" w:rsidR="004646A5" w:rsidRPr="00961977" w:rsidRDefault="004646A5" w:rsidP="00961977">
            <w:r w:rsidRPr="00961977">
              <w:t>Restriction Days</w:t>
            </w:r>
          </w:p>
        </w:tc>
        <w:tc>
          <w:tcPr>
            <w:tcW w:w="568" w:type="pct"/>
            <w:vAlign w:val="bottom"/>
          </w:tcPr>
          <w:p w14:paraId="595CECE9" w14:textId="7C827A88" w:rsidR="004646A5" w:rsidRPr="00961977" w:rsidRDefault="004646A5" w:rsidP="00961977">
            <w:r w:rsidRPr="00961977">
              <w:t>Ban Days</w:t>
            </w:r>
          </w:p>
        </w:tc>
        <w:tc>
          <w:tcPr>
            <w:tcW w:w="888" w:type="pct"/>
            <w:vAlign w:val="bottom"/>
          </w:tcPr>
          <w:p w14:paraId="5CF97F6F" w14:textId="415CD238" w:rsidR="004646A5" w:rsidRPr="00961977" w:rsidRDefault="004646A5" w:rsidP="00961977">
            <w:r w:rsidRPr="00961977">
              <w:t>Licence Ban Days</w:t>
            </w:r>
          </w:p>
        </w:tc>
        <w:tc>
          <w:tcPr>
            <w:tcW w:w="726" w:type="pct"/>
            <w:vAlign w:val="bottom"/>
          </w:tcPr>
          <w:p w14:paraId="6A9AA887" w14:textId="37977E02" w:rsidR="004646A5" w:rsidRPr="00961977" w:rsidRDefault="004646A5" w:rsidP="00961977">
            <w:r w:rsidRPr="00961977">
              <w:t>Days Available</w:t>
            </w:r>
          </w:p>
        </w:tc>
      </w:tr>
      <w:bookmarkEnd w:id="1451"/>
      <w:tr w:rsidR="004646A5" w:rsidRPr="00961977" w14:paraId="0E4CDD58" w14:textId="77777777" w:rsidTr="004646A5">
        <w:trPr>
          <w:trHeight w:val="20"/>
        </w:trPr>
        <w:tc>
          <w:tcPr>
            <w:tcW w:w="1987" w:type="pct"/>
          </w:tcPr>
          <w:p w14:paraId="2A181109" w14:textId="77777777" w:rsidR="002F462F" w:rsidRPr="00961977" w:rsidRDefault="002F462F" w:rsidP="00961977">
            <w:pPr>
              <w:pStyle w:val="TableBodyText"/>
              <w:rPr>
                <w:szCs w:val="20"/>
              </w:rPr>
            </w:pPr>
            <w:r w:rsidRPr="00961977">
              <w:rPr>
                <w:szCs w:val="20"/>
              </w:rPr>
              <w:t>Arundel Creek</w:t>
            </w:r>
          </w:p>
        </w:tc>
        <w:tc>
          <w:tcPr>
            <w:tcW w:w="831" w:type="pct"/>
          </w:tcPr>
          <w:p w14:paraId="7852601B" w14:textId="77777777" w:rsidR="002F462F" w:rsidRPr="00961977" w:rsidRDefault="002F462F" w:rsidP="00961977">
            <w:pPr>
              <w:pStyle w:val="TableBodyText"/>
              <w:rPr>
                <w:szCs w:val="20"/>
              </w:rPr>
            </w:pPr>
            <w:r w:rsidRPr="00961977">
              <w:rPr>
                <w:szCs w:val="20"/>
              </w:rPr>
              <w:t>N/A</w:t>
            </w:r>
          </w:p>
        </w:tc>
        <w:tc>
          <w:tcPr>
            <w:tcW w:w="568" w:type="pct"/>
          </w:tcPr>
          <w:p w14:paraId="0B3DE3D9" w14:textId="77777777" w:rsidR="002F462F" w:rsidRPr="00961977" w:rsidRDefault="002F462F" w:rsidP="00961977">
            <w:pPr>
              <w:pStyle w:val="TableBodyText"/>
              <w:rPr>
                <w:szCs w:val="20"/>
              </w:rPr>
            </w:pPr>
            <w:r w:rsidRPr="00961977">
              <w:rPr>
                <w:szCs w:val="20"/>
              </w:rPr>
              <w:t>9</w:t>
            </w:r>
          </w:p>
        </w:tc>
        <w:tc>
          <w:tcPr>
            <w:tcW w:w="888" w:type="pct"/>
          </w:tcPr>
          <w:p w14:paraId="605AAF02" w14:textId="77777777" w:rsidR="002F462F" w:rsidRPr="00961977" w:rsidRDefault="002F462F" w:rsidP="00961977">
            <w:pPr>
              <w:pStyle w:val="TableBodyText"/>
              <w:rPr>
                <w:szCs w:val="20"/>
              </w:rPr>
            </w:pPr>
            <w:r w:rsidRPr="00961977">
              <w:rPr>
                <w:szCs w:val="20"/>
              </w:rPr>
              <w:t>N/A</w:t>
            </w:r>
          </w:p>
        </w:tc>
        <w:tc>
          <w:tcPr>
            <w:tcW w:w="726" w:type="pct"/>
          </w:tcPr>
          <w:p w14:paraId="11F8BBE4" w14:textId="77777777" w:rsidR="002F462F" w:rsidRPr="00961977" w:rsidRDefault="002F462F" w:rsidP="00961977">
            <w:pPr>
              <w:pStyle w:val="TableBodyText"/>
              <w:rPr>
                <w:szCs w:val="20"/>
              </w:rPr>
            </w:pPr>
            <w:r w:rsidRPr="00961977">
              <w:rPr>
                <w:szCs w:val="20"/>
              </w:rPr>
              <w:t>356</w:t>
            </w:r>
          </w:p>
        </w:tc>
      </w:tr>
      <w:tr w:rsidR="004646A5" w:rsidRPr="00961977" w14:paraId="2D0115EB" w14:textId="77777777" w:rsidTr="004646A5">
        <w:trPr>
          <w:trHeight w:val="20"/>
        </w:trPr>
        <w:tc>
          <w:tcPr>
            <w:tcW w:w="1987" w:type="pct"/>
          </w:tcPr>
          <w:p w14:paraId="35D41F55" w14:textId="77777777" w:rsidR="002F462F" w:rsidRPr="00961977" w:rsidRDefault="002F462F" w:rsidP="00961977">
            <w:pPr>
              <w:pStyle w:val="TableBodyText"/>
              <w:rPr>
                <w:szCs w:val="20"/>
              </w:rPr>
            </w:pPr>
            <w:r w:rsidRPr="00961977">
              <w:rPr>
                <w:szCs w:val="20"/>
              </w:rPr>
              <w:t>Cockatoo Shepherds Creek (SFMP)</w:t>
            </w:r>
          </w:p>
        </w:tc>
        <w:tc>
          <w:tcPr>
            <w:tcW w:w="831" w:type="pct"/>
          </w:tcPr>
          <w:p w14:paraId="25C2D9B8" w14:textId="77777777" w:rsidR="002F462F" w:rsidRPr="00961977" w:rsidRDefault="002F462F" w:rsidP="00961977">
            <w:pPr>
              <w:pStyle w:val="TableBodyText"/>
              <w:rPr>
                <w:szCs w:val="20"/>
              </w:rPr>
            </w:pPr>
            <w:r w:rsidRPr="00961977">
              <w:rPr>
                <w:szCs w:val="20"/>
              </w:rPr>
              <w:t>30</w:t>
            </w:r>
          </w:p>
        </w:tc>
        <w:tc>
          <w:tcPr>
            <w:tcW w:w="568" w:type="pct"/>
          </w:tcPr>
          <w:p w14:paraId="3F273984" w14:textId="77777777" w:rsidR="002F462F" w:rsidRPr="00961977" w:rsidRDefault="002F462F" w:rsidP="00961977">
            <w:pPr>
              <w:pStyle w:val="TableBodyText"/>
              <w:rPr>
                <w:szCs w:val="20"/>
              </w:rPr>
            </w:pPr>
            <w:r w:rsidRPr="00961977">
              <w:rPr>
                <w:szCs w:val="20"/>
              </w:rPr>
              <w:t>0</w:t>
            </w:r>
          </w:p>
        </w:tc>
        <w:tc>
          <w:tcPr>
            <w:tcW w:w="888" w:type="pct"/>
          </w:tcPr>
          <w:p w14:paraId="5ED65657" w14:textId="77777777" w:rsidR="002F462F" w:rsidRPr="00961977" w:rsidRDefault="002F462F" w:rsidP="00961977">
            <w:pPr>
              <w:pStyle w:val="TableBodyText"/>
              <w:rPr>
                <w:szCs w:val="20"/>
              </w:rPr>
            </w:pPr>
            <w:r w:rsidRPr="00961977">
              <w:rPr>
                <w:szCs w:val="20"/>
              </w:rPr>
              <w:t>N/A</w:t>
            </w:r>
          </w:p>
        </w:tc>
        <w:tc>
          <w:tcPr>
            <w:tcW w:w="726" w:type="pct"/>
          </w:tcPr>
          <w:p w14:paraId="5FBB3C31" w14:textId="77777777" w:rsidR="002F462F" w:rsidRPr="00961977" w:rsidRDefault="002F462F" w:rsidP="00961977">
            <w:pPr>
              <w:pStyle w:val="TableBodyText"/>
              <w:rPr>
                <w:szCs w:val="20"/>
              </w:rPr>
            </w:pPr>
            <w:r w:rsidRPr="00961977">
              <w:rPr>
                <w:szCs w:val="20"/>
              </w:rPr>
              <w:t>335</w:t>
            </w:r>
          </w:p>
        </w:tc>
      </w:tr>
      <w:tr w:rsidR="004646A5" w:rsidRPr="00961977" w14:paraId="1B783F4F" w14:textId="77777777" w:rsidTr="004646A5">
        <w:trPr>
          <w:trHeight w:val="20"/>
        </w:trPr>
        <w:tc>
          <w:tcPr>
            <w:tcW w:w="1987" w:type="pct"/>
          </w:tcPr>
          <w:p w14:paraId="1DB2A45A" w14:textId="77777777" w:rsidR="002F462F" w:rsidRPr="00961977" w:rsidRDefault="002F462F" w:rsidP="00961977">
            <w:pPr>
              <w:pStyle w:val="TableBodyText"/>
              <w:rPr>
                <w:szCs w:val="20"/>
              </w:rPr>
            </w:pPr>
            <w:r w:rsidRPr="00961977">
              <w:rPr>
                <w:szCs w:val="20"/>
              </w:rPr>
              <w:t>Darebin Creek</w:t>
            </w:r>
          </w:p>
        </w:tc>
        <w:tc>
          <w:tcPr>
            <w:tcW w:w="831" w:type="pct"/>
          </w:tcPr>
          <w:p w14:paraId="6957CB36" w14:textId="77777777" w:rsidR="002F462F" w:rsidRPr="00961977" w:rsidRDefault="002F462F" w:rsidP="00961977">
            <w:pPr>
              <w:pStyle w:val="TableBodyText"/>
              <w:rPr>
                <w:szCs w:val="20"/>
              </w:rPr>
            </w:pPr>
            <w:r w:rsidRPr="00961977">
              <w:rPr>
                <w:szCs w:val="20"/>
              </w:rPr>
              <w:t>N/A</w:t>
            </w:r>
          </w:p>
        </w:tc>
        <w:tc>
          <w:tcPr>
            <w:tcW w:w="568" w:type="pct"/>
          </w:tcPr>
          <w:p w14:paraId="681BD17F" w14:textId="77777777" w:rsidR="002F462F" w:rsidRPr="00961977" w:rsidRDefault="002F462F" w:rsidP="00961977">
            <w:pPr>
              <w:pStyle w:val="TableBodyText"/>
              <w:rPr>
                <w:szCs w:val="20"/>
              </w:rPr>
            </w:pPr>
            <w:r w:rsidRPr="00961977">
              <w:rPr>
                <w:szCs w:val="20"/>
              </w:rPr>
              <w:t>54</w:t>
            </w:r>
          </w:p>
        </w:tc>
        <w:tc>
          <w:tcPr>
            <w:tcW w:w="888" w:type="pct"/>
          </w:tcPr>
          <w:p w14:paraId="0E40F125" w14:textId="77777777" w:rsidR="002F462F" w:rsidRPr="00961977" w:rsidRDefault="002F462F" w:rsidP="00961977">
            <w:pPr>
              <w:pStyle w:val="TableBodyText"/>
              <w:rPr>
                <w:szCs w:val="20"/>
              </w:rPr>
            </w:pPr>
            <w:r w:rsidRPr="00961977">
              <w:rPr>
                <w:szCs w:val="20"/>
              </w:rPr>
              <w:t>N/A</w:t>
            </w:r>
          </w:p>
        </w:tc>
        <w:tc>
          <w:tcPr>
            <w:tcW w:w="726" w:type="pct"/>
          </w:tcPr>
          <w:p w14:paraId="6C6FE384" w14:textId="77777777" w:rsidR="002F462F" w:rsidRPr="00961977" w:rsidRDefault="002F462F" w:rsidP="00961977">
            <w:pPr>
              <w:pStyle w:val="TableBodyText"/>
              <w:rPr>
                <w:szCs w:val="20"/>
              </w:rPr>
            </w:pPr>
            <w:r w:rsidRPr="00961977">
              <w:rPr>
                <w:szCs w:val="20"/>
              </w:rPr>
              <w:t>311</w:t>
            </w:r>
          </w:p>
        </w:tc>
      </w:tr>
      <w:tr w:rsidR="004646A5" w:rsidRPr="00961977" w14:paraId="6A7FE041" w14:textId="77777777" w:rsidTr="004646A5">
        <w:trPr>
          <w:trHeight w:val="20"/>
        </w:trPr>
        <w:tc>
          <w:tcPr>
            <w:tcW w:w="1987" w:type="pct"/>
          </w:tcPr>
          <w:p w14:paraId="6F217304" w14:textId="77777777" w:rsidR="002F462F" w:rsidRPr="00961977" w:rsidRDefault="002F462F" w:rsidP="00961977">
            <w:pPr>
              <w:pStyle w:val="TableBodyText"/>
              <w:rPr>
                <w:szCs w:val="20"/>
              </w:rPr>
            </w:pPr>
            <w:r w:rsidRPr="00961977">
              <w:rPr>
                <w:szCs w:val="20"/>
              </w:rPr>
              <w:t>Diamond Creek</w:t>
            </w:r>
          </w:p>
        </w:tc>
        <w:tc>
          <w:tcPr>
            <w:tcW w:w="831" w:type="pct"/>
          </w:tcPr>
          <w:p w14:paraId="71465EEE" w14:textId="77777777" w:rsidR="002F462F" w:rsidRPr="00961977" w:rsidRDefault="002F462F" w:rsidP="00961977">
            <w:pPr>
              <w:pStyle w:val="TableBodyText"/>
              <w:rPr>
                <w:szCs w:val="20"/>
              </w:rPr>
            </w:pPr>
            <w:r w:rsidRPr="00961977">
              <w:rPr>
                <w:szCs w:val="20"/>
              </w:rPr>
              <w:t>N/A</w:t>
            </w:r>
          </w:p>
        </w:tc>
        <w:tc>
          <w:tcPr>
            <w:tcW w:w="568" w:type="pct"/>
          </w:tcPr>
          <w:p w14:paraId="33B4C1AE" w14:textId="77777777" w:rsidR="002F462F" w:rsidRPr="00961977" w:rsidRDefault="002F462F" w:rsidP="00961977">
            <w:pPr>
              <w:pStyle w:val="TableBodyText"/>
              <w:rPr>
                <w:szCs w:val="20"/>
              </w:rPr>
            </w:pPr>
            <w:r w:rsidRPr="00961977">
              <w:rPr>
                <w:szCs w:val="20"/>
              </w:rPr>
              <w:t>103</w:t>
            </w:r>
          </w:p>
        </w:tc>
        <w:tc>
          <w:tcPr>
            <w:tcW w:w="888" w:type="pct"/>
          </w:tcPr>
          <w:p w14:paraId="3876F55F" w14:textId="77777777" w:rsidR="002F462F" w:rsidRPr="00961977" w:rsidRDefault="002F462F" w:rsidP="00961977">
            <w:pPr>
              <w:pStyle w:val="TableBodyText"/>
              <w:rPr>
                <w:szCs w:val="20"/>
              </w:rPr>
            </w:pPr>
            <w:r w:rsidRPr="00961977">
              <w:rPr>
                <w:szCs w:val="20"/>
              </w:rPr>
              <w:t>N/A</w:t>
            </w:r>
          </w:p>
        </w:tc>
        <w:tc>
          <w:tcPr>
            <w:tcW w:w="726" w:type="pct"/>
          </w:tcPr>
          <w:p w14:paraId="46B00A17" w14:textId="77777777" w:rsidR="002F462F" w:rsidRPr="00961977" w:rsidRDefault="002F462F" w:rsidP="00961977">
            <w:pPr>
              <w:pStyle w:val="TableBodyText"/>
              <w:rPr>
                <w:szCs w:val="20"/>
              </w:rPr>
            </w:pPr>
            <w:r w:rsidRPr="00961977">
              <w:rPr>
                <w:szCs w:val="20"/>
              </w:rPr>
              <w:t>262</w:t>
            </w:r>
          </w:p>
        </w:tc>
      </w:tr>
      <w:tr w:rsidR="004646A5" w:rsidRPr="00961977" w14:paraId="0B4D222F" w14:textId="77777777" w:rsidTr="004646A5">
        <w:trPr>
          <w:trHeight w:val="20"/>
        </w:trPr>
        <w:tc>
          <w:tcPr>
            <w:tcW w:w="1987" w:type="pct"/>
          </w:tcPr>
          <w:p w14:paraId="46CB1DE4" w14:textId="77777777" w:rsidR="002F462F" w:rsidRPr="00961977" w:rsidRDefault="002F462F" w:rsidP="00961977">
            <w:pPr>
              <w:pStyle w:val="TableBodyText"/>
              <w:rPr>
                <w:szCs w:val="20"/>
              </w:rPr>
            </w:pPr>
            <w:r w:rsidRPr="00961977">
              <w:rPr>
                <w:szCs w:val="20"/>
              </w:rPr>
              <w:t>Dixons Creek (SFMP)</w:t>
            </w:r>
          </w:p>
        </w:tc>
        <w:tc>
          <w:tcPr>
            <w:tcW w:w="831" w:type="pct"/>
          </w:tcPr>
          <w:p w14:paraId="79468C77" w14:textId="77777777" w:rsidR="002F462F" w:rsidRPr="00961977" w:rsidRDefault="002F462F" w:rsidP="00961977">
            <w:pPr>
              <w:pStyle w:val="TableBodyText"/>
              <w:rPr>
                <w:szCs w:val="20"/>
              </w:rPr>
            </w:pPr>
            <w:r w:rsidRPr="00961977">
              <w:rPr>
                <w:szCs w:val="20"/>
              </w:rPr>
              <w:t>N/A</w:t>
            </w:r>
          </w:p>
        </w:tc>
        <w:tc>
          <w:tcPr>
            <w:tcW w:w="568" w:type="pct"/>
          </w:tcPr>
          <w:p w14:paraId="2287ACDD" w14:textId="77777777" w:rsidR="002F462F" w:rsidRPr="00961977" w:rsidRDefault="002F462F" w:rsidP="00961977">
            <w:pPr>
              <w:pStyle w:val="TableBodyText"/>
              <w:rPr>
                <w:szCs w:val="20"/>
              </w:rPr>
            </w:pPr>
            <w:r w:rsidRPr="00961977">
              <w:rPr>
                <w:szCs w:val="20"/>
              </w:rPr>
              <w:t>90</w:t>
            </w:r>
          </w:p>
        </w:tc>
        <w:tc>
          <w:tcPr>
            <w:tcW w:w="888" w:type="pct"/>
          </w:tcPr>
          <w:p w14:paraId="49FF6909" w14:textId="77777777" w:rsidR="002F462F" w:rsidRPr="00961977" w:rsidRDefault="002F462F" w:rsidP="00961977">
            <w:pPr>
              <w:pStyle w:val="TableBodyText"/>
              <w:rPr>
                <w:szCs w:val="20"/>
              </w:rPr>
            </w:pPr>
            <w:r w:rsidRPr="00961977">
              <w:rPr>
                <w:szCs w:val="20"/>
              </w:rPr>
              <w:t>212</w:t>
            </w:r>
          </w:p>
        </w:tc>
        <w:tc>
          <w:tcPr>
            <w:tcW w:w="726" w:type="pct"/>
          </w:tcPr>
          <w:p w14:paraId="666D546F" w14:textId="77777777" w:rsidR="002F462F" w:rsidRPr="00961977" w:rsidRDefault="002F462F" w:rsidP="00961977">
            <w:pPr>
              <w:pStyle w:val="TableBodyText"/>
              <w:rPr>
                <w:szCs w:val="20"/>
              </w:rPr>
            </w:pPr>
            <w:r w:rsidRPr="00961977">
              <w:rPr>
                <w:szCs w:val="20"/>
              </w:rPr>
              <w:t>63</w:t>
            </w:r>
          </w:p>
        </w:tc>
      </w:tr>
      <w:tr w:rsidR="004646A5" w:rsidRPr="00961977" w14:paraId="2B18F279" w14:textId="77777777" w:rsidTr="004646A5">
        <w:trPr>
          <w:trHeight w:val="20"/>
        </w:trPr>
        <w:tc>
          <w:tcPr>
            <w:tcW w:w="1987" w:type="pct"/>
          </w:tcPr>
          <w:p w14:paraId="29252238" w14:textId="77777777" w:rsidR="002F462F" w:rsidRPr="00961977" w:rsidRDefault="002F462F" w:rsidP="00961977">
            <w:pPr>
              <w:pStyle w:val="TableBodyText"/>
              <w:rPr>
                <w:szCs w:val="20"/>
              </w:rPr>
            </w:pPr>
            <w:r w:rsidRPr="00961977">
              <w:rPr>
                <w:szCs w:val="20"/>
              </w:rPr>
              <w:t>Don River (SFMP)</w:t>
            </w:r>
          </w:p>
        </w:tc>
        <w:tc>
          <w:tcPr>
            <w:tcW w:w="831" w:type="pct"/>
          </w:tcPr>
          <w:p w14:paraId="109E7A37" w14:textId="77777777" w:rsidR="002F462F" w:rsidRPr="00961977" w:rsidRDefault="002F462F" w:rsidP="00961977">
            <w:pPr>
              <w:pStyle w:val="TableBodyText"/>
              <w:rPr>
                <w:szCs w:val="20"/>
              </w:rPr>
            </w:pPr>
            <w:r w:rsidRPr="00961977">
              <w:rPr>
                <w:szCs w:val="20"/>
              </w:rPr>
              <w:t>N/A</w:t>
            </w:r>
          </w:p>
        </w:tc>
        <w:tc>
          <w:tcPr>
            <w:tcW w:w="568" w:type="pct"/>
          </w:tcPr>
          <w:p w14:paraId="2AC3487A" w14:textId="77777777" w:rsidR="002F462F" w:rsidRPr="00961977" w:rsidRDefault="002F462F" w:rsidP="00961977">
            <w:pPr>
              <w:pStyle w:val="TableBodyText"/>
              <w:rPr>
                <w:szCs w:val="20"/>
              </w:rPr>
            </w:pPr>
            <w:r w:rsidRPr="00961977">
              <w:rPr>
                <w:szCs w:val="20"/>
              </w:rPr>
              <w:t>0</w:t>
            </w:r>
          </w:p>
        </w:tc>
        <w:tc>
          <w:tcPr>
            <w:tcW w:w="888" w:type="pct"/>
          </w:tcPr>
          <w:p w14:paraId="20C04883" w14:textId="77777777" w:rsidR="002F462F" w:rsidRPr="00961977" w:rsidRDefault="002F462F" w:rsidP="00961977">
            <w:pPr>
              <w:pStyle w:val="TableBodyText"/>
              <w:rPr>
                <w:szCs w:val="20"/>
              </w:rPr>
            </w:pPr>
            <w:r w:rsidRPr="00961977">
              <w:rPr>
                <w:szCs w:val="20"/>
              </w:rPr>
              <w:t>N/A</w:t>
            </w:r>
          </w:p>
        </w:tc>
        <w:tc>
          <w:tcPr>
            <w:tcW w:w="726" w:type="pct"/>
          </w:tcPr>
          <w:p w14:paraId="0BAA9B6A" w14:textId="77777777" w:rsidR="002F462F" w:rsidRPr="00961977" w:rsidRDefault="002F462F" w:rsidP="00961977">
            <w:pPr>
              <w:pStyle w:val="TableBodyText"/>
              <w:rPr>
                <w:szCs w:val="20"/>
              </w:rPr>
            </w:pPr>
            <w:r w:rsidRPr="00961977">
              <w:rPr>
                <w:szCs w:val="20"/>
              </w:rPr>
              <w:t>365</w:t>
            </w:r>
          </w:p>
        </w:tc>
      </w:tr>
      <w:tr w:rsidR="004646A5" w:rsidRPr="00961977" w14:paraId="701D90DB" w14:textId="77777777" w:rsidTr="004646A5">
        <w:trPr>
          <w:trHeight w:val="20"/>
        </w:trPr>
        <w:tc>
          <w:tcPr>
            <w:tcW w:w="1987" w:type="pct"/>
          </w:tcPr>
          <w:p w14:paraId="771AD1F0" w14:textId="77777777" w:rsidR="002F462F" w:rsidRPr="00961977" w:rsidRDefault="002F462F" w:rsidP="00961977">
            <w:pPr>
              <w:pStyle w:val="TableBodyText"/>
              <w:rPr>
                <w:szCs w:val="20"/>
              </w:rPr>
            </w:pPr>
            <w:r w:rsidRPr="00961977">
              <w:rPr>
                <w:szCs w:val="20"/>
              </w:rPr>
              <w:t>Gardiners Creek</w:t>
            </w:r>
          </w:p>
        </w:tc>
        <w:tc>
          <w:tcPr>
            <w:tcW w:w="831" w:type="pct"/>
          </w:tcPr>
          <w:p w14:paraId="5AF4D70D" w14:textId="77777777" w:rsidR="002F462F" w:rsidRPr="00961977" w:rsidRDefault="002F462F" w:rsidP="00961977">
            <w:pPr>
              <w:pStyle w:val="TableBodyText"/>
              <w:rPr>
                <w:szCs w:val="20"/>
              </w:rPr>
            </w:pPr>
            <w:r w:rsidRPr="00961977">
              <w:rPr>
                <w:szCs w:val="20"/>
              </w:rPr>
              <w:t>N/A</w:t>
            </w:r>
          </w:p>
        </w:tc>
        <w:tc>
          <w:tcPr>
            <w:tcW w:w="568" w:type="pct"/>
          </w:tcPr>
          <w:p w14:paraId="7DEAF917" w14:textId="77777777" w:rsidR="002F462F" w:rsidRPr="00961977" w:rsidRDefault="002F462F" w:rsidP="00961977">
            <w:pPr>
              <w:pStyle w:val="TableBodyText"/>
              <w:rPr>
                <w:szCs w:val="20"/>
              </w:rPr>
            </w:pPr>
            <w:r w:rsidRPr="00961977">
              <w:rPr>
                <w:szCs w:val="20"/>
              </w:rPr>
              <w:t>4</w:t>
            </w:r>
          </w:p>
        </w:tc>
        <w:tc>
          <w:tcPr>
            <w:tcW w:w="888" w:type="pct"/>
          </w:tcPr>
          <w:p w14:paraId="3A62F2B9" w14:textId="77777777" w:rsidR="002F462F" w:rsidRPr="00961977" w:rsidRDefault="002F462F" w:rsidP="00961977">
            <w:pPr>
              <w:pStyle w:val="TableBodyText"/>
              <w:rPr>
                <w:szCs w:val="20"/>
              </w:rPr>
            </w:pPr>
            <w:r w:rsidRPr="00961977">
              <w:rPr>
                <w:szCs w:val="20"/>
              </w:rPr>
              <w:t>N/A</w:t>
            </w:r>
          </w:p>
        </w:tc>
        <w:tc>
          <w:tcPr>
            <w:tcW w:w="726" w:type="pct"/>
          </w:tcPr>
          <w:p w14:paraId="0106775B" w14:textId="77777777" w:rsidR="002F462F" w:rsidRPr="00961977" w:rsidRDefault="002F462F" w:rsidP="00961977">
            <w:pPr>
              <w:pStyle w:val="TableBodyText"/>
              <w:rPr>
                <w:szCs w:val="20"/>
              </w:rPr>
            </w:pPr>
            <w:r w:rsidRPr="00961977">
              <w:rPr>
                <w:szCs w:val="20"/>
              </w:rPr>
              <w:t>361</w:t>
            </w:r>
          </w:p>
        </w:tc>
      </w:tr>
      <w:tr w:rsidR="004646A5" w:rsidRPr="00961977" w14:paraId="1CCA336E" w14:textId="77777777" w:rsidTr="004646A5">
        <w:trPr>
          <w:trHeight w:val="20"/>
        </w:trPr>
        <w:tc>
          <w:tcPr>
            <w:tcW w:w="1987" w:type="pct"/>
          </w:tcPr>
          <w:p w14:paraId="394B279B" w14:textId="77777777" w:rsidR="002F462F" w:rsidRPr="00961977" w:rsidRDefault="002F462F" w:rsidP="00961977">
            <w:pPr>
              <w:pStyle w:val="TableBodyText"/>
              <w:rPr>
                <w:szCs w:val="20"/>
              </w:rPr>
            </w:pPr>
            <w:r w:rsidRPr="00961977">
              <w:rPr>
                <w:szCs w:val="20"/>
              </w:rPr>
              <w:t>Hoddles Creek (SFMP)</w:t>
            </w:r>
          </w:p>
        </w:tc>
        <w:tc>
          <w:tcPr>
            <w:tcW w:w="831" w:type="pct"/>
          </w:tcPr>
          <w:p w14:paraId="133B490B" w14:textId="77777777" w:rsidR="002F462F" w:rsidRPr="00961977" w:rsidRDefault="002F462F" w:rsidP="00961977">
            <w:pPr>
              <w:pStyle w:val="TableBodyText"/>
              <w:rPr>
                <w:szCs w:val="20"/>
              </w:rPr>
            </w:pPr>
            <w:r w:rsidRPr="00961977">
              <w:rPr>
                <w:szCs w:val="20"/>
              </w:rPr>
              <w:t>N/A</w:t>
            </w:r>
          </w:p>
        </w:tc>
        <w:tc>
          <w:tcPr>
            <w:tcW w:w="568" w:type="pct"/>
          </w:tcPr>
          <w:p w14:paraId="646DD567" w14:textId="77777777" w:rsidR="002F462F" w:rsidRPr="00961977" w:rsidRDefault="002F462F" w:rsidP="00961977">
            <w:pPr>
              <w:pStyle w:val="TableBodyText"/>
              <w:rPr>
                <w:szCs w:val="20"/>
              </w:rPr>
            </w:pPr>
            <w:r w:rsidRPr="00961977">
              <w:rPr>
                <w:szCs w:val="20"/>
              </w:rPr>
              <w:t>73</w:t>
            </w:r>
          </w:p>
        </w:tc>
        <w:tc>
          <w:tcPr>
            <w:tcW w:w="888" w:type="pct"/>
          </w:tcPr>
          <w:p w14:paraId="64A0C946" w14:textId="77777777" w:rsidR="002F462F" w:rsidRPr="00961977" w:rsidRDefault="002F462F" w:rsidP="00961977">
            <w:pPr>
              <w:pStyle w:val="TableBodyText"/>
              <w:rPr>
                <w:szCs w:val="20"/>
              </w:rPr>
            </w:pPr>
            <w:r w:rsidRPr="00961977">
              <w:rPr>
                <w:szCs w:val="20"/>
              </w:rPr>
              <w:t>N/A</w:t>
            </w:r>
          </w:p>
        </w:tc>
        <w:tc>
          <w:tcPr>
            <w:tcW w:w="726" w:type="pct"/>
          </w:tcPr>
          <w:p w14:paraId="0756821C" w14:textId="77777777" w:rsidR="002F462F" w:rsidRPr="00961977" w:rsidRDefault="002F462F" w:rsidP="00961977">
            <w:pPr>
              <w:pStyle w:val="TableBodyText"/>
              <w:rPr>
                <w:szCs w:val="20"/>
              </w:rPr>
            </w:pPr>
            <w:r w:rsidRPr="00961977">
              <w:rPr>
                <w:szCs w:val="20"/>
              </w:rPr>
              <w:t>292</w:t>
            </w:r>
          </w:p>
        </w:tc>
      </w:tr>
      <w:tr w:rsidR="004646A5" w:rsidRPr="00961977" w14:paraId="5BEB283B" w14:textId="77777777" w:rsidTr="004646A5">
        <w:trPr>
          <w:trHeight w:val="20"/>
        </w:trPr>
        <w:tc>
          <w:tcPr>
            <w:tcW w:w="1987" w:type="pct"/>
          </w:tcPr>
          <w:p w14:paraId="1423D2D6" w14:textId="77777777" w:rsidR="002F462F" w:rsidRPr="00961977" w:rsidRDefault="002F462F" w:rsidP="00961977">
            <w:pPr>
              <w:pStyle w:val="TableBodyText"/>
              <w:rPr>
                <w:szCs w:val="20"/>
              </w:rPr>
            </w:pPr>
            <w:r w:rsidRPr="00961977">
              <w:rPr>
                <w:szCs w:val="20"/>
              </w:rPr>
              <w:t>Kororoit Creek</w:t>
            </w:r>
          </w:p>
        </w:tc>
        <w:tc>
          <w:tcPr>
            <w:tcW w:w="831" w:type="pct"/>
          </w:tcPr>
          <w:p w14:paraId="3D5C2758" w14:textId="77777777" w:rsidR="002F462F" w:rsidRPr="00961977" w:rsidRDefault="002F462F" w:rsidP="00961977">
            <w:pPr>
              <w:pStyle w:val="TableBodyText"/>
              <w:rPr>
                <w:szCs w:val="20"/>
              </w:rPr>
            </w:pPr>
            <w:r w:rsidRPr="00961977">
              <w:rPr>
                <w:szCs w:val="20"/>
              </w:rPr>
              <w:t>N/A</w:t>
            </w:r>
          </w:p>
        </w:tc>
        <w:tc>
          <w:tcPr>
            <w:tcW w:w="568" w:type="pct"/>
          </w:tcPr>
          <w:p w14:paraId="135E3F60" w14:textId="77777777" w:rsidR="002F462F" w:rsidRPr="00961977" w:rsidRDefault="002F462F" w:rsidP="00961977">
            <w:pPr>
              <w:pStyle w:val="TableBodyText"/>
              <w:rPr>
                <w:szCs w:val="20"/>
              </w:rPr>
            </w:pPr>
            <w:r w:rsidRPr="00961977">
              <w:rPr>
                <w:szCs w:val="20"/>
              </w:rPr>
              <w:t>0</w:t>
            </w:r>
          </w:p>
        </w:tc>
        <w:tc>
          <w:tcPr>
            <w:tcW w:w="888" w:type="pct"/>
          </w:tcPr>
          <w:p w14:paraId="21B208A3" w14:textId="77777777" w:rsidR="002F462F" w:rsidRPr="00961977" w:rsidRDefault="002F462F" w:rsidP="00961977">
            <w:pPr>
              <w:pStyle w:val="TableBodyText"/>
              <w:rPr>
                <w:szCs w:val="20"/>
              </w:rPr>
            </w:pPr>
            <w:r w:rsidRPr="00961977">
              <w:rPr>
                <w:szCs w:val="20"/>
              </w:rPr>
              <w:t>N/A</w:t>
            </w:r>
          </w:p>
        </w:tc>
        <w:tc>
          <w:tcPr>
            <w:tcW w:w="726" w:type="pct"/>
          </w:tcPr>
          <w:p w14:paraId="460228FC" w14:textId="77777777" w:rsidR="002F462F" w:rsidRPr="00961977" w:rsidRDefault="002F462F" w:rsidP="00961977">
            <w:pPr>
              <w:pStyle w:val="TableBodyText"/>
              <w:rPr>
                <w:szCs w:val="20"/>
              </w:rPr>
            </w:pPr>
            <w:r w:rsidRPr="00961977">
              <w:rPr>
                <w:szCs w:val="20"/>
              </w:rPr>
              <w:t>365</w:t>
            </w:r>
          </w:p>
        </w:tc>
      </w:tr>
      <w:tr w:rsidR="004646A5" w:rsidRPr="00961977" w14:paraId="49ADA4C8" w14:textId="77777777" w:rsidTr="004646A5">
        <w:trPr>
          <w:trHeight w:val="20"/>
        </w:trPr>
        <w:tc>
          <w:tcPr>
            <w:tcW w:w="1987" w:type="pct"/>
          </w:tcPr>
          <w:p w14:paraId="677353B8" w14:textId="77777777" w:rsidR="002F462F" w:rsidRPr="00961977" w:rsidRDefault="002F462F" w:rsidP="00961977">
            <w:pPr>
              <w:pStyle w:val="TableBodyText"/>
              <w:rPr>
                <w:szCs w:val="20"/>
              </w:rPr>
            </w:pPr>
            <w:r w:rsidRPr="00961977">
              <w:rPr>
                <w:szCs w:val="20"/>
              </w:rPr>
              <w:t>Little Yarra River (SFMP)</w:t>
            </w:r>
          </w:p>
        </w:tc>
        <w:tc>
          <w:tcPr>
            <w:tcW w:w="831" w:type="pct"/>
          </w:tcPr>
          <w:p w14:paraId="4E5FB673" w14:textId="77777777" w:rsidR="002F462F" w:rsidRPr="00961977" w:rsidRDefault="002F462F" w:rsidP="00961977">
            <w:pPr>
              <w:pStyle w:val="TableBodyText"/>
              <w:rPr>
                <w:szCs w:val="20"/>
              </w:rPr>
            </w:pPr>
            <w:r w:rsidRPr="00961977">
              <w:rPr>
                <w:szCs w:val="20"/>
              </w:rPr>
              <w:t>0</w:t>
            </w:r>
          </w:p>
        </w:tc>
        <w:tc>
          <w:tcPr>
            <w:tcW w:w="568" w:type="pct"/>
          </w:tcPr>
          <w:p w14:paraId="48E7363D" w14:textId="77777777" w:rsidR="002F462F" w:rsidRPr="00961977" w:rsidRDefault="002F462F" w:rsidP="00961977">
            <w:pPr>
              <w:pStyle w:val="TableBodyText"/>
              <w:rPr>
                <w:szCs w:val="20"/>
              </w:rPr>
            </w:pPr>
            <w:r w:rsidRPr="00961977">
              <w:rPr>
                <w:szCs w:val="20"/>
              </w:rPr>
              <w:t>0</w:t>
            </w:r>
          </w:p>
        </w:tc>
        <w:tc>
          <w:tcPr>
            <w:tcW w:w="888" w:type="pct"/>
          </w:tcPr>
          <w:p w14:paraId="6918A18B" w14:textId="77777777" w:rsidR="002F462F" w:rsidRPr="00961977" w:rsidRDefault="002F462F" w:rsidP="00961977">
            <w:pPr>
              <w:pStyle w:val="TableBodyText"/>
              <w:rPr>
                <w:szCs w:val="20"/>
              </w:rPr>
            </w:pPr>
            <w:r w:rsidRPr="00961977">
              <w:rPr>
                <w:szCs w:val="20"/>
              </w:rPr>
              <w:t>N/A</w:t>
            </w:r>
          </w:p>
        </w:tc>
        <w:tc>
          <w:tcPr>
            <w:tcW w:w="726" w:type="pct"/>
          </w:tcPr>
          <w:p w14:paraId="70FA3419" w14:textId="77777777" w:rsidR="002F462F" w:rsidRPr="00961977" w:rsidRDefault="002F462F" w:rsidP="00961977">
            <w:pPr>
              <w:pStyle w:val="TableBodyText"/>
              <w:rPr>
                <w:szCs w:val="20"/>
              </w:rPr>
            </w:pPr>
            <w:r w:rsidRPr="00961977">
              <w:rPr>
                <w:szCs w:val="20"/>
              </w:rPr>
              <w:t>365</w:t>
            </w:r>
          </w:p>
        </w:tc>
      </w:tr>
      <w:tr w:rsidR="004646A5" w:rsidRPr="00961977" w14:paraId="5965905E" w14:textId="77777777" w:rsidTr="004646A5">
        <w:trPr>
          <w:trHeight w:val="20"/>
        </w:trPr>
        <w:tc>
          <w:tcPr>
            <w:tcW w:w="1987" w:type="pct"/>
          </w:tcPr>
          <w:p w14:paraId="259776AF" w14:textId="77777777" w:rsidR="002F462F" w:rsidRPr="00961977" w:rsidRDefault="002F462F" w:rsidP="00961977">
            <w:pPr>
              <w:pStyle w:val="TableBodyText"/>
              <w:rPr>
                <w:szCs w:val="20"/>
              </w:rPr>
            </w:pPr>
            <w:r w:rsidRPr="00961977">
              <w:rPr>
                <w:szCs w:val="20"/>
              </w:rPr>
              <w:t>Maribyrnong River (All Year)</w:t>
            </w:r>
          </w:p>
        </w:tc>
        <w:tc>
          <w:tcPr>
            <w:tcW w:w="831" w:type="pct"/>
          </w:tcPr>
          <w:p w14:paraId="3EB0CBE0" w14:textId="77777777" w:rsidR="002F462F" w:rsidRPr="00961977" w:rsidRDefault="002F462F" w:rsidP="00961977">
            <w:pPr>
              <w:pStyle w:val="TableBodyText"/>
              <w:rPr>
                <w:szCs w:val="20"/>
              </w:rPr>
            </w:pPr>
            <w:r w:rsidRPr="00961977">
              <w:rPr>
                <w:szCs w:val="20"/>
              </w:rPr>
              <w:t>N/A</w:t>
            </w:r>
          </w:p>
        </w:tc>
        <w:tc>
          <w:tcPr>
            <w:tcW w:w="568" w:type="pct"/>
          </w:tcPr>
          <w:p w14:paraId="1F8A21F9" w14:textId="77777777" w:rsidR="002F462F" w:rsidRPr="00961977" w:rsidRDefault="002F462F" w:rsidP="00961977">
            <w:pPr>
              <w:pStyle w:val="TableBodyText"/>
              <w:rPr>
                <w:szCs w:val="20"/>
              </w:rPr>
            </w:pPr>
            <w:r w:rsidRPr="00961977">
              <w:rPr>
                <w:szCs w:val="20"/>
              </w:rPr>
              <w:t>14</w:t>
            </w:r>
          </w:p>
        </w:tc>
        <w:tc>
          <w:tcPr>
            <w:tcW w:w="888" w:type="pct"/>
          </w:tcPr>
          <w:p w14:paraId="11461FE2" w14:textId="77777777" w:rsidR="002F462F" w:rsidRPr="00961977" w:rsidRDefault="002F462F" w:rsidP="00961977">
            <w:pPr>
              <w:pStyle w:val="TableBodyText"/>
              <w:rPr>
                <w:szCs w:val="20"/>
              </w:rPr>
            </w:pPr>
            <w:r w:rsidRPr="00961977">
              <w:rPr>
                <w:szCs w:val="20"/>
              </w:rPr>
              <w:t>N/A</w:t>
            </w:r>
          </w:p>
        </w:tc>
        <w:tc>
          <w:tcPr>
            <w:tcW w:w="726" w:type="pct"/>
          </w:tcPr>
          <w:p w14:paraId="4A41CD16" w14:textId="77777777" w:rsidR="002F462F" w:rsidRPr="00961977" w:rsidRDefault="002F462F" w:rsidP="00961977">
            <w:pPr>
              <w:pStyle w:val="TableBodyText"/>
              <w:rPr>
                <w:szCs w:val="20"/>
              </w:rPr>
            </w:pPr>
            <w:r w:rsidRPr="00961977">
              <w:rPr>
                <w:szCs w:val="20"/>
              </w:rPr>
              <w:t>351</w:t>
            </w:r>
          </w:p>
        </w:tc>
      </w:tr>
      <w:tr w:rsidR="004646A5" w:rsidRPr="00961977" w14:paraId="6DD0BD3C" w14:textId="77777777" w:rsidTr="004646A5">
        <w:trPr>
          <w:trHeight w:val="20"/>
        </w:trPr>
        <w:tc>
          <w:tcPr>
            <w:tcW w:w="1987" w:type="pct"/>
          </w:tcPr>
          <w:p w14:paraId="28605C03" w14:textId="77777777" w:rsidR="002F462F" w:rsidRPr="00961977" w:rsidRDefault="002F462F" w:rsidP="00961977">
            <w:pPr>
              <w:pStyle w:val="TableBodyText"/>
              <w:rPr>
                <w:szCs w:val="20"/>
              </w:rPr>
            </w:pPr>
            <w:r w:rsidRPr="00961977">
              <w:rPr>
                <w:szCs w:val="20"/>
              </w:rPr>
              <w:t>Maribyrnong River (Winterfill)</w:t>
            </w:r>
          </w:p>
        </w:tc>
        <w:tc>
          <w:tcPr>
            <w:tcW w:w="831" w:type="pct"/>
          </w:tcPr>
          <w:p w14:paraId="13B6AE38" w14:textId="77777777" w:rsidR="002F462F" w:rsidRPr="00961977" w:rsidRDefault="002F462F" w:rsidP="00961977">
            <w:pPr>
              <w:pStyle w:val="TableBodyText"/>
              <w:rPr>
                <w:szCs w:val="20"/>
              </w:rPr>
            </w:pPr>
            <w:r w:rsidRPr="00961977">
              <w:rPr>
                <w:szCs w:val="20"/>
              </w:rPr>
              <w:t>N/A</w:t>
            </w:r>
          </w:p>
        </w:tc>
        <w:tc>
          <w:tcPr>
            <w:tcW w:w="568" w:type="pct"/>
          </w:tcPr>
          <w:p w14:paraId="624646A0" w14:textId="77777777" w:rsidR="002F462F" w:rsidRPr="00961977" w:rsidRDefault="002F462F" w:rsidP="00961977">
            <w:pPr>
              <w:pStyle w:val="TableBodyText"/>
              <w:rPr>
                <w:szCs w:val="20"/>
              </w:rPr>
            </w:pPr>
            <w:r w:rsidRPr="00961977">
              <w:rPr>
                <w:szCs w:val="20"/>
              </w:rPr>
              <w:t>2</w:t>
            </w:r>
          </w:p>
        </w:tc>
        <w:tc>
          <w:tcPr>
            <w:tcW w:w="888" w:type="pct"/>
          </w:tcPr>
          <w:p w14:paraId="3D104F60" w14:textId="77777777" w:rsidR="002F462F" w:rsidRPr="00961977" w:rsidRDefault="002F462F" w:rsidP="00961977">
            <w:pPr>
              <w:pStyle w:val="TableBodyText"/>
              <w:rPr>
                <w:szCs w:val="20"/>
              </w:rPr>
            </w:pPr>
            <w:r w:rsidRPr="00961977">
              <w:rPr>
                <w:szCs w:val="20"/>
              </w:rPr>
              <w:t>243</w:t>
            </w:r>
          </w:p>
        </w:tc>
        <w:tc>
          <w:tcPr>
            <w:tcW w:w="726" w:type="pct"/>
          </w:tcPr>
          <w:p w14:paraId="35C1FB41" w14:textId="77777777" w:rsidR="002F462F" w:rsidRPr="00961977" w:rsidRDefault="002F462F" w:rsidP="00961977">
            <w:pPr>
              <w:pStyle w:val="TableBodyText"/>
              <w:rPr>
                <w:szCs w:val="20"/>
              </w:rPr>
            </w:pPr>
            <w:r w:rsidRPr="00961977">
              <w:rPr>
                <w:szCs w:val="20"/>
              </w:rPr>
              <w:t>121</w:t>
            </w:r>
          </w:p>
        </w:tc>
      </w:tr>
      <w:tr w:rsidR="004646A5" w:rsidRPr="00961977" w14:paraId="77AD9526" w14:textId="77777777" w:rsidTr="004646A5">
        <w:trPr>
          <w:trHeight w:val="20"/>
        </w:trPr>
        <w:tc>
          <w:tcPr>
            <w:tcW w:w="1987" w:type="pct"/>
          </w:tcPr>
          <w:p w14:paraId="7BF891B7" w14:textId="77777777" w:rsidR="002F462F" w:rsidRPr="00961977" w:rsidRDefault="002F462F" w:rsidP="00961977">
            <w:pPr>
              <w:pStyle w:val="TableBodyText"/>
              <w:rPr>
                <w:szCs w:val="20"/>
              </w:rPr>
            </w:pPr>
            <w:r w:rsidRPr="00961977">
              <w:rPr>
                <w:szCs w:val="20"/>
              </w:rPr>
              <w:t>McCrae Creek (SFMP)</w:t>
            </w:r>
          </w:p>
        </w:tc>
        <w:tc>
          <w:tcPr>
            <w:tcW w:w="831" w:type="pct"/>
          </w:tcPr>
          <w:p w14:paraId="09FB217B" w14:textId="77777777" w:rsidR="002F462F" w:rsidRPr="00961977" w:rsidRDefault="002F462F" w:rsidP="00961977">
            <w:pPr>
              <w:pStyle w:val="TableBodyText"/>
              <w:rPr>
                <w:szCs w:val="20"/>
              </w:rPr>
            </w:pPr>
            <w:r w:rsidRPr="00961977">
              <w:rPr>
                <w:szCs w:val="20"/>
              </w:rPr>
              <w:t>49</w:t>
            </w:r>
          </w:p>
        </w:tc>
        <w:tc>
          <w:tcPr>
            <w:tcW w:w="568" w:type="pct"/>
          </w:tcPr>
          <w:p w14:paraId="024012E0" w14:textId="77777777" w:rsidR="002F462F" w:rsidRPr="00961977" w:rsidRDefault="002F462F" w:rsidP="00961977">
            <w:pPr>
              <w:pStyle w:val="TableBodyText"/>
              <w:rPr>
                <w:szCs w:val="20"/>
              </w:rPr>
            </w:pPr>
            <w:r w:rsidRPr="00961977">
              <w:rPr>
                <w:szCs w:val="20"/>
              </w:rPr>
              <w:t>1</w:t>
            </w:r>
          </w:p>
        </w:tc>
        <w:tc>
          <w:tcPr>
            <w:tcW w:w="888" w:type="pct"/>
          </w:tcPr>
          <w:p w14:paraId="6F20CEC6" w14:textId="77777777" w:rsidR="002F462F" w:rsidRPr="00961977" w:rsidRDefault="002F462F" w:rsidP="00961977">
            <w:pPr>
              <w:pStyle w:val="TableBodyText"/>
              <w:rPr>
                <w:szCs w:val="20"/>
              </w:rPr>
            </w:pPr>
            <w:r w:rsidRPr="00961977">
              <w:rPr>
                <w:szCs w:val="20"/>
              </w:rPr>
              <w:t>N/A</w:t>
            </w:r>
          </w:p>
        </w:tc>
        <w:tc>
          <w:tcPr>
            <w:tcW w:w="726" w:type="pct"/>
          </w:tcPr>
          <w:p w14:paraId="58A972FF" w14:textId="77777777" w:rsidR="002F462F" w:rsidRPr="00961977" w:rsidRDefault="002F462F" w:rsidP="00961977">
            <w:pPr>
              <w:pStyle w:val="TableBodyText"/>
              <w:rPr>
                <w:szCs w:val="20"/>
              </w:rPr>
            </w:pPr>
            <w:r w:rsidRPr="00961977">
              <w:rPr>
                <w:szCs w:val="20"/>
              </w:rPr>
              <w:t>315</w:t>
            </w:r>
          </w:p>
        </w:tc>
      </w:tr>
      <w:tr w:rsidR="004646A5" w:rsidRPr="00961977" w14:paraId="3B55B789" w14:textId="77777777" w:rsidTr="004646A5">
        <w:trPr>
          <w:trHeight w:val="20"/>
        </w:trPr>
        <w:tc>
          <w:tcPr>
            <w:tcW w:w="1987" w:type="pct"/>
          </w:tcPr>
          <w:p w14:paraId="593FBDF3" w14:textId="77777777" w:rsidR="002F462F" w:rsidRPr="00961977" w:rsidRDefault="002F462F" w:rsidP="00961977">
            <w:pPr>
              <w:pStyle w:val="TableBodyText"/>
              <w:rPr>
                <w:szCs w:val="20"/>
              </w:rPr>
            </w:pPr>
            <w:r w:rsidRPr="00961977">
              <w:rPr>
                <w:szCs w:val="20"/>
              </w:rPr>
              <w:t>Merri Creek</w:t>
            </w:r>
          </w:p>
        </w:tc>
        <w:tc>
          <w:tcPr>
            <w:tcW w:w="831" w:type="pct"/>
          </w:tcPr>
          <w:p w14:paraId="7D6709E3" w14:textId="77777777" w:rsidR="002F462F" w:rsidRPr="00961977" w:rsidRDefault="002F462F" w:rsidP="00961977">
            <w:pPr>
              <w:pStyle w:val="TableBodyText"/>
              <w:rPr>
                <w:szCs w:val="20"/>
              </w:rPr>
            </w:pPr>
            <w:r w:rsidRPr="00961977">
              <w:rPr>
                <w:szCs w:val="20"/>
              </w:rPr>
              <w:t>N/A</w:t>
            </w:r>
          </w:p>
        </w:tc>
        <w:tc>
          <w:tcPr>
            <w:tcW w:w="568" w:type="pct"/>
          </w:tcPr>
          <w:p w14:paraId="74F337E8" w14:textId="77777777" w:rsidR="002F462F" w:rsidRPr="00961977" w:rsidRDefault="002F462F" w:rsidP="00961977">
            <w:pPr>
              <w:pStyle w:val="TableBodyText"/>
              <w:rPr>
                <w:szCs w:val="20"/>
              </w:rPr>
            </w:pPr>
            <w:r w:rsidRPr="00961977">
              <w:rPr>
                <w:szCs w:val="20"/>
              </w:rPr>
              <w:t>0</w:t>
            </w:r>
          </w:p>
        </w:tc>
        <w:tc>
          <w:tcPr>
            <w:tcW w:w="888" w:type="pct"/>
          </w:tcPr>
          <w:p w14:paraId="31B4B598" w14:textId="77777777" w:rsidR="002F462F" w:rsidRPr="00961977" w:rsidRDefault="002F462F" w:rsidP="00961977">
            <w:pPr>
              <w:pStyle w:val="TableBodyText"/>
              <w:rPr>
                <w:szCs w:val="20"/>
              </w:rPr>
            </w:pPr>
            <w:r w:rsidRPr="00961977">
              <w:rPr>
                <w:szCs w:val="20"/>
              </w:rPr>
              <w:t>N/A</w:t>
            </w:r>
          </w:p>
        </w:tc>
        <w:tc>
          <w:tcPr>
            <w:tcW w:w="726" w:type="pct"/>
          </w:tcPr>
          <w:p w14:paraId="7CA75ADC" w14:textId="77777777" w:rsidR="002F462F" w:rsidRPr="00961977" w:rsidRDefault="002F462F" w:rsidP="00961977">
            <w:pPr>
              <w:pStyle w:val="TableBodyText"/>
              <w:rPr>
                <w:szCs w:val="20"/>
              </w:rPr>
            </w:pPr>
            <w:r w:rsidRPr="00961977">
              <w:rPr>
                <w:szCs w:val="20"/>
              </w:rPr>
              <w:t>365</w:t>
            </w:r>
          </w:p>
        </w:tc>
      </w:tr>
      <w:tr w:rsidR="004646A5" w:rsidRPr="00961977" w14:paraId="145986D6" w14:textId="77777777" w:rsidTr="004646A5">
        <w:trPr>
          <w:trHeight w:val="20"/>
        </w:trPr>
        <w:tc>
          <w:tcPr>
            <w:tcW w:w="1987" w:type="pct"/>
          </w:tcPr>
          <w:p w14:paraId="626EE84C" w14:textId="77777777" w:rsidR="002F462F" w:rsidRPr="00961977" w:rsidRDefault="002F462F" w:rsidP="00961977">
            <w:pPr>
              <w:pStyle w:val="TableBodyText"/>
              <w:rPr>
                <w:szCs w:val="20"/>
              </w:rPr>
            </w:pPr>
            <w:r w:rsidRPr="00961977">
              <w:rPr>
                <w:szCs w:val="20"/>
              </w:rPr>
              <w:t>Moonee Ponds Creek</w:t>
            </w:r>
          </w:p>
        </w:tc>
        <w:tc>
          <w:tcPr>
            <w:tcW w:w="831" w:type="pct"/>
          </w:tcPr>
          <w:p w14:paraId="53D28A2B" w14:textId="77777777" w:rsidR="002F462F" w:rsidRPr="00961977" w:rsidRDefault="002F462F" w:rsidP="00961977">
            <w:pPr>
              <w:pStyle w:val="TableBodyText"/>
              <w:rPr>
                <w:szCs w:val="20"/>
              </w:rPr>
            </w:pPr>
            <w:r w:rsidRPr="00961977">
              <w:rPr>
                <w:szCs w:val="20"/>
              </w:rPr>
              <w:t>N/A</w:t>
            </w:r>
          </w:p>
        </w:tc>
        <w:tc>
          <w:tcPr>
            <w:tcW w:w="568" w:type="pct"/>
          </w:tcPr>
          <w:p w14:paraId="4F0B764D" w14:textId="77777777" w:rsidR="002F462F" w:rsidRPr="00961977" w:rsidRDefault="002F462F" w:rsidP="00961977">
            <w:pPr>
              <w:pStyle w:val="TableBodyText"/>
              <w:rPr>
                <w:szCs w:val="20"/>
              </w:rPr>
            </w:pPr>
            <w:r w:rsidRPr="00961977">
              <w:rPr>
                <w:szCs w:val="20"/>
              </w:rPr>
              <w:t>9</w:t>
            </w:r>
          </w:p>
        </w:tc>
        <w:tc>
          <w:tcPr>
            <w:tcW w:w="888" w:type="pct"/>
          </w:tcPr>
          <w:p w14:paraId="05C64A48" w14:textId="77777777" w:rsidR="002F462F" w:rsidRPr="00961977" w:rsidRDefault="002F462F" w:rsidP="00961977">
            <w:pPr>
              <w:pStyle w:val="TableBodyText"/>
              <w:rPr>
                <w:szCs w:val="20"/>
              </w:rPr>
            </w:pPr>
            <w:r w:rsidRPr="00961977">
              <w:rPr>
                <w:szCs w:val="20"/>
              </w:rPr>
              <w:t>N/A</w:t>
            </w:r>
          </w:p>
        </w:tc>
        <w:tc>
          <w:tcPr>
            <w:tcW w:w="726" w:type="pct"/>
          </w:tcPr>
          <w:p w14:paraId="231C6B9F" w14:textId="77777777" w:rsidR="002F462F" w:rsidRPr="00961977" w:rsidRDefault="002F462F" w:rsidP="00961977">
            <w:pPr>
              <w:pStyle w:val="TableBodyText"/>
              <w:rPr>
                <w:szCs w:val="20"/>
              </w:rPr>
            </w:pPr>
            <w:r w:rsidRPr="00961977">
              <w:rPr>
                <w:szCs w:val="20"/>
              </w:rPr>
              <w:t>356</w:t>
            </w:r>
          </w:p>
        </w:tc>
      </w:tr>
      <w:tr w:rsidR="004646A5" w:rsidRPr="00961977" w14:paraId="29931765" w14:textId="77777777" w:rsidTr="004646A5">
        <w:trPr>
          <w:trHeight w:val="20"/>
        </w:trPr>
        <w:tc>
          <w:tcPr>
            <w:tcW w:w="1987" w:type="pct"/>
          </w:tcPr>
          <w:p w14:paraId="49966B93" w14:textId="77777777" w:rsidR="002F462F" w:rsidRPr="00961977" w:rsidRDefault="002F462F" w:rsidP="00961977">
            <w:pPr>
              <w:pStyle w:val="TableBodyText"/>
              <w:rPr>
                <w:szCs w:val="20"/>
              </w:rPr>
            </w:pPr>
            <w:r w:rsidRPr="00961977">
              <w:rPr>
                <w:szCs w:val="20"/>
              </w:rPr>
              <w:t>Mullum Mullum Creek</w:t>
            </w:r>
          </w:p>
        </w:tc>
        <w:tc>
          <w:tcPr>
            <w:tcW w:w="831" w:type="pct"/>
          </w:tcPr>
          <w:p w14:paraId="2AA9CA35" w14:textId="77777777" w:rsidR="002F462F" w:rsidRPr="00961977" w:rsidRDefault="002F462F" w:rsidP="00961977">
            <w:pPr>
              <w:pStyle w:val="TableBodyText"/>
              <w:rPr>
                <w:szCs w:val="20"/>
              </w:rPr>
            </w:pPr>
            <w:r w:rsidRPr="00961977">
              <w:rPr>
                <w:szCs w:val="20"/>
              </w:rPr>
              <w:t>N/A</w:t>
            </w:r>
          </w:p>
        </w:tc>
        <w:tc>
          <w:tcPr>
            <w:tcW w:w="568" w:type="pct"/>
          </w:tcPr>
          <w:p w14:paraId="4EBF2AFF" w14:textId="77777777" w:rsidR="002F462F" w:rsidRPr="00961977" w:rsidRDefault="002F462F" w:rsidP="00961977">
            <w:pPr>
              <w:pStyle w:val="TableBodyText"/>
              <w:rPr>
                <w:szCs w:val="20"/>
              </w:rPr>
            </w:pPr>
            <w:r w:rsidRPr="00961977">
              <w:rPr>
                <w:szCs w:val="20"/>
              </w:rPr>
              <w:t>27</w:t>
            </w:r>
          </w:p>
        </w:tc>
        <w:tc>
          <w:tcPr>
            <w:tcW w:w="888" w:type="pct"/>
          </w:tcPr>
          <w:p w14:paraId="16E14704" w14:textId="77777777" w:rsidR="002F462F" w:rsidRPr="00961977" w:rsidRDefault="002F462F" w:rsidP="00961977">
            <w:pPr>
              <w:pStyle w:val="TableBodyText"/>
              <w:rPr>
                <w:szCs w:val="20"/>
              </w:rPr>
            </w:pPr>
            <w:r w:rsidRPr="00961977">
              <w:rPr>
                <w:szCs w:val="20"/>
              </w:rPr>
              <w:t>N/A</w:t>
            </w:r>
          </w:p>
        </w:tc>
        <w:tc>
          <w:tcPr>
            <w:tcW w:w="726" w:type="pct"/>
          </w:tcPr>
          <w:p w14:paraId="5B6E17C7" w14:textId="77777777" w:rsidR="002F462F" w:rsidRPr="00961977" w:rsidRDefault="002F462F" w:rsidP="00961977">
            <w:pPr>
              <w:pStyle w:val="TableBodyText"/>
              <w:rPr>
                <w:szCs w:val="20"/>
              </w:rPr>
            </w:pPr>
            <w:r w:rsidRPr="00961977">
              <w:rPr>
                <w:szCs w:val="20"/>
              </w:rPr>
              <w:t>338</w:t>
            </w:r>
          </w:p>
        </w:tc>
      </w:tr>
      <w:tr w:rsidR="004646A5" w:rsidRPr="00961977" w14:paraId="4081A5F9" w14:textId="77777777" w:rsidTr="004646A5">
        <w:trPr>
          <w:trHeight w:val="20"/>
        </w:trPr>
        <w:tc>
          <w:tcPr>
            <w:tcW w:w="1987" w:type="pct"/>
          </w:tcPr>
          <w:p w14:paraId="0AF538F7" w14:textId="77777777" w:rsidR="002F462F" w:rsidRPr="00961977" w:rsidRDefault="002F462F" w:rsidP="00961977">
            <w:pPr>
              <w:pStyle w:val="TableBodyText"/>
              <w:rPr>
                <w:szCs w:val="20"/>
              </w:rPr>
            </w:pPr>
            <w:r w:rsidRPr="00961977">
              <w:rPr>
                <w:szCs w:val="20"/>
              </w:rPr>
              <w:lastRenderedPageBreak/>
              <w:t>Olinda Creek (Lower) – SFMP</w:t>
            </w:r>
          </w:p>
        </w:tc>
        <w:tc>
          <w:tcPr>
            <w:tcW w:w="831" w:type="pct"/>
          </w:tcPr>
          <w:p w14:paraId="7C9702D7" w14:textId="77777777" w:rsidR="002F462F" w:rsidRPr="00961977" w:rsidRDefault="002F462F" w:rsidP="00961977">
            <w:pPr>
              <w:pStyle w:val="TableBodyText"/>
              <w:rPr>
                <w:szCs w:val="20"/>
              </w:rPr>
            </w:pPr>
            <w:r w:rsidRPr="00961977">
              <w:rPr>
                <w:szCs w:val="20"/>
              </w:rPr>
              <w:t>1</w:t>
            </w:r>
          </w:p>
        </w:tc>
        <w:tc>
          <w:tcPr>
            <w:tcW w:w="568" w:type="pct"/>
          </w:tcPr>
          <w:p w14:paraId="4854EB44" w14:textId="77777777" w:rsidR="002F462F" w:rsidRPr="00961977" w:rsidRDefault="002F462F" w:rsidP="00961977">
            <w:pPr>
              <w:pStyle w:val="TableBodyText"/>
              <w:rPr>
                <w:szCs w:val="20"/>
              </w:rPr>
            </w:pPr>
            <w:r w:rsidRPr="00961977">
              <w:rPr>
                <w:szCs w:val="20"/>
              </w:rPr>
              <w:t>0</w:t>
            </w:r>
          </w:p>
        </w:tc>
        <w:tc>
          <w:tcPr>
            <w:tcW w:w="888" w:type="pct"/>
          </w:tcPr>
          <w:p w14:paraId="7CD25E99" w14:textId="77777777" w:rsidR="002F462F" w:rsidRPr="00961977" w:rsidRDefault="002F462F" w:rsidP="00961977">
            <w:pPr>
              <w:pStyle w:val="TableBodyText"/>
              <w:rPr>
                <w:szCs w:val="20"/>
              </w:rPr>
            </w:pPr>
            <w:r w:rsidRPr="00961977">
              <w:rPr>
                <w:szCs w:val="20"/>
              </w:rPr>
              <w:t>N/A</w:t>
            </w:r>
          </w:p>
        </w:tc>
        <w:tc>
          <w:tcPr>
            <w:tcW w:w="726" w:type="pct"/>
          </w:tcPr>
          <w:p w14:paraId="2D841E0D" w14:textId="77777777" w:rsidR="002F462F" w:rsidRPr="00961977" w:rsidRDefault="002F462F" w:rsidP="00961977">
            <w:pPr>
              <w:pStyle w:val="TableBodyText"/>
              <w:rPr>
                <w:szCs w:val="20"/>
              </w:rPr>
            </w:pPr>
            <w:r w:rsidRPr="00961977">
              <w:rPr>
                <w:szCs w:val="20"/>
              </w:rPr>
              <w:t>364</w:t>
            </w:r>
          </w:p>
        </w:tc>
      </w:tr>
      <w:tr w:rsidR="004646A5" w:rsidRPr="00961977" w14:paraId="18C45E5D" w14:textId="77777777" w:rsidTr="004646A5">
        <w:trPr>
          <w:trHeight w:val="20"/>
        </w:trPr>
        <w:tc>
          <w:tcPr>
            <w:tcW w:w="1987" w:type="pct"/>
          </w:tcPr>
          <w:p w14:paraId="48C925B6" w14:textId="77777777" w:rsidR="002F462F" w:rsidRPr="00961977" w:rsidRDefault="002F462F" w:rsidP="00961977">
            <w:pPr>
              <w:pStyle w:val="TableBodyText"/>
              <w:rPr>
                <w:szCs w:val="20"/>
              </w:rPr>
            </w:pPr>
            <w:r w:rsidRPr="00961977">
              <w:rPr>
                <w:szCs w:val="20"/>
              </w:rPr>
              <w:t>Olinda Creek (Upper) – SFMP</w:t>
            </w:r>
          </w:p>
        </w:tc>
        <w:tc>
          <w:tcPr>
            <w:tcW w:w="831" w:type="pct"/>
          </w:tcPr>
          <w:p w14:paraId="67B8924E" w14:textId="77777777" w:rsidR="002F462F" w:rsidRPr="00961977" w:rsidRDefault="002F462F" w:rsidP="00961977">
            <w:pPr>
              <w:pStyle w:val="TableBodyText"/>
              <w:rPr>
                <w:szCs w:val="20"/>
              </w:rPr>
            </w:pPr>
            <w:r w:rsidRPr="00961977">
              <w:rPr>
                <w:szCs w:val="20"/>
              </w:rPr>
              <w:t>32</w:t>
            </w:r>
          </w:p>
        </w:tc>
        <w:tc>
          <w:tcPr>
            <w:tcW w:w="568" w:type="pct"/>
          </w:tcPr>
          <w:p w14:paraId="2ED19659" w14:textId="77777777" w:rsidR="002F462F" w:rsidRPr="00961977" w:rsidRDefault="002F462F" w:rsidP="00961977">
            <w:pPr>
              <w:pStyle w:val="TableBodyText"/>
              <w:rPr>
                <w:szCs w:val="20"/>
              </w:rPr>
            </w:pPr>
            <w:r w:rsidRPr="00961977">
              <w:rPr>
                <w:szCs w:val="20"/>
              </w:rPr>
              <w:t>129</w:t>
            </w:r>
          </w:p>
        </w:tc>
        <w:tc>
          <w:tcPr>
            <w:tcW w:w="888" w:type="pct"/>
          </w:tcPr>
          <w:p w14:paraId="3981B045" w14:textId="77777777" w:rsidR="002F462F" w:rsidRPr="00961977" w:rsidRDefault="002F462F" w:rsidP="00961977">
            <w:pPr>
              <w:pStyle w:val="TableBodyText"/>
              <w:rPr>
                <w:szCs w:val="20"/>
              </w:rPr>
            </w:pPr>
            <w:r w:rsidRPr="00961977">
              <w:rPr>
                <w:szCs w:val="20"/>
              </w:rPr>
              <w:t>N/A</w:t>
            </w:r>
          </w:p>
        </w:tc>
        <w:tc>
          <w:tcPr>
            <w:tcW w:w="726" w:type="pct"/>
          </w:tcPr>
          <w:p w14:paraId="3F541C09" w14:textId="77777777" w:rsidR="002F462F" w:rsidRPr="00961977" w:rsidRDefault="002F462F" w:rsidP="00961977">
            <w:pPr>
              <w:pStyle w:val="TableBodyText"/>
              <w:rPr>
                <w:szCs w:val="20"/>
              </w:rPr>
            </w:pPr>
            <w:r w:rsidRPr="00961977">
              <w:rPr>
                <w:szCs w:val="20"/>
              </w:rPr>
              <w:t>204</w:t>
            </w:r>
          </w:p>
        </w:tc>
      </w:tr>
      <w:tr w:rsidR="004646A5" w:rsidRPr="00961977" w14:paraId="6B906437" w14:textId="77777777" w:rsidTr="004646A5">
        <w:trPr>
          <w:trHeight w:val="20"/>
        </w:trPr>
        <w:tc>
          <w:tcPr>
            <w:tcW w:w="1987" w:type="pct"/>
          </w:tcPr>
          <w:p w14:paraId="4064C823" w14:textId="77777777" w:rsidR="002F462F" w:rsidRPr="00961977" w:rsidRDefault="002F462F" w:rsidP="00961977">
            <w:pPr>
              <w:pStyle w:val="TableBodyText"/>
              <w:rPr>
                <w:szCs w:val="20"/>
              </w:rPr>
            </w:pPr>
            <w:r w:rsidRPr="00961977">
              <w:rPr>
                <w:szCs w:val="20"/>
              </w:rPr>
              <w:t>Pauls Creek (SFMP)</w:t>
            </w:r>
          </w:p>
        </w:tc>
        <w:tc>
          <w:tcPr>
            <w:tcW w:w="831" w:type="pct"/>
          </w:tcPr>
          <w:p w14:paraId="755EC2F3" w14:textId="77777777" w:rsidR="002F462F" w:rsidRPr="00961977" w:rsidRDefault="002F462F" w:rsidP="00961977">
            <w:pPr>
              <w:pStyle w:val="TableBodyText"/>
              <w:rPr>
                <w:szCs w:val="20"/>
              </w:rPr>
            </w:pPr>
            <w:r w:rsidRPr="00961977">
              <w:rPr>
                <w:szCs w:val="20"/>
              </w:rPr>
              <w:t>N/A</w:t>
            </w:r>
          </w:p>
        </w:tc>
        <w:tc>
          <w:tcPr>
            <w:tcW w:w="568" w:type="pct"/>
          </w:tcPr>
          <w:p w14:paraId="4F69D51E" w14:textId="77777777" w:rsidR="002F462F" w:rsidRPr="00961977" w:rsidRDefault="002F462F" w:rsidP="00961977">
            <w:pPr>
              <w:pStyle w:val="TableBodyText"/>
              <w:rPr>
                <w:szCs w:val="20"/>
              </w:rPr>
            </w:pPr>
            <w:r w:rsidRPr="00961977">
              <w:rPr>
                <w:szCs w:val="20"/>
              </w:rPr>
              <w:t>103</w:t>
            </w:r>
          </w:p>
        </w:tc>
        <w:tc>
          <w:tcPr>
            <w:tcW w:w="888" w:type="pct"/>
          </w:tcPr>
          <w:p w14:paraId="2A21CF05" w14:textId="77777777" w:rsidR="002F462F" w:rsidRPr="00961977" w:rsidRDefault="002F462F" w:rsidP="00961977">
            <w:pPr>
              <w:pStyle w:val="TableBodyText"/>
              <w:rPr>
                <w:szCs w:val="20"/>
              </w:rPr>
            </w:pPr>
            <w:r w:rsidRPr="00961977">
              <w:rPr>
                <w:szCs w:val="20"/>
              </w:rPr>
              <w:t>213</w:t>
            </w:r>
          </w:p>
        </w:tc>
        <w:tc>
          <w:tcPr>
            <w:tcW w:w="726" w:type="pct"/>
          </w:tcPr>
          <w:p w14:paraId="6E0FB49A" w14:textId="77777777" w:rsidR="002F462F" w:rsidRPr="00961977" w:rsidRDefault="002F462F" w:rsidP="00961977">
            <w:pPr>
              <w:pStyle w:val="TableBodyText"/>
              <w:rPr>
                <w:szCs w:val="20"/>
              </w:rPr>
            </w:pPr>
            <w:r w:rsidRPr="00961977">
              <w:rPr>
                <w:szCs w:val="20"/>
              </w:rPr>
              <w:t>50</w:t>
            </w:r>
          </w:p>
        </w:tc>
      </w:tr>
      <w:tr w:rsidR="004646A5" w:rsidRPr="00961977" w14:paraId="2DC31526" w14:textId="77777777" w:rsidTr="004646A5">
        <w:trPr>
          <w:trHeight w:val="20"/>
        </w:trPr>
        <w:tc>
          <w:tcPr>
            <w:tcW w:w="1987" w:type="pct"/>
          </w:tcPr>
          <w:p w14:paraId="1D617DF4" w14:textId="77777777" w:rsidR="002F462F" w:rsidRPr="00961977" w:rsidRDefault="002F462F" w:rsidP="00961977">
            <w:pPr>
              <w:pStyle w:val="TableBodyText"/>
              <w:rPr>
                <w:szCs w:val="20"/>
              </w:rPr>
            </w:pPr>
            <w:r w:rsidRPr="00961977">
              <w:rPr>
                <w:szCs w:val="20"/>
              </w:rPr>
              <w:t>Plenty River</w:t>
            </w:r>
          </w:p>
        </w:tc>
        <w:tc>
          <w:tcPr>
            <w:tcW w:w="831" w:type="pct"/>
          </w:tcPr>
          <w:p w14:paraId="4029C9BD" w14:textId="77777777" w:rsidR="002F462F" w:rsidRPr="00961977" w:rsidRDefault="002F462F" w:rsidP="00961977">
            <w:pPr>
              <w:pStyle w:val="TableBodyText"/>
              <w:rPr>
                <w:szCs w:val="20"/>
              </w:rPr>
            </w:pPr>
            <w:r w:rsidRPr="00961977">
              <w:rPr>
                <w:szCs w:val="20"/>
              </w:rPr>
              <w:t>N/A</w:t>
            </w:r>
          </w:p>
        </w:tc>
        <w:tc>
          <w:tcPr>
            <w:tcW w:w="568" w:type="pct"/>
          </w:tcPr>
          <w:p w14:paraId="1E2D382C" w14:textId="77777777" w:rsidR="002F462F" w:rsidRPr="00961977" w:rsidRDefault="002F462F" w:rsidP="00961977">
            <w:pPr>
              <w:pStyle w:val="TableBodyText"/>
              <w:rPr>
                <w:szCs w:val="20"/>
              </w:rPr>
            </w:pPr>
            <w:r w:rsidRPr="00961977">
              <w:rPr>
                <w:szCs w:val="20"/>
              </w:rPr>
              <w:t>50</w:t>
            </w:r>
          </w:p>
        </w:tc>
        <w:tc>
          <w:tcPr>
            <w:tcW w:w="888" w:type="pct"/>
          </w:tcPr>
          <w:p w14:paraId="47D0A1A9" w14:textId="77777777" w:rsidR="002F462F" w:rsidRPr="00961977" w:rsidRDefault="002F462F" w:rsidP="00961977">
            <w:pPr>
              <w:pStyle w:val="TableBodyText"/>
              <w:rPr>
                <w:szCs w:val="20"/>
              </w:rPr>
            </w:pPr>
            <w:r w:rsidRPr="00961977">
              <w:rPr>
                <w:szCs w:val="20"/>
              </w:rPr>
              <w:t>N/A</w:t>
            </w:r>
          </w:p>
        </w:tc>
        <w:tc>
          <w:tcPr>
            <w:tcW w:w="726" w:type="pct"/>
          </w:tcPr>
          <w:p w14:paraId="29D6BAA5" w14:textId="77777777" w:rsidR="002F462F" w:rsidRPr="00961977" w:rsidRDefault="002F462F" w:rsidP="00961977">
            <w:pPr>
              <w:pStyle w:val="TableBodyText"/>
              <w:rPr>
                <w:szCs w:val="20"/>
              </w:rPr>
            </w:pPr>
            <w:r w:rsidRPr="00961977">
              <w:rPr>
                <w:szCs w:val="20"/>
              </w:rPr>
              <w:t>315</w:t>
            </w:r>
          </w:p>
        </w:tc>
      </w:tr>
      <w:tr w:rsidR="004646A5" w:rsidRPr="00961977" w14:paraId="777D967C" w14:textId="77777777" w:rsidTr="004646A5">
        <w:trPr>
          <w:trHeight w:val="20"/>
        </w:trPr>
        <w:tc>
          <w:tcPr>
            <w:tcW w:w="1987" w:type="pct"/>
          </w:tcPr>
          <w:p w14:paraId="300F180A" w14:textId="77777777" w:rsidR="002F462F" w:rsidRPr="00961977" w:rsidRDefault="002F462F" w:rsidP="00961977">
            <w:pPr>
              <w:pStyle w:val="TableBodyText"/>
              <w:rPr>
                <w:szCs w:val="20"/>
              </w:rPr>
            </w:pPr>
            <w:r w:rsidRPr="00961977">
              <w:rPr>
                <w:szCs w:val="20"/>
              </w:rPr>
              <w:t>Steels Creek (SFMP)</w:t>
            </w:r>
          </w:p>
        </w:tc>
        <w:tc>
          <w:tcPr>
            <w:tcW w:w="831" w:type="pct"/>
          </w:tcPr>
          <w:p w14:paraId="4E1A0B2D" w14:textId="77777777" w:rsidR="002F462F" w:rsidRPr="00961977" w:rsidRDefault="002F462F" w:rsidP="00961977">
            <w:pPr>
              <w:pStyle w:val="TableBodyText"/>
              <w:rPr>
                <w:szCs w:val="20"/>
              </w:rPr>
            </w:pPr>
            <w:r w:rsidRPr="00961977">
              <w:rPr>
                <w:szCs w:val="20"/>
              </w:rPr>
              <w:t>N/A</w:t>
            </w:r>
          </w:p>
        </w:tc>
        <w:tc>
          <w:tcPr>
            <w:tcW w:w="568" w:type="pct"/>
          </w:tcPr>
          <w:p w14:paraId="582BAB7E" w14:textId="77777777" w:rsidR="002F462F" w:rsidRPr="00961977" w:rsidRDefault="002F462F" w:rsidP="00961977">
            <w:pPr>
              <w:pStyle w:val="TableBodyText"/>
              <w:rPr>
                <w:szCs w:val="20"/>
              </w:rPr>
            </w:pPr>
            <w:r w:rsidRPr="00961977">
              <w:rPr>
                <w:szCs w:val="20"/>
              </w:rPr>
              <w:t>97</w:t>
            </w:r>
          </w:p>
        </w:tc>
        <w:tc>
          <w:tcPr>
            <w:tcW w:w="888" w:type="pct"/>
          </w:tcPr>
          <w:p w14:paraId="1E5EDB10" w14:textId="77777777" w:rsidR="002F462F" w:rsidRPr="00961977" w:rsidRDefault="002F462F" w:rsidP="00961977">
            <w:pPr>
              <w:pStyle w:val="TableBodyText"/>
              <w:rPr>
                <w:szCs w:val="20"/>
              </w:rPr>
            </w:pPr>
            <w:r w:rsidRPr="00961977">
              <w:rPr>
                <w:szCs w:val="20"/>
              </w:rPr>
              <w:t>213</w:t>
            </w:r>
          </w:p>
        </w:tc>
        <w:tc>
          <w:tcPr>
            <w:tcW w:w="726" w:type="pct"/>
          </w:tcPr>
          <w:p w14:paraId="3806C9EF" w14:textId="77777777" w:rsidR="002F462F" w:rsidRPr="00961977" w:rsidRDefault="002F462F" w:rsidP="00961977">
            <w:pPr>
              <w:pStyle w:val="TableBodyText"/>
              <w:rPr>
                <w:szCs w:val="20"/>
              </w:rPr>
            </w:pPr>
            <w:r w:rsidRPr="00961977">
              <w:rPr>
                <w:szCs w:val="20"/>
              </w:rPr>
              <w:t>56</w:t>
            </w:r>
          </w:p>
        </w:tc>
      </w:tr>
      <w:tr w:rsidR="004646A5" w:rsidRPr="00961977" w14:paraId="332ACAB0" w14:textId="77777777" w:rsidTr="004646A5">
        <w:trPr>
          <w:trHeight w:val="20"/>
        </w:trPr>
        <w:tc>
          <w:tcPr>
            <w:tcW w:w="1987" w:type="pct"/>
          </w:tcPr>
          <w:p w14:paraId="280309E3" w14:textId="77777777" w:rsidR="002F462F" w:rsidRPr="00961977" w:rsidRDefault="002F462F" w:rsidP="00961977">
            <w:pPr>
              <w:pStyle w:val="TableBodyText"/>
              <w:rPr>
                <w:szCs w:val="20"/>
              </w:rPr>
            </w:pPr>
            <w:r w:rsidRPr="00961977">
              <w:rPr>
                <w:szCs w:val="20"/>
              </w:rPr>
              <w:t>Stringybark Creek (Lower) – SFMP</w:t>
            </w:r>
          </w:p>
        </w:tc>
        <w:tc>
          <w:tcPr>
            <w:tcW w:w="831" w:type="pct"/>
          </w:tcPr>
          <w:p w14:paraId="179F003D" w14:textId="77777777" w:rsidR="002F462F" w:rsidRPr="00961977" w:rsidRDefault="002F462F" w:rsidP="00961977">
            <w:pPr>
              <w:pStyle w:val="TableBodyText"/>
              <w:rPr>
                <w:szCs w:val="20"/>
              </w:rPr>
            </w:pPr>
            <w:r w:rsidRPr="00961977">
              <w:rPr>
                <w:szCs w:val="20"/>
              </w:rPr>
              <w:t>N/A</w:t>
            </w:r>
          </w:p>
        </w:tc>
        <w:tc>
          <w:tcPr>
            <w:tcW w:w="568" w:type="pct"/>
          </w:tcPr>
          <w:p w14:paraId="49D8F588" w14:textId="77777777" w:rsidR="002F462F" w:rsidRPr="00961977" w:rsidRDefault="002F462F" w:rsidP="00961977">
            <w:pPr>
              <w:pStyle w:val="TableBodyText"/>
              <w:rPr>
                <w:szCs w:val="20"/>
              </w:rPr>
            </w:pPr>
            <w:r w:rsidRPr="00961977">
              <w:rPr>
                <w:szCs w:val="20"/>
              </w:rPr>
              <w:t>0</w:t>
            </w:r>
          </w:p>
        </w:tc>
        <w:tc>
          <w:tcPr>
            <w:tcW w:w="888" w:type="pct"/>
          </w:tcPr>
          <w:p w14:paraId="2350464A" w14:textId="77777777" w:rsidR="002F462F" w:rsidRPr="00961977" w:rsidRDefault="002F462F" w:rsidP="00961977">
            <w:pPr>
              <w:pStyle w:val="TableBodyText"/>
              <w:rPr>
                <w:szCs w:val="20"/>
              </w:rPr>
            </w:pPr>
            <w:r w:rsidRPr="00961977">
              <w:rPr>
                <w:szCs w:val="20"/>
              </w:rPr>
              <w:t>N/A</w:t>
            </w:r>
          </w:p>
        </w:tc>
        <w:tc>
          <w:tcPr>
            <w:tcW w:w="726" w:type="pct"/>
          </w:tcPr>
          <w:p w14:paraId="59A53D3A" w14:textId="77777777" w:rsidR="002F462F" w:rsidRPr="00961977" w:rsidRDefault="002F462F" w:rsidP="00961977">
            <w:pPr>
              <w:pStyle w:val="TableBodyText"/>
              <w:rPr>
                <w:szCs w:val="20"/>
              </w:rPr>
            </w:pPr>
            <w:r w:rsidRPr="00961977">
              <w:rPr>
                <w:szCs w:val="20"/>
              </w:rPr>
              <w:t>365</w:t>
            </w:r>
          </w:p>
        </w:tc>
      </w:tr>
      <w:tr w:rsidR="00961977" w:rsidRPr="00961977" w14:paraId="4F435A96" w14:textId="77777777" w:rsidTr="004646A5">
        <w:trPr>
          <w:trHeight w:val="20"/>
        </w:trPr>
        <w:tc>
          <w:tcPr>
            <w:tcW w:w="1987" w:type="pct"/>
          </w:tcPr>
          <w:p w14:paraId="73AFCEAC" w14:textId="1F1C6911" w:rsidR="00961977" w:rsidRPr="00961977" w:rsidRDefault="00961977" w:rsidP="00961977">
            <w:pPr>
              <w:pStyle w:val="TableBodyText"/>
              <w:rPr>
                <w:szCs w:val="20"/>
              </w:rPr>
            </w:pPr>
            <w:r>
              <w:rPr>
                <w:szCs w:val="20"/>
              </w:rPr>
              <w:t>Stringybark Creek (Upper) – SFMP</w:t>
            </w:r>
          </w:p>
        </w:tc>
        <w:tc>
          <w:tcPr>
            <w:tcW w:w="831" w:type="pct"/>
          </w:tcPr>
          <w:p w14:paraId="3A989CB0" w14:textId="481E591D" w:rsidR="00961977" w:rsidRPr="00961977" w:rsidRDefault="00961977" w:rsidP="00961977">
            <w:pPr>
              <w:pStyle w:val="TableBodyText"/>
              <w:rPr>
                <w:szCs w:val="20"/>
              </w:rPr>
            </w:pPr>
            <w:r>
              <w:rPr>
                <w:szCs w:val="20"/>
              </w:rPr>
              <w:t>N/A</w:t>
            </w:r>
          </w:p>
        </w:tc>
        <w:tc>
          <w:tcPr>
            <w:tcW w:w="568" w:type="pct"/>
          </w:tcPr>
          <w:p w14:paraId="0BBFDDB0" w14:textId="6D633321" w:rsidR="00961977" w:rsidRPr="00961977" w:rsidRDefault="00961977" w:rsidP="00961977">
            <w:pPr>
              <w:pStyle w:val="TableBodyText"/>
              <w:rPr>
                <w:szCs w:val="20"/>
              </w:rPr>
            </w:pPr>
            <w:r>
              <w:rPr>
                <w:szCs w:val="20"/>
              </w:rPr>
              <w:t>29</w:t>
            </w:r>
          </w:p>
        </w:tc>
        <w:tc>
          <w:tcPr>
            <w:tcW w:w="888" w:type="pct"/>
          </w:tcPr>
          <w:p w14:paraId="5AA862EE" w14:textId="286B175E" w:rsidR="00961977" w:rsidRPr="00961977" w:rsidRDefault="00961977" w:rsidP="00961977">
            <w:pPr>
              <w:pStyle w:val="TableBodyText"/>
              <w:rPr>
                <w:szCs w:val="20"/>
              </w:rPr>
            </w:pPr>
            <w:r>
              <w:rPr>
                <w:szCs w:val="20"/>
              </w:rPr>
              <w:t>N/A</w:t>
            </w:r>
          </w:p>
        </w:tc>
        <w:tc>
          <w:tcPr>
            <w:tcW w:w="726" w:type="pct"/>
          </w:tcPr>
          <w:p w14:paraId="08E834EF" w14:textId="04949846" w:rsidR="00961977" w:rsidRPr="00961977" w:rsidRDefault="00961977" w:rsidP="00961977">
            <w:pPr>
              <w:pStyle w:val="TableBodyText"/>
              <w:rPr>
                <w:szCs w:val="20"/>
              </w:rPr>
            </w:pPr>
            <w:r>
              <w:rPr>
                <w:szCs w:val="20"/>
              </w:rPr>
              <w:t>366</w:t>
            </w:r>
          </w:p>
        </w:tc>
      </w:tr>
      <w:tr w:rsidR="004646A5" w:rsidRPr="00961977" w14:paraId="62881A31" w14:textId="77777777" w:rsidTr="004646A5">
        <w:trPr>
          <w:trHeight w:val="20"/>
        </w:trPr>
        <w:tc>
          <w:tcPr>
            <w:tcW w:w="1987" w:type="pct"/>
          </w:tcPr>
          <w:p w14:paraId="7B72D099" w14:textId="14F330A7" w:rsidR="004646A5" w:rsidRPr="00961977" w:rsidRDefault="004646A5" w:rsidP="00961977">
            <w:pPr>
              <w:pStyle w:val="TableBodyText"/>
              <w:rPr>
                <w:szCs w:val="20"/>
              </w:rPr>
            </w:pPr>
            <w:r w:rsidRPr="00961977">
              <w:rPr>
                <w:szCs w:val="20"/>
              </w:rPr>
              <w:t>Wandin Yallock Creek (SFMP)</w:t>
            </w:r>
          </w:p>
        </w:tc>
        <w:tc>
          <w:tcPr>
            <w:tcW w:w="831" w:type="pct"/>
          </w:tcPr>
          <w:p w14:paraId="7EB9844D" w14:textId="07FB4665" w:rsidR="004646A5" w:rsidRPr="00961977" w:rsidRDefault="004646A5" w:rsidP="00961977">
            <w:pPr>
              <w:pStyle w:val="TableBodyText"/>
              <w:rPr>
                <w:szCs w:val="20"/>
              </w:rPr>
            </w:pPr>
            <w:r w:rsidRPr="00961977">
              <w:rPr>
                <w:szCs w:val="20"/>
              </w:rPr>
              <w:t>N/A</w:t>
            </w:r>
          </w:p>
        </w:tc>
        <w:tc>
          <w:tcPr>
            <w:tcW w:w="568" w:type="pct"/>
          </w:tcPr>
          <w:p w14:paraId="2E156E97" w14:textId="4DC84C2F" w:rsidR="004646A5" w:rsidRPr="00961977" w:rsidRDefault="004646A5" w:rsidP="00961977">
            <w:pPr>
              <w:pStyle w:val="TableBodyText"/>
              <w:rPr>
                <w:szCs w:val="20"/>
              </w:rPr>
            </w:pPr>
            <w:r w:rsidRPr="00961977">
              <w:rPr>
                <w:szCs w:val="20"/>
              </w:rPr>
              <w:t>0</w:t>
            </w:r>
          </w:p>
        </w:tc>
        <w:tc>
          <w:tcPr>
            <w:tcW w:w="888" w:type="pct"/>
          </w:tcPr>
          <w:p w14:paraId="074070FF" w14:textId="64AEAE22" w:rsidR="004646A5" w:rsidRPr="00961977" w:rsidRDefault="004646A5" w:rsidP="00961977">
            <w:pPr>
              <w:pStyle w:val="TableBodyText"/>
              <w:rPr>
                <w:szCs w:val="20"/>
              </w:rPr>
            </w:pPr>
            <w:r w:rsidRPr="00961977">
              <w:rPr>
                <w:szCs w:val="20"/>
              </w:rPr>
              <w:t>N/A</w:t>
            </w:r>
          </w:p>
        </w:tc>
        <w:tc>
          <w:tcPr>
            <w:tcW w:w="726" w:type="pct"/>
          </w:tcPr>
          <w:p w14:paraId="4E3BADD1" w14:textId="1BC7F0F9" w:rsidR="004646A5" w:rsidRPr="00961977" w:rsidRDefault="004646A5" w:rsidP="00961977">
            <w:pPr>
              <w:pStyle w:val="TableBodyText"/>
              <w:rPr>
                <w:szCs w:val="20"/>
              </w:rPr>
            </w:pPr>
            <w:r w:rsidRPr="00961977">
              <w:rPr>
                <w:szCs w:val="20"/>
              </w:rPr>
              <w:t>365</w:t>
            </w:r>
          </w:p>
        </w:tc>
      </w:tr>
      <w:tr w:rsidR="004646A5" w:rsidRPr="00961977" w14:paraId="048D1180" w14:textId="77777777" w:rsidTr="004646A5">
        <w:trPr>
          <w:trHeight w:val="20"/>
        </w:trPr>
        <w:tc>
          <w:tcPr>
            <w:tcW w:w="1987" w:type="pct"/>
          </w:tcPr>
          <w:p w14:paraId="13E9E96B" w14:textId="38F46271" w:rsidR="004646A5" w:rsidRPr="00961977" w:rsidRDefault="004646A5" w:rsidP="00961977">
            <w:pPr>
              <w:pStyle w:val="TableBodyText"/>
              <w:rPr>
                <w:szCs w:val="20"/>
              </w:rPr>
            </w:pPr>
            <w:r w:rsidRPr="00961977">
              <w:rPr>
                <w:szCs w:val="20"/>
              </w:rPr>
              <w:t>Watsons Creek</w:t>
            </w:r>
          </w:p>
        </w:tc>
        <w:tc>
          <w:tcPr>
            <w:tcW w:w="831" w:type="pct"/>
          </w:tcPr>
          <w:p w14:paraId="0FAC65D9" w14:textId="29470835" w:rsidR="004646A5" w:rsidRPr="00961977" w:rsidRDefault="004646A5" w:rsidP="00961977">
            <w:pPr>
              <w:pStyle w:val="TableBodyText"/>
              <w:rPr>
                <w:szCs w:val="20"/>
              </w:rPr>
            </w:pPr>
            <w:r w:rsidRPr="00961977">
              <w:rPr>
                <w:szCs w:val="20"/>
              </w:rPr>
              <w:t>N/A</w:t>
            </w:r>
          </w:p>
        </w:tc>
        <w:tc>
          <w:tcPr>
            <w:tcW w:w="568" w:type="pct"/>
          </w:tcPr>
          <w:p w14:paraId="63CBDD3E" w14:textId="25129499" w:rsidR="004646A5" w:rsidRPr="00961977" w:rsidRDefault="004646A5" w:rsidP="00961977">
            <w:pPr>
              <w:pStyle w:val="TableBodyText"/>
              <w:rPr>
                <w:szCs w:val="20"/>
              </w:rPr>
            </w:pPr>
            <w:r w:rsidRPr="00961977">
              <w:rPr>
                <w:szCs w:val="20"/>
              </w:rPr>
              <w:t>0</w:t>
            </w:r>
          </w:p>
        </w:tc>
        <w:tc>
          <w:tcPr>
            <w:tcW w:w="888" w:type="pct"/>
          </w:tcPr>
          <w:p w14:paraId="1EF38232" w14:textId="29E9F88B" w:rsidR="004646A5" w:rsidRPr="00961977" w:rsidRDefault="004646A5" w:rsidP="00961977">
            <w:pPr>
              <w:pStyle w:val="TableBodyText"/>
              <w:rPr>
                <w:szCs w:val="20"/>
              </w:rPr>
            </w:pPr>
            <w:r w:rsidRPr="00961977">
              <w:rPr>
                <w:szCs w:val="20"/>
              </w:rPr>
              <w:t>N/A</w:t>
            </w:r>
          </w:p>
        </w:tc>
        <w:tc>
          <w:tcPr>
            <w:tcW w:w="726" w:type="pct"/>
          </w:tcPr>
          <w:p w14:paraId="7ED67680" w14:textId="75904EE0" w:rsidR="004646A5" w:rsidRPr="00961977" w:rsidRDefault="004646A5" w:rsidP="00961977">
            <w:pPr>
              <w:pStyle w:val="TableBodyText"/>
              <w:rPr>
                <w:szCs w:val="20"/>
              </w:rPr>
            </w:pPr>
            <w:r w:rsidRPr="00961977">
              <w:rPr>
                <w:szCs w:val="20"/>
              </w:rPr>
              <w:t>365</w:t>
            </w:r>
          </w:p>
        </w:tc>
      </w:tr>
      <w:tr w:rsidR="004646A5" w:rsidRPr="00961977" w14:paraId="6458AF57" w14:textId="77777777" w:rsidTr="004646A5">
        <w:trPr>
          <w:trHeight w:val="20"/>
        </w:trPr>
        <w:tc>
          <w:tcPr>
            <w:tcW w:w="1987" w:type="pct"/>
          </w:tcPr>
          <w:p w14:paraId="11BFCF08" w14:textId="115157B5" w:rsidR="004646A5" w:rsidRPr="00961977" w:rsidRDefault="004646A5" w:rsidP="00961977">
            <w:pPr>
              <w:pStyle w:val="TableBodyText"/>
              <w:rPr>
                <w:szCs w:val="20"/>
              </w:rPr>
            </w:pPr>
            <w:r w:rsidRPr="00961977">
              <w:rPr>
                <w:szCs w:val="20"/>
              </w:rPr>
              <w:t>Watts River</w:t>
            </w:r>
          </w:p>
        </w:tc>
        <w:tc>
          <w:tcPr>
            <w:tcW w:w="831" w:type="pct"/>
          </w:tcPr>
          <w:p w14:paraId="06761929" w14:textId="68293504" w:rsidR="004646A5" w:rsidRPr="00961977" w:rsidRDefault="004646A5" w:rsidP="00961977">
            <w:pPr>
              <w:pStyle w:val="TableBodyText"/>
              <w:rPr>
                <w:szCs w:val="20"/>
              </w:rPr>
            </w:pPr>
            <w:r w:rsidRPr="00961977">
              <w:rPr>
                <w:szCs w:val="20"/>
              </w:rPr>
              <w:t>N/A</w:t>
            </w:r>
          </w:p>
        </w:tc>
        <w:tc>
          <w:tcPr>
            <w:tcW w:w="568" w:type="pct"/>
          </w:tcPr>
          <w:p w14:paraId="7BAFF6A8" w14:textId="0FE3B98A" w:rsidR="004646A5" w:rsidRPr="00961977" w:rsidRDefault="004646A5" w:rsidP="00961977">
            <w:pPr>
              <w:pStyle w:val="TableBodyText"/>
              <w:rPr>
                <w:szCs w:val="20"/>
              </w:rPr>
            </w:pPr>
            <w:r w:rsidRPr="00961977">
              <w:rPr>
                <w:szCs w:val="20"/>
              </w:rPr>
              <w:t>0</w:t>
            </w:r>
          </w:p>
        </w:tc>
        <w:tc>
          <w:tcPr>
            <w:tcW w:w="888" w:type="pct"/>
          </w:tcPr>
          <w:p w14:paraId="28969726" w14:textId="0F294743" w:rsidR="004646A5" w:rsidRPr="00961977" w:rsidRDefault="004646A5" w:rsidP="00961977">
            <w:pPr>
              <w:pStyle w:val="TableBodyText"/>
              <w:rPr>
                <w:szCs w:val="20"/>
              </w:rPr>
            </w:pPr>
            <w:r w:rsidRPr="00961977">
              <w:rPr>
                <w:szCs w:val="20"/>
              </w:rPr>
              <w:t>N/A</w:t>
            </w:r>
          </w:p>
        </w:tc>
        <w:tc>
          <w:tcPr>
            <w:tcW w:w="726" w:type="pct"/>
          </w:tcPr>
          <w:p w14:paraId="34315A0F" w14:textId="52301E62" w:rsidR="004646A5" w:rsidRPr="00961977" w:rsidRDefault="004646A5" w:rsidP="00961977">
            <w:pPr>
              <w:pStyle w:val="TableBodyText"/>
              <w:rPr>
                <w:szCs w:val="20"/>
              </w:rPr>
            </w:pPr>
            <w:r w:rsidRPr="00961977">
              <w:rPr>
                <w:szCs w:val="20"/>
              </w:rPr>
              <w:t>365</w:t>
            </w:r>
          </w:p>
        </w:tc>
      </w:tr>
      <w:tr w:rsidR="004646A5" w:rsidRPr="00961977" w14:paraId="53566115" w14:textId="77777777" w:rsidTr="004646A5">
        <w:trPr>
          <w:trHeight w:val="20"/>
        </w:trPr>
        <w:tc>
          <w:tcPr>
            <w:tcW w:w="1987" w:type="pct"/>
          </w:tcPr>
          <w:p w14:paraId="40F04E70" w14:textId="4E6B173B" w:rsidR="004646A5" w:rsidRPr="00961977" w:rsidRDefault="004646A5" w:rsidP="00961977">
            <w:pPr>
              <w:pStyle w:val="TableBodyText"/>
              <w:rPr>
                <w:szCs w:val="20"/>
              </w:rPr>
            </w:pPr>
            <w:r w:rsidRPr="00961977">
              <w:rPr>
                <w:szCs w:val="20"/>
              </w:rPr>
              <w:t>Woori Yallock Creek (SFMP)</w:t>
            </w:r>
          </w:p>
        </w:tc>
        <w:tc>
          <w:tcPr>
            <w:tcW w:w="831" w:type="pct"/>
          </w:tcPr>
          <w:p w14:paraId="5DFDE51E" w14:textId="7D670021" w:rsidR="004646A5" w:rsidRPr="00961977" w:rsidRDefault="004646A5" w:rsidP="00961977">
            <w:pPr>
              <w:pStyle w:val="TableBodyText"/>
              <w:rPr>
                <w:szCs w:val="20"/>
              </w:rPr>
            </w:pPr>
            <w:r w:rsidRPr="00961977">
              <w:rPr>
                <w:szCs w:val="20"/>
              </w:rPr>
              <w:t>0</w:t>
            </w:r>
          </w:p>
        </w:tc>
        <w:tc>
          <w:tcPr>
            <w:tcW w:w="568" w:type="pct"/>
          </w:tcPr>
          <w:p w14:paraId="704BA635" w14:textId="737D000D" w:rsidR="004646A5" w:rsidRPr="00961977" w:rsidRDefault="004646A5" w:rsidP="00961977">
            <w:pPr>
              <w:pStyle w:val="TableBodyText"/>
              <w:rPr>
                <w:szCs w:val="20"/>
              </w:rPr>
            </w:pPr>
            <w:r w:rsidRPr="00961977">
              <w:rPr>
                <w:szCs w:val="20"/>
              </w:rPr>
              <w:t>0</w:t>
            </w:r>
          </w:p>
        </w:tc>
        <w:tc>
          <w:tcPr>
            <w:tcW w:w="888" w:type="pct"/>
          </w:tcPr>
          <w:p w14:paraId="21343831" w14:textId="016013F2" w:rsidR="004646A5" w:rsidRPr="00961977" w:rsidRDefault="004646A5" w:rsidP="00961977">
            <w:pPr>
              <w:pStyle w:val="TableBodyText"/>
              <w:rPr>
                <w:szCs w:val="20"/>
              </w:rPr>
            </w:pPr>
            <w:r w:rsidRPr="00961977">
              <w:rPr>
                <w:szCs w:val="20"/>
              </w:rPr>
              <w:t>N/A</w:t>
            </w:r>
          </w:p>
        </w:tc>
        <w:tc>
          <w:tcPr>
            <w:tcW w:w="726" w:type="pct"/>
          </w:tcPr>
          <w:p w14:paraId="6B5C69DE" w14:textId="4FE33E70" w:rsidR="004646A5" w:rsidRPr="00961977" w:rsidRDefault="004646A5" w:rsidP="00961977">
            <w:pPr>
              <w:pStyle w:val="TableBodyText"/>
              <w:rPr>
                <w:szCs w:val="20"/>
              </w:rPr>
            </w:pPr>
            <w:r w:rsidRPr="00961977">
              <w:rPr>
                <w:szCs w:val="20"/>
              </w:rPr>
              <w:t>365</w:t>
            </w:r>
          </w:p>
        </w:tc>
      </w:tr>
      <w:tr w:rsidR="004646A5" w:rsidRPr="00961977" w14:paraId="5CA737D8" w14:textId="77777777" w:rsidTr="004646A5">
        <w:trPr>
          <w:trHeight w:val="20"/>
        </w:trPr>
        <w:tc>
          <w:tcPr>
            <w:tcW w:w="1987" w:type="pct"/>
          </w:tcPr>
          <w:p w14:paraId="0904CC42" w14:textId="2F558868" w:rsidR="004646A5" w:rsidRPr="00961977" w:rsidRDefault="004646A5" w:rsidP="00961977">
            <w:pPr>
              <w:pStyle w:val="TableBodyText"/>
              <w:rPr>
                <w:szCs w:val="20"/>
              </w:rPr>
            </w:pPr>
            <w:r w:rsidRPr="00961977">
              <w:rPr>
                <w:szCs w:val="20"/>
              </w:rPr>
              <w:t>Yarra River (Lower)</w:t>
            </w:r>
          </w:p>
        </w:tc>
        <w:tc>
          <w:tcPr>
            <w:tcW w:w="831" w:type="pct"/>
          </w:tcPr>
          <w:p w14:paraId="181CBD7F" w14:textId="73E7876A" w:rsidR="004646A5" w:rsidRPr="00961977" w:rsidRDefault="004646A5" w:rsidP="00961977">
            <w:pPr>
              <w:pStyle w:val="TableBodyText"/>
              <w:rPr>
                <w:szCs w:val="20"/>
              </w:rPr>
            </w:pPr>
            <w:r w:rsidRPr="00961977">
              <w:rPr>
                <w:szCs w:val="20"/>
              </w:rPr>
              <w:t>73</w:t>
            </w:r>
          </w:p>
        </w:tc>
        <w:tc>
          <w:tcPr>
            <w:tcW w:w="568" w:type="pct"/>
          </w:tcPr>
          <w:p w14:paraId="219E697C" w14:textId="1442E59F" w:rsidR="004646A5" w:rsidRPr="00961977" w:rsidRDefault="004646A5" w:rsidP="00961977">
            <w:pPr>
              <w:pStyle w:val="TableBodyText"/>
              <w:rPr>
                <w:szCs w:val="20"/>
              </w:rPr>
            </w:pPr>
            <w:r w:rsidRPr="00961977">
              <w:rPr>
                <w:szCs w:val="20"/>
              </w:rPr>
              <w:t>1</w:t>
            </w:r>
          </w:p>
        </w:tc>
        <w:tc>
          <w:tcPr>
            <w:tcW w:w="888" w:type="pct"/>
          </w:tcPr>
          <w:p w14:paraId="5541844D" w14:textId="0448A427" w:rsidR="004646A5" w:rsidRPr="00961977" w:rsidRDefault="004646A5" w:rsidP="00961977">
            <w:pPr>
              <w:pStyle w:val="TableBodyText"/>
              <w:rPr>
                <w:szCs w:val="20"/>
              </w:rPr>
            </w:pPr>
            <w:r w:rsidRPr="00961977">
              <w:rPr>
                <w:szCs w:val="20"/>
              </w:rPr>
              <w:t>N/A</w:t>
            </w:r>
          </w:p>
        </w:tc>
        <w:tc>
          <w:tcPr>
            <w:tcW w:w="726" w:type="pct"/>
          </w:tcPr>
          <w:p w14:paraId="4D7D5809" w14:textId="6AB35151" w:rsidR="004646A5" w:rsidRPr="00961977" w:rsidRDefault="004646A5" w:rsidP="00961977">
            <w:pPr>
              <w:pStyle w:val="TableBodyText"/>
              <w:rPr>
                <w:szCs w:val="20"/>
              </w:rPr>
            </w:pPr>
            <w:r w:rsidRPr="00961977">
              <w:rPr>
                <w:szCs w:val="20"/>
              </w:rPr>
              <w:t>291</w:t>
            </w:r>
          </w:p>
        </w:tc>
      </w:tr>
      <w:tr w:rsidR="004646A5" w:rsidRPr="00961977" w14:paraId="07E42F9C" w14:textId="77777777" w:rsidTr="004646A5">
        <w:trPr>
          <w:trHeight w:val="20"/>
        </w:trPr>
        <w:tc>
          <w:tcPr>
            <w:tcW w:w="1987" w:type="pct"/>
          </w:tcPr>
          <w:p w14:paraId="4ABE2F72" w14:textId="53E6AE7B" w:rsidR="004646A5" w:rsidRPr="00961977" w:rsidRDefault="004646A5" w:rsidP="00961977">
            <w:pPr>
              <w:pStyle w:val="TableBodyText"/>
              <w:rPr>
                <w:szCs w:val="20"/>
              </w:rPr>
            </w:pPr>
            <w:r w:rsidRPr="00961977">
              <w:rPr>
                <w:szCs w:val="20"/>
              </w:rPr>
              <w:t>Yarra River (Upper)</w:t>
            </w:r>
          </w:p>
        </w:tc>
        <w:tc>
          <w:tcPr>
            <w:tcW w:w="831" w:type="pct"/>
          </w:tcPr>
          <w:p w14:paraId="7D2EF49D" w14:textId="7BB8B3C0" w:rsidR="004646A5" w:rsidRPr="00961977" w:rsidRDefault="004646A5" w:rsidP="00961977">
            <w:pPr>
              <w:pStyle w:val="TableBodyText"/>
              <w:rPr>
                <w:szCs w:val="20"/>
              </w:rPr>
            </w:pPr>
            <w:r w:rsidRPr="00961977">
              <w:rPr>
                <w:szCs w:val="20"/>
              </w:rPr>
              <w:t>101</w:t>
            </w:r>
          </w:p>
        </w:tc>
        <w:tc>
          <w:tcPr>
            <w:tcW w:w="568" w:type="pct"/>
          </w:tcPr>
          <w:p w14:paraId="0D6B20D3" w14:textId="77D4C3E2" w:rsidR="004646A5" w:rsidRPr="00961977" w:rsidRDefault="004646A5" w:rsidP="00961977">
            <w:pPr>
              <w:pStyle w:val="TableBodyText"/>
              <w:rPr>
                <w:szCs w:val="20"/>
              </w:rPr>
            </w:pPr>
            <w:r w:rsidRPr="00961977">
              <w:rPr>
                <w:szCs w:val="20"/>
              </w:rPr>
              <w:t>0</w:t>
            </w:r>
          </w:p>
        </w:tc>
        <w:tc>
          <w:tcPr>
            <w:tcW w:w="888" w:type="pct"/>
          </w:tcPr>
          <w:p w14:paraId="61D706CE" w14:textId="180DA77C" w:rsidR="004646A5" w:rsidRPr="00961977" w:rsidRDefault="004646A5" w:rsidP="00961977">
            <w:pPr>
              <w:pStyle w:val="TableBodyText"/>
              <w:rPr>
                <w:szCs w:val="20"/>
              </w:rPr>
            </w:pPr>
            <w:r w:rsidRPr="00961977">
              <w:rPr>
                <w:szCs w:val="20"/>
              </w:rPr>
              <w:t>N/A</w:t>
            </w:r>
          </w:p>
        </w:tc>
        <w:tc>
          <w:tcPr>
            <w:tcW w:w="726" w:type="pct"/>
          </w:tcPr>
          <w:p w14:paraId="112D09F8" w14:textId="1B83D692" w:rsidR="004646A5" w:rsidRPr="00961977" w:rsidRDefault="004646A5" w:rsidP="00961977">
            <w:pPr>
              <w:pStyle w:val="TableBodyText"/>
              <w:rPr>
                <w:szCs w:val="20"/>
              </w:rPr>
            </w:pPr>
            <w:r w:rsidRPr="00961977">
              <w:rPr>
                <w:szCs w:val="20"/>
              </w:rPr>
              <w:t>264</w:t>
            </w:r>
          </w:p>
        </w:tc>
      </w:tr>
    </w:tbl>
    <w:p w14:paraId="0B1773E8" w14:textId="77777777" w:rsidR="004646A5" w:rsidRDefault="004646A5" w:rsidP="004646A5">
      <w:pPr>
        <w:pStyle w:val="Heading3"/>
      </w:pPr>
      <w:bookmarkStart w:id="1452" w:name="_Toc89723191"/>
      <w:bookmarkStart w:id="1453" w:name="_Toc90326133"/>
      <w:bookmarkStart w:id="1454" w:name="_Toc93659539"/>
      <w:r>
        <w:t>Statewide Key Performance Indicators</w:t>
      </w:r>
      <w:bookmarkEnd w:id="1452"/>
      <w:bookmarkEnd w:id="1453"/>
      <w:bookmarkEnd w:id="1454"/>
    </w:p>
    <w:p w14:paraId="1DC650F8" w14:textId="01FFF64A" w:rsidR="004646A5" w:rsidRDefault="004646A5" w:rsidP="004646A5">
      <w:pPr>
        <w:pStyle w:val="BodyText"/>
      </w:pPr>
      <w:r>
        <w:t xml:space="preserve">The following KPI’s have been adopted by </w:t>
      </w:r>
      <w:r w:rsidR="0030196D">
        <w:t>Department of Environment, Land, Water and Planning</w:t>
      </w:r>
      <w:r>
        <w:t>:</w:t>
      </w:r>
    </w:p>
    <w:p w14:paraId="5C1CEAB9" w14:textId="4139987A" w:rsidR="004646A5" w:rsidRDefault="004646A5" w:rsidP="004646A5">
      <w:pPr>
        <w:pStyle w:val="ListBullet"/>
      </w:pPr>
      <w:r>
        <w:t>no more than 1 per cent of volume of total water take is taken without authorisation at any time</w:t>
      </w:r>
    </w:p>
    <w:p w14:paraId="5C6590A0" w14:textId="395CF75E" w:rsidR="004646A5" w:rsidRDefault="004646A5" w:rsidP="004646A5">
      <w:pPr>
        <w:pStyle w:val="ListBullet"/>
      </w:pPr>
      <w:r>
        <w:t>no more than 3 per cent of accounts are to be in negative at any time.</w:t>
      </w:r>
    </w:p>
    <w:p w14:paraId="2EA92EBA" w14:textId="1480DED2" w:rsidR="004646A5" w:rsidRDefault="00AA45BE" w:rsidP="004646A5">
      <w:pPr>
        <w:pStyle w:val="BodyText"/>
      </w:pPr>
      <w:r>
        <w:fldChar w:fldCharType="begin"/>
      </w:r>
      <w:r>
        <w:instrText xml:space="preserve"> REF _Ref89644527 \h </w:instrText>
      </w:r>
      <w:r>
        <w:fldChar w:fldCharType="separate"/>
      </w:r>
      <w:r w:rsidR="00472151">
        <w:t xml:space="preserve">Table </w:t>
      </w:r>
      <w:r w:rsidR="00472151">
        <w:rPr>
          <w:noProof/>
        </w:rPr>
        <w:t>14</w:t>
      </w:r>
      <w:r>
        <w:fldChar w:fldCharType="end"/>
      </w:r>
      <w:r w:rsidR="004646A5">
        <w:t xml:space="preserve"> summarises performance against these </w:t>
      </w:r>
      <w:r w:rsidR="0030196D">
        <w:t>Key Performance Indicators</w:t>
      </w:r>
      <w:r w:rsidR="004646A5">
        <w:t xml:space="preserve"> and shows that we have met both of them in 2020-21. The results shown above differ to the results reported directly from the Victorian Water Register, yet represent the actual unauthorised take which has occurred. The variation between these results and the VWR results are something which both Melbourne Water and </w:t>
      </w:r>
      <w:r w:rsidR="0030196D">
        <w:t>Department of Environment, Land, Water and Planning</w:t>
      </w:r>
      <w:r w:rsidR="004646A5">
        <w:t xml:space="preserve"> are looking into with the aim of addressing in 2021-22 to ensure ongoing consistency of results.</w:t>
      </w:r>
    </w:p>
    <w:p w14:paraId="7B7B410A" w14:textId="19239D6E" w:rsidR="002904C2" w:rsidRDefault="004646A5" w:rsidP="004646A5">
      <w:pPr>
        <w:pStyle w:val="Caption"/>
      </w:pPr>
      <w:bookmarkStart w:id="1455" w:name="_Ref89644527"/>
      <w:bookmarkStart w:id="1456" w:name="_Ref89805648"/>
      <w:r>
        <w:t xml:space="preserve">Table </w:t>
      </w:r>
      <w:r w:rsidR="00926282">
        <w:fldChar w:fldCharType="begin"/>
      </w:r>
      <w:r w:rsidR="00926282">
        <w:instrText xml:space="preserve"> SEQ Table \* ARABIC </w:instrText>
      </w:r>
      <w:r w:rsidR="00926282">
        <w:fldChar w:fldCharType="separate"/>
      </w:r>
      <w:r w:rsidR="00472151">
        <w:rPr>
          <w:noProof/>
        </w:rPr>
        <w:t>14</w:t>
      </w:r>
      <w:r w:rsidR="00926282">
        <w:rPr>
          <w:noProof/>
        </w:rPr>
        <w:fldChar w:fldCharType="end"/>
      </w:r>
      <w:bookmarkEnd w:id="1455"/>
      <w:r>
        <w:t>: Unauthorised take Key Performance Indicators</w:t>
      </w:r>
      <w:bookmarkEnd w:id="1456"/>
    </w:p>
    <w:tbl>
      <w:tblPr>
        <w:tblStyle w:val="Style1"/>
        <w:tblW w:w="0" w:type="auto"/>
        <w:tblLook w:val="04A0" w:firstRow="1" w:lastRow="0" w:firstColumn="1" w:lastColumn="0" w:noHBand="0" w:noVBand="1"/>
      </w:tblPr>
      <w:tblGrid>
        <w:gridCol w:w="1276"/>
        <w:gridCol w:w="1843"/>
        <w:gridCol w:w="1134"/>
        <w:gridCol w:w="2410"/>
        <w:gridCol w:w="1984"/>
        <w:gridCol w:w="984"/>
      </w:tblGrid>
      <w:tr w:rsidR="004646A5" w:rsidRPr="00FE14E2" w14:paraId="0757FA99" w14:textId="77777777" w:rsidTr="00E757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vAlign w:val="bottom"/>
          </w:tcPr>
          <w:p w14:paraId="256C18A7" w14:textId="40C5DFE7" w:rsidR="004646A5" w:rsidRPr="00FE14E2" w:rsidRDefault="004646A5" w:rsidP="00FE14E2">
            <w:bookmarkStart w:id="1457" w:name="ColumnTitle_124"/>
            <w:r w:rsidRPr="00FE14E2">
              <w:t>Year</w:t>
            </w:r>
          </w:p>
        </w:tc>
        <w:tc>
          <w:tcPr>
            <w:tcW w:w="1843" w:type="dxa"/>
            <w:tcBorders>
              <w:top w:val="single" w:sz="4" w:space="0" w:color="auto"/>
            </w:tcBorders>
            <w:vAlign w:val="bottom"/>
          </w:tcPr>
          <w:p w14:paraId="7DACCAA5" w14:textId="77777777"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Licences</w:t>
            </w:r>
          </w:p>
          <w:p w14:paraId="3EFA9450" w14:textId="225808B3"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 xml:space="preserve">Number of </w:t>
            </w:r>
            <w:r w:rsidR="00FE14E2">
              <w:t xml:space="preserve"> N</w:t>
            </w:r>
            <w:r w:rsidRPr="00FE14E2">
              <w:t>egative Licences</w:t>
            </w:r>
          </w:p>
        </w:tc>
        <w:tc>
          <w:tcPr>
            <w:tcW w:w="1134" w:type="dxa"/>
            <w:tcBorders>
              <w:top w:val="single" w:sz="4" w:space="0" w:color="auto"/>
            </w:tcBorders>
            <w:vAlign w:val="bottom"/>
          </w:tcPr>
          <w:p w14:paraId="2804802D" w14:textId="77777777"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Licences</w:t>
            </w:r>
          </w:p>
          <w:p w14:paraId="2E188C24" w14:textId="1B89CA4F"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KPI%</w:t>
            </w:r>
          </w:p>
        </w:tc>
        <w:tc>
          <w:tcPr>
            <w:tcW w:w="2410" w:type="dxa"/>
            <w:tcBorders>
              <w:top w:val="single" w:sz="4" w:space="0" w:color="auto"/>
            </w:tcBorders>
            <w:vAlign w:val="bottom"/>
          </w:tcPr>
          <w:p w14:paraId="2B4F481B" w14:textId="77777777"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Volume</w:t>
            </w:r>
          </w:p>
          <w:p w14:paraId="7EC51B10" w14:textId="3D54402C"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Volume (ML) of water taken under corporation issued licences</w:t>
            </w:r>
          </w:p>
        </w:tc>
        <w:tc>
          <w:tcPr>
            <w:tcW w:w="1984" w:type="dxa"/>
            <w:tcBorders>
              <w:top w:val="single" w:sz="4" w:space="0" w:color="auto"/>
            </w:tcBorders>
            <w:vAlign w:val="bottom"/>
          </w:tcPr>
          <w:p w14:paraId="72FE3E82" w14:textId="77777777"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Volume</w:t>
            </w:r>
          </w:p>
          <w:p w14:paraId="6AAC3AC8" w14:textId="1F5B557F"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Volume (ML) of Unauthorised Take</w:t>
            </w:r>
          </w:p>
        </w:tc>
        <w:tc>
          <w:tcPr>
            <w:tcW w:w="984" w:type="dxa"/>
            <w:tcBorders>
              <w:top w:val="single" w:sz="4" w:space="0" w:color="auto"/>
            </w:tcBorders>
            <w:vAlign w:val="bottom"/>
          </w:tcPr>
          <w:p w14:paraId="443B9343" w14:textId="77777777"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Volume</w:t>
            </w:r>
          </w:p>
          <w:p w14:paraId="6C58022A" w14:textId="6222F89A" w:rsidR="004646A5" w:rsidRPr="00FE14E2" w:rsidRDefault="004646A5" w:rsidP="00FE14E2">
            <w:pPr>
              <w:cnfStyle w:val="100000000000" w:firstRow="1" w:lastRow="0" w:firstColumn="0" w:lastColumn="0" w:oddVBand="0" w:evenVBand="0" w:oddHBand="0" w:evenHBand="0" w:firstRowFirstColumn="0" w:firstRowLastColumn="0" w:lastRowFirstColumn="0" w:lastRowLastColumn="0"/>
            </w:pPr>
            <w:r w:rsidRPr="00FE14E2">
              <w:t>KPI%</w:t>
            </w:r>
          </w:p>
        </w:tc>
      </w:tr>
      <w:bookmarkEnd w:id="1457"/>
      <w:tr w:rsidR="004646A5" w:rsidRPr="004646A5" w14:paraId="1935E1D2" w14:textId="77777777" w:rsidTr="00FE14E2">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vAlign w:val="top"/>
          </w:tcPr>
          <w:p w14:paraId="55358471" w14:textId="2E9AA71B" w:rsidR="004646A5" w:rsidRPr="004646A5" w:rsidRDefault="004646A5" w:rsidP="00FE14E2">
            <w:pPr>
              <w:pStyle w:val="TableBodyText"/>
            </w:pPr>
            <w:r>
              <w:t>2019-20</w:t>
            </w:r>
          </w:p>
        </w:tc>
        <w:tc>
          <w:tcPr>
            <w:tcW w:w="1843" w:type="dxa"/>
            <w:tcBorders>
              <w:bottom w:val="single" w:sz="4" w:space="0" w:color="auto"/>
            </w:tcBorders>
            <w:vAlign w:val="top"/>
          </w:tcPr>
          <w:p w14:paraId="0126BA1F" w14:textId="4F38AAE6"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17</w:t>
            </w:r>
          </w:p>
        </w:tc>
        <w:tc>
          <w:tcPr>
            <w:tcW w:w="1134" w:type="dxa"/>
            <w:tcBorders>
              <w:bottom w:val="single" w:sz="4" w:space="0" w:color="auto"/>
            </w:tcBorders>
            <w:vAlign w:val="top"/>
          </w:tcPr>
          <w:p w14:paraId="45BEED49" w14:textId="09010E59"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0.9%</w:t>
            </w:r>
          </w:p>
        </w:tc>
        <w:tc>
          <w:tcPr>
            <w:tcW w:w="2410" w:type="dxa"/>
            <w:tcBorders>
              <w:bottom w:val="single" w:sz="4" w:space="0" w:color="auto"/>
            </w:tcBorders>
            <w:vAlign w:val="top"/>
          </w:tcPr>
          <w:p w14:paraId="48A1E1F0" w14:textId="37EAD4BE"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6507.7</w:t>
            </w:r>
          </w:p>
        </w:tc>
        <w:tc>
          <w:tcPr>
            <w:tcW w:w="1984" w:type="dxa"/>
            <w:tcBorders>
              <w:bottom w:val="single" w:sz="4" w:space="0" w:color="auto"/>
            </w:tcBorders>
            <w:vAlign w:val="top"/>
          </w:tcPr>
          <w:p w14:paraId="05658005" w14:textId="3B7160DA"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-110.3</w:t>
            </w:r>
          </w:p>
        </w:tc>
        <w:tc>
          <w:tcPr>
            <w:tcW w:w="984" w:type="dxa"/>
            <w:tcBorders>
              <w:bottom w:val="single" w:sz="4" w:space="0" w:color="auto"/>
            </w:tcBorders>
            <w:vAlign w:val="top"/>
          </w:tcPr>
          <w:p w14:paraId="21ECEC67" w14:textId="52862FCC"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1.7%</w:t>
            </w:r>
          </w:p>
        </w:tc>
      </w:tr>
      <w:tr w:rsidR="004646A5" w:rsidRPr="004646A5" w14:paraId="1D53C979" w14:textId="77777777" w:rsidTr="00FE14E2">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bottom w:val="single" w:sz="4" w:space="0" w:color="auto"/>
            </w:tcBorders>
            <w:vAlign w:val="top"/>
          </w:tcPr>
          <w:p w14:paraId="4324E3D2" w14:textId="4054F1D8" w:rsidR="004646A5" w:rsidRPr="004646A5" w:rsidRDefault="004646A5" w:rsidP="00FE14E2">
            <w:pPr>
              <w:pStyle w:val="TableBodyText"/>
            </w:pPr>
            <w:r>
              <w:t>2020-21</w:t>
            </w:r>
          </w:p>
        </w:tc>
        <w:tc>
          <w:tcPr>
            <w:tcW w:w="1843" w:type="dxa"/>
            <w:tcBorders>
              <w:top w:val="single" w:sz="4" w:space="0" w:color="auto"/>
              <w:bottom w:val="single" w:sz="4" w:space="0" w:color="auto"/>
            </w:tcBorders>
            <w:vAlign w:val="top"/>
          </w:tcPr>
          <w:p w14:paraId="7944C168" w14:textId="15CEC370"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6</w:t>
            </w:r>
          </w:p>
        </w:tc>
        <w:tc>
          <w:tcPr>
            <w:tcW w:w="1134" w:type="dxa"/>
            <w:tcBorders>
              <w:top w:val="single" w:sz="4" w:space="0" w:color="auto"/>
              <w:bottom w:val="single" w:sz="4" w:space="0" w:color="auto"/>
            </w:tcBorders>
            <w:vAlign w:val="top"/>
          </w:tcPr>
          <w:p w14:paraId="5DBCB5FB" w14:textId="333124F8"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0.3%</w:t>
            </w:r>
          </w:p>
        </w:tc>
        <w:tc>
          <w:tcPr>
            <w:tcW w:w="2410" w:type="dxa"/>
            <w:tcBorders>
              <w:top w:val="single" w:sz="4" w:space="0" w:color="auto"/>
              <w:bottom w:val="single" w:sz="4" w:space="0" w:color="auto"/>
            </w:tcBorders>
            <w:vAlign w:val="top"/>
          </w:tcPr>
          <w:p w14:paraId="2B9E3A1F" w14:textId="5FA643D3"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9939.1</w:t>
            </w:r>
          </w:p>
        </w:tc>
        <w:tc>
          <w:tcPr>
            <w:tcW w:w="1984" w:type="dxa"/>
            <w:tcBorders>
              <w:top w:val="single" w:sz="4" w:space="0" w:color="auto"/>
              <w:bottom w:val="single" w:sz="4" w:space="0" w:color="auto"/>
            </w:tcBorders>
            <w:vAlign w:val="top"/>
          </w:tcPr>
          <w:p w14:paraId="70288C3A" w14:textId="4D3B266B"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-140.2</w:t>
            </w:r>
          </w:p>
        </w:tc>
        <w:tc>
          <w:tcPr>
            <w:tcW w:w="984" w:type="dxa"/>
            <w:tcBorders>
              <w:top w:val="single" w:sz="4" w:space="0" w:color="auto"/>
              <w:bottom w:val="single" w:sz="4" w:space="0" w:color="auto"/>
            </w:tcBorders>
            <w:vAlign w:val="top"/>
          </w:tcPr>
          <w:p w14:paraId="5E988C86" w14:textId="5EA3464E" w:rsidR="004646A5" w:rsidRPr="004646A5" w:rsidRDefault="004646A5" w:rsidP="00FE14E2">
            <w:pPr>
              <w:pStyle w:val="TableBodyText"/>
              <w:cnfStyle w:val="000000000000" w:firstRow="0" w:lastRow="0" w:firstColumn="0" w:lastColumn="0" w:oddVBand="0" w:evenVBand="0" w:oddHBand="0" w:evenHBand="0" w:firstRowFirstColumn="0" w:firstRowLastColumn="0" w:lastRowFirstColumn="0" w:lastRowLastColumn="0"/>
            </w:pPr>
            <w:r>
              <w:t>1.4%</w:t>
            </w:r>
          </w:p>
        </w:tc>
      </w:tr>
    </w:tbl>
    <w:p w14:paraId="08E2C5EC" w14:textId="5B66244B" w:rsidR="002904C2" w:rsidRDefault="00C106BB" w:rsidP="00B1710D">
      <w:pPr>
        <w:pStyle w:val="Heading2"/>
        <w:pageBreakBefore/>
      </w:pPr>
      <w:bookmarkStart w:id="1458" w:name="AppendixE"/>
      <w:bookmarkStart w:id="1459" w:name="_Toc89723192"/>
      <w:bookmarkStart w:id="1460" w:name="_Toc89723259"/>
      <w:bookmarkStart w:id="1461" w:name="_Toc89723319"/>
      <w:bookmarkStart w:id="1462" w:name="_Ref89809758"/>
      <w:bookmarkStart w:id="1463" w:name="_Toc89860584"/>
      <w:bookmarkStart w:id="1464" w:name="_Toc89860728"/>
      <w:bookmarkStart w:id="1465" w:name="_Toc90326134"/>
      <w:bookmarkStart w:id="1466" w:name="_Toc93659540"/>
      <w:r w:rsidRPr="00C106BB">
        <w:lastRenderedPageBreak/>
        <w:t xml:space="preserve">Appendix E </w:t>
      </w:r>
      <w:bookmarkEnd w:id="1458"/>
      <w:r w:rsidRPr="00C106BB">
        <w:t>– Flooding and Drainage</w:t>
      </w:r>
      <w:bookmarkEnd w:id="1459"/>
      <w:bookmarkEnd w:id="1460"/>
      <w:bookmarkEnd w:id="1461"/>
      <w:bookmarkEnd w:id="1462"/>
      <w:bookmarkEnd w:id="1463"/>
      <w:bookmarkEnd w:id="1464"/>
      <w:bookmarkEnd w:id="1465"/>
      <w:bookmarkEnd w:id="1466"/>
    </w:p>
    <w:tbl>
      <w:tblPr>
        <w:tblStyle w:val="TableGrid"/>
        <w:tblW w:w="5000" w:type="pct"/>
        <w:tblLook w:val="04A0" w:firstRow="1" w:lastRow="0" w:firstColumn="1" w:lastColumn="0" w:noHBand="0" w:noVBand="1"/>
      </w:tblPr>
      <w:tblGrid>
        <w:gridCol w:w="5149"/>
        <w:gridCol w:w="1121"/>
        <w:gridCol w:w="1121"/>
        <w:gridCol w:w="1121"/>
        <w:gridCol w:w="1119"/>
      </w:tblGrid>
      <w:tr w:rsidR="00790D33" w:rsidRPr="00FE14E2" w14:paraId="618BB7C8" w14:textId="77777777" w:rsidTr="00A54B77">
        <w:trPr>
          <w:cnfStyle w:val="100000000000" w:firstRow="1" w:lastRow="0" w:firstColumn="0" w:lastColumn="0" w:oddVBand="0" w:evenVBand="0" w:oddHBand="0" w:evenHBand="0" w:firstRowFirstColumn="0" w:firstRowLastColumn="0" w:lastRowFirstColumn="0" w:lastRowLastColumn="0"/>
          <w:trHeight w:val="20"/>
          <w:tblHeader/>
        </w:trPr>
        <w:tc>
          <w:tcPr>
            <w:tcW w:w="2673" w:type="pct"/>
            <w:vAlign w:val="bottom"/>
          </w:tcPr>
          <w:p w14:paraId="1890FD46" w14:textId="44C6685F" w:rsidR="00790D33" w:rsidRPr="00FE14E2" w:rsidRDefault="00790D33" w:rsidP="00E757F8">
            <w:pPr>
              <w:keepNext/>
              <w:keepLines/>
            </w:pPr>
            <w:bookmarkStart w:id="1467" w:name="ColumnTitle_125"/>
            <w:r w:rsidRPr="00FE14E2">
              <w:t>Item</w:t>
            </w:r>
          </w:p>
        </w:tc>
        <w:tc>
          <w:tcPr>
            <w:tcW w:w="582" w:type="pct"/>
            <w:vAlign w:val="bottom"/>
          </w:tcPr>
          <w:p w14:paraId="0D5118EF" w14:textId="1FFC4D27" w:rsidR="00790D33" w:rsidRPr="00FE14E2" w:rsidRDefault="00790D33" w:rsidP="00E757F8">
            <w:pPr>
              <w:keepNext/>
              <w:keepLines/>
              <w:jc w:val="right"/>
            </w:pPr>
            <w:r w:rsidRPr="00FE14E2">
              <w:t>2020-21</w:t>
            </w:r>
          </w:p>
        </w:tc>
        <w:tc>
          <w:tcPr>
            <w:tcW w:w="582" w:type="pct"/>
            <w:vAlign w:val="bottom"/>
          </w:tcPr>
          <w:p w14:paraId="6D26CB73" w14:textId="45873A3C" w:rsidR="00790D33" w:rsidRPr="00FE14E2" w:rsidRDefault="00790D33" w:rsidP="00E757F8">
            <w:pPr>
              <w:keepNext/>
              <w:keepLines/>
              <w:jc w:val="right"/>
            </w:pPr>
            <w:r w:rsidRPr="00FE14E2">
              <w:t>2019-20</w:t>
            </w:r>
          </w:p>
        </w:tc>
        <w:tc>
          <w:tcPr>
            <w:tcW w:w="582" w:type="pct"/>
            <w:vAlign w:val="bottom"/>
          </w:tcPr>
          <w:p w14:paraId="3BCBDD62" w14:textId="5AAFFCD8" w:rsidR="00790D33" w:rsidRPr="00FE14E2" w:rsidRDefault="00790D33" w:rsidP="00E757F8">
            <w:pPr>
              <w:keepNext/>
              <w:keepLines/>
              <w:jc w:val="right"/>
            </w:pPr>
            <w:r w:rsidRPr="00FE14E2">
              <w:t>2018-19</w:t>
            </w:r>
          </w:p>
        </w:tc>
        <w:tc>
          <w:tcPr>
            <w:tcW w:w="581" w:type="pct"/>
            <w:vAlign w:val="bottom"/>
          </w:tcPr>
          <w:p w14:paraId="16F8CAE0" w14:textId="0A5EABD7" w:rsidR="00790D33" w:rsidRPr="00FE14E2" w:rsidRDefault="00790D33" w:rsidP="00E757F8">
            <w:pPr>
              <w:keepNext/>
              <w:keepLines/>
              <w:jc w:val="right"/>
            </w:pPr>
            <w:r w:rsidRPr="00FE14E2">
              <w:t>KM or %</w:t>
            </w:r>
          </w:p>
        </w:tc>
      </w:tr>
      <w:bookmarkEnd w:id="1467"/>
      <w:tr w:rsidR="004D3985" w:rsidRPr="00C106BB" w14:paraId="7C589C1E" w14:textId="77777777" w:rsidTr="00FE14E2">
        <w:trPr>
          <w:trHeight w:val="20"/>
        </w:trPr>
        <w:tc>
          <w:tcPr>
            <w:tcW w:w="2673" w:type="pct"/>
          </w:tcPr>
          <w:p w14:paraId="1F001A4D" w14:textId="6FE1BF71" w:rsidR="004D3985" w:rsidRPr="004D3985" w:rsidRDefault="004D3985" w:rsidP="00FE14E2">
            <w:pPr>
              <w:pStyle w:val="TableBodyText"/>
              <w:rPr>
                <w:rStyle w:val="Bold"/>
              </w:rPr>
            </w:pPr>
            <w:r w:rsidRPr="004D3985">
              <w:rPr>
                <w:rStyle w:val="Bold"/>
              </w:rPr>
              <w:t>Underground Drains</w:t>
            </w:r>
          </w:p>
        </w:tc>
        <w:tc>
          <w:tcPr>
            <w:tcW w:w="582" w:type="pct"/>
          </w:tcPr>
          <w:p w14:paraId="61FDCF4B" w14:textId="0BF60557" w:rsidR="004D3985" w:rsidRPr="00C106BB" w:rsidRDefault="004D3985" w:rsidP="00FE14E2">
            <w:pPr>
              <w:pStyle w:val="TableBodyText"/>
              <w:jc w:val="right"/>
            </w:pPr>
            <w:r w:rsidRPr="00B22A73">
              <w:t>N/A</w:t>
            </w:r>
          </w:p>
        </w:tc>
        <w:tc>
          <w:tcPr>
            <w:tcW w:w="582" w:type="pct"/>
          </w:tcPr>
          <w:p w14:paraId="493E00B3" w14:textId="78378F34" w:rsidR="004D3985" w:rsidRPr="00C106BB" w:rsidRDefault="004D3985" w:rsidP="00FE14E2">
            <w:pPr>
              <w:pStyle w:val="TableBodyText"/>
              <w:jc w:val="right"/>
            </w:pPr>
            <w:r w:rsidRPr="00B22A73">
              <w:t>N/A</w:t>
            </w:r>
          </w:p>
        </w:tc>
        <w:tc>
          <w:tcPr>
            <w:tcW w:w="582" w:type="pct"/>
          </w:tcPr>
          <w:p w14:paraId="22ED5C69" w14:textId="067DAB5D" w:rsidR="004D3985" w:rsidRPr="00C106BB" w:rsidRDefault="004D3985" w:rsidP="00FE14E2">
            <w:pPr>
              <w:pStyle w:val="TableBodyText"/>
              <w:jc w:val="right"/>
            </w:pPr>
            <w:r w:rsidRPr="00B22A73">
              <w:t>N/A</w:t>
            </w:r>
          </w:p>
        </w:tc>
        <w:tc>
          <w:tcPr>
            <w:tcW w:w="581" w:type="pct"/>
          </w:tcPr>
          <w:p w14:paraId="06FEE9B6" w14:textId="1E23D0CD" w:rsidR="004D3985" w:rsidRPr="00C106BB" w:rsidRDefault="004D3985" w:rsidP="00FE14E2">
            <w:pPr>
              <w:pStyle w:val="TableBodyText"/>
              <w:jc w:val="right"/>
            </w:pPr>
            <w:r w:rsidRPr="00B22A73">
              <w:t>N/A</w:t>
            </w:r>
          </w:p>
        </w:tc>
      </w:tr>
      <w:tr w:rsidR="00790D33" w:rsidRPr="00C106BB" w14:paraId="63FBBA82" w14:textId="77777777" w:rsidTr="00FE14E2">
        <w:trPr>
          <w:trHeight w:val="20"/>
        </w:trPr>
        <w:tc>
          <w:tcPr>
            <w:tcW w:w="2673" w:type="pct"/>
          </w:tcPr>
          <w:p w14:paraId="0D6B95B9" w14:textId="77777777" w:rsidR="00790D33" w:rsidRPr="00C106BB" w:rsidRDefault="00790D33" w:rsidP="00FE14E2">
            <w:pPr>
              <w:pStyle w:val="TableBodyText"/>
            </w:pPr>
            <w:r w:rsidRPr="00C106BB">
              <w:t>Total length of Melbourne Water assets</w:t>
            </w:r>
          </w:p>
        </w:tc>
        <w:tc>
          <w:tcPr>
            <w:tcW w:w="582" w:type="pct"/>
          </w:tcPr>
          <w:p w14:paraId="735BA31C" w14:textId="77777777" w:rsidR="00790D33" w:rsidRPr="00C106BB" w:rsidRDefault="00790D33" w:rsidP="00FE14E2">
            <w:pPr>
              <w:pStyle w:val="TableBodyText"/>
              <w:jc w:val="right"/>
            </w:pPr>
            <w:r w:rsidRPr="00C106BB">
              <w:t>1743</w:t>
            </w:r>
          </w:p>
        </w:tc>
        <w:tc>
          <w:tcPr>
            <w:tcW w:w="582" w:type="pct"/>
          </w:tcPr>
          <w:p w14:paraId="538C4B01" w14:textId="77777777" w:rsidR="00790D33" w:rsidRPr="00C106BB" w:rsidRDefault="00790D33" w:rsidP="00FE14E2">
            <w:pPr>
              <w:pStyle w:val="TableBodyText"/>
              <w:jc w:val="right"/>
            </w:pPr>
            <w:r w:rsidRPr="00C106BB">
              <w:t>1720</w:t>
            </w:r>
          </w:p>
        </w:tc>
        <w:tc>
          <w:tcPr>
            <w:tcW w:w="582" w:type="pct"/>
          </w:tcPr>
          <w:p w14:paraId="0124FF1B" w14:textId="77777777" w:rsidR="00790D33" w:rsidRPr="00C106BB" w:rsidRDefault="00790D33" w:rsidP="00FE14E2">
            <w:pPr>
              <w:pStyle w:val="TableBodyText"/>
              <w:jc w:val="right"/>
            </w:pPr>
            <w:r w:rsidRPr="00C106BB">
              <w:t>1700</w:t>
            </w:r>
          </w:p>
        </w:tc>
        <w:tc>
          <w:tcPr>
            <w:tcW w:w="581" w:type="pct"/>
          </w:tcPr>
          <w:p w14:paraId="035B6343" w14:textId="08A5429B" w:rsidR="00790D33" w:rsidRPr="00C106BB" w:rsidRDefault="00790D33" w:rsidP="00FE14E2">
            <w:pPr>
              <w:pStyle w:val="TableBodyText"/>
              <w:jc w:val="right"/>
            </w:pPr>
            <w:r>
              <w:t>km</w:t>
            </w:r>
          </w:p>
        </w:tc>
      </w:tr>
      <w:tr w:rsidR="00790D33" w:rsidRPr="00C106BB" w14:paraId="62D0BD96" w14:textId="77777777" w:rsidTr="00FE14E2">
        <w:trPr>
          <w:trHeight w:val="20"/>
        </w:trPr>
        <w:tc>
          <w:tcPr>
            <w:tcW w:w="2673" w:type="pct"/>
          </w:tcPr>
          <w:p w14:paraId="4B2F0944" w14:textId="77777777" w:rsidR="00790D33" w:rsidRPr="00C106BB" w:rsidRDefault="00790D33" w:rsidP="00FE14E2">
            <w:pPr>
              <w:pStyle w:val="TableBodyText"/>
            </w:pPr>
            <w:r w:rsidRPr="00C106BB">
              <w:t>Total length of Melbourne Water assets excluding drainage scheme areas</w:t>
            </w:r>
          </w:p>
        </w:tc>
        <w:tc>
          <w:tcPr>
            <w:tcW w:w="582" w:type="pct"/>
          </w:tcPr>
          <w:p w14:paraId="66834FD7" w14:textId="77777777" w:rsidR="00790D33" w:rsidRPr="00C106BB" w:rsidRDefault="00790D33" w:rsidP="00FE14E2">
            <w:pPr>
              <w:pStyle w:val="TableBodyText"/>
              <w:jc w:val="right"/>
            </w:pPr>
            <w:r w:rsidRPr="00C106BB">
              <w:t>1089</w:t>
            </w:r>
          </w:p>
        </w:tc>
        <w:tc>
          <w:tcPr>
            <w:tcW w:w="582" w:type="pct"/>
          </w:tcPr>
          <w:p w14:paraId="0D764794" w14:textId="77777777" w:rsidR="00790D33" w:rsidRPr="00C106BB" w:rsidRDefault="00790D33" w:rsidP="00FE14E2">
            <w:pPr>
              <w:pStyle w:val="TableBodyText"/>
              <w:jc w:val="right"/>
            </w:pPr>
            <w:r w:rsidRPr="00C106BB">
              <w:t>1085</w:t>
            </w:r>
          </w:p>
        </w:tc>
        <w:tc>
          <w:tcPr>
            <w:tcW w:w="582" w:type="pct"/>
          </w:tcPr>
          <w:p w14:paraId="7FEC89A7" w14:textId="77777777" w:rsidR="00790D33" w:rsidRPr="00C106BB" w:rsidRDefault="00790D33" w:rsidP="00FE14E2">
            <w:pPr>
              <w:pStyle w:val="TableBodyText"/>
              <w:jc w:val="right"/>
            </w:pPr>
            <w:r w:rsidRPr="00C106BB">
              <w:t>1076</w:t>
            </w:r>
          </w:p>
        </w:tc>
        <w:tc>
          <w:tcPr>
            <w:tcW w:w="581" w:type="pct"/>
          </w:tcPr>
          <w:p w14:paraId="3069B851" w14:textId="25922BBA" w:rsidR="00790D33" w:rsidRPr="00C106BB" w:rsidRDefault="00790D33" w:rsidP="00FE14E2">
            <w:pPr>
              <w:pStyle w:val="TableBodyText"/>
              <w:jc w:val="right"/>
            </w:pPr>
            <w:r>
              <w:t>km</w:t>
            </w:r>
          </w:p>
        </w:tc>
      </w:tr>
      <w:tr w:rsidR="00790D33" w:rsidRPr="00C106BB" w14:paraId="6454964C" w14:textId="77777777" w:rsidTr="00FE14E2">
        <w:trPr>
          <w:trHeight w:val="20"/>
        </w:trPr>
        <w:tc>
          <w:tcPr>
            <w:tcW w:w="2673" w:type="pct"/>
          </w:tcPr>
          <w:p w14:paraId="7D060C3D" w14:textId="77777777" w:rsidR="00790D33" w:rsidRPr="00C106BB" w:rsidRDefault="00790D33" w:rsidP="00FE14E2">
            <w:pPr>
              <w:pStyle w:val="TableBodyText"/>
            </w:pPr>
            <w:r w:rsidRPr="00C106BB">
              <w:t>Mapped 100yr ARI</w:t>
            </w:r>
          </w:p>
        </w:tc>
        <w:tc>
          <w:tcPr>
            <w:tcW w:w="582" w:type="pct"/>
          </w:tcPr>
          <w:p w14:paraId="6C107DD0" w14:textId="77777777" w:rsidR="00790D33" w:rsidRPr="00C106BB" w:rsidRDefault="00790D33" w:rsidP="00FE14E2">
            <w:pPr>
              <w:pStyle w:val="TableBodyText"/>
              <w:jc w:val="right"/>
            </w:pPr>
            <w:r w:rsidRPr="00C106BB">
              <w:t>582</w:t>
            </w:r>
          </w:p>
        </w:tc>
        <w:tc>
          <w:tcPr>
            <w:tcW w:w="582" w:type="pct"/>
          </w:tcPr>
          <w:p w14:paraId="4E99CE8E" w14:textId="77777777" w:rsidR="00790D33" w:rsidRPr="00C106BB" w:rsidRDefault="00790D33" w:rsidP="00FE14E2">
            <w:pPr>
              <w:pStyle w:val="TableBodyText"/>
              <w:jc w:val="right"/>
            </w:pPr>
            <w:r w:rsidRPr="00C106BB">
              <w:t>576</w:t>
            </w:r>
          </w:p>
        </w:tc>
        <w:tc>
          <w:tcPr>
            <w:tcW w:w="582" w:type="pct"/>
          </w:tcPr>
          <w:p w14:paraId="7FC8A52B" w14:textId="77777777" w:rsidR="00790D33" w:rsidRPr="00C106BB" w:rsidRDefault="00790D33" w:rsidP="00FE14E2">
            <w:pPr>
              <w:pStyle w:val="TableBodyText"/>
              <w:jc w:val="right"/>
            </w:pPr>
            <w:r w:rsidRPr="00C106BB">
              <w:t>576</w:t>
            </w:r>
          </w:p>
        </w:tc>
        <w:tc>
          <w:tcPr>
            <w:tcW w:w="581" w:type="pct"/>
          </w:tcPr>
          <w:p w14:paraId="4F755BEE" w14:textId="7815D582" w:rsidR="00790D33" w:rsidRPr="00C106BB" w:rsidRDefault="00790D33" w:rsidP="00FE14E2">
            <w:pPr>
              <w:pStyle w:val="TableBodyText"/>
              <w:jc w:val="right"/>
            </w:pPr>
            <w:r>
              <w:t>km</w:t>
            </w:r>
          </w:p>
        </w:tc>
      </w:tr>
      <w:tr w:rsidR="00790D33" w:rsidRPr="00C106BB" w14:paraId="22841D51" w14:textId="77777777" w:rsidTr="00FE14E2">
        <w:trPr>
          <w:trHeight w:val="20"/>
        </w:trPr>
        <w:tc>
          <w:tcPr>
            <w:tcW w:w="2673" w:type="pct"/>
          </w:tcPr>
          <w:p w14:paraId="63E23438" w14:textId="1AAB854A" w:rsidR="00790D33" w:rsidRPr="00C106BB" w:rsidRDefault="00790D33" w:rsidP="00FE14E2">
            <w:pPr>
              <w:pStyle w:val="TableBodyText"/>
            </w:pPr>
            <w:r>
              <w:t>Percentage Mapped</w:t>
            </w:r>
          </w:p>
        </w:tc>
        <w:tc>
          <w:tcPr>
            <w:tcW w:w="582" w:type="pct"/>
          </w:tcPr>
          <w:p w14:paraId="77FA3B35" w14:textId="4A7748FC" w:rsidR="00790D33" w:rsidRPr="00C106BB" w:rsidRDefault="00790D33" w:rsidP="00FE14E2">
            <w:pPr>
              <w:pStyle w:val="TableBodyText"/>
              <w:jc w:val="right"/>
            </w:pPr>
            <w:r>
              <w:t>53</w:t>
            </w:r>
          </w:p>
        </w:tc>
        <w:tc>
          <w:tcPr>
            <w:tcW w:w="582" w:type="pct"/>
          </w:tcPr>
          <w:p w14:paraId="55BE4B8D" w14:textId="426AD84E" w:rsidR="00790D33" w:rsidRPr="00C106BB" w:rsidRDefault="00790D33" w:rsidP="00FE14E2">
            <w:pPr>
              <w:pStyle w:val="TableBodyText"/>
              <w:jc w:val="right"/>
            </w:pPr>
            <w:r>
              <w:t>53</w:t>
            </w:r>
          </w:p>
        </w:tc>
        <w:tc>
          <w:tcPr>
            <w:tcW w:w="582" w:type="pct"/>
          </w:tcPr>
          <w:p w14:paraId="00653E43" w14:textId="4798C13A" w:rsidR="00790D33" w:rsidRPr="00C106BB" w:rsidRDefault="00790D33" w:rsidP="00FE14E2">
            <w:pPr>
              <w:pStyle w:val="TableBodyText"/>
              <w:jc w:val="right"/>
            </w:pPr>
            <w:r>
              <w:t>53</w:t>
            </w:r>
          </w:p>
        </w:tc>
        <w:tc>
          <w:tcPr>
            <w:tcW w:w="581" w:type="pct"/>
          </w:tcPr>
          <w:p w14:paraId="4712423E" w14:textId="4A399BC5" w:rsidR="00790D33" w:rsidRPr="00C106BB" w:rsidRDefault="00790D33" w:rsidP="00FE14E2">
            <w:pPr>
              <w:pStyle w:val="TableBodyText"/>
              <w:jc w:val="right"/>
            </w:pPr>
            <w:r>
              <w:t>%</w:t>
            </w:r>
          </w:p>
        </w:tc>
      </w:tr>
      <w:tr w:rsidR="00790D33" w:rsidRPr="00C106BB" w14:paraId="3ACD47C4" w14:textId="77777777" w:rsidTr="00FE14E2">
        <w:trPr>
          <w:trHeight w:val="20"/>
        </w:trPr>
        <w:tc>
          <w:tcPr>
            <w:tcW w:w="2673" w:type="pct"/>
          </w:tcPr>
          <w:p w14:paraId="1C16BD79" w14:textId="77777777" w:rsidR="00790D33" w:rsidRPr="00C106BB" w:rsidRDefault="00790D33" w:rsidP="00FE14E2">
            <w:pPr>
              <w:pStyle w:val="TableBodyText"/>
            </w:pPr>
            <w:r w:rsidRPr="00C106BB">
              <w:t>Mapped 20yr ARI</w:t>
            </w:r>
          </w:p>
        </w:tc>
        <w:tc>
          <w:tcPr>
            <w:tcW w:w="582" w:type="pct"/>
          </w:tcPr>
          <w:p w14:paraId="2F6F98F5" w14:textId="77777777" w:rsidR="00790D33" w:rsidRPr="00C106BB" w:rsidRDefault="00790D33" w:rsidP="00FE14E2">
            <w:pPr>
              <w:pStyle w:val="TableBodyText"/>
              <w:jc w:val="right"/>
            </w:pPr>
            <w:r w:rsidRPr="00C106BB">
              <w:t>439</w:t>
            </w:r>
          </w:p>
        </w:tc>
        <w:tc>
          <w:tcPr>
            <w:tcW w:w="582" w:type="pct"/>
          </w:tcPr>
          <w:p w14:paraId="61E63252" w14:textId="77777777" w:rsidR="00790D33" w:rsidRPr="00C106BB" w:rsidRDefault="00790D33" w:rsidP="00FE14E2">
            <w:pPr>
              <w:pStyle w:val="TableBodyText"/>
              <w:jc w:val="right"/>
            </w:pPr>
            <w:r w:rsidRPr="00C106BB">
              <w:t>426</w:t>
            </w:r>
          </w:p>
        </w:tc>
        <w:tc>
          <w:tcPr>
            <w:tcW w:w="582" w:type="pct"/>
          </w:tcPr>
          <w:p w14:paraId="4E0300F1" w14:textId="77777777" w:rsidR="00790D33" w:rsidRPr="00C106BB" w:rsidRDefault="00790D33" w:rsidP="00FE14E2">
            <w:pPr>
              <w:pStyle w:val="TableBodyText"/>
              <w:jc w:val="right"/>
            </w:pPr>
            <w:r w:rsidRPr="00C106BB">
              <w:t>426</w:t>
            </w:r>
          </w:p>
        </w:tc>
        <w:tc>
          <w:tcPr>
            <w:tcW w:w="581" w:type="pct"/>
          </w:tcPr>
          <w:p w14:paraId="64480AA5" w14:textId="5C5DA4BD" w:rsidR="00790D33" w:rsidRPr="00C106BB" w:rsidRDefault="002D68ED" w:rsidP="00FE14E2">
            <w:pPr>
              <w:pStyle w:val="TableBodyText"/>
              <w:jc w:val="right"/>
            </w:pPr>
            <w:r>
              <w:t>km</w:t>
            </w:r>
          </w:p>
        </w:tc>
      </w:tr>
      <w:tr w:rsidR="00790D33" w:rsidRPr="00C106BB" w14:paraId="05AE55B5" w14:textId="77777777" w:rsidTr="00FE14E2">
        <w:trPr>
          <w:trHeight w:val="20"/>
        </w:trPr>
        <w:tc>
          <w:tcPr>
            <w:tcW w:w="2673" w:type="pct"/>
          </w:tcPr>
          <w:p w14:paraId="2EDC8226" w14:textId="470F8AB9" w:rsidR="00790D33" w:rsidRPr="00C106BB" w:rsidRDefault="00790D33" w:rsidP="00FE14E2">
            <w:pPr>
              <w:pStyle w:val="TableBodyText"/>
            </w:pPr>
            <w:r>
              <w:t>Percentage Mapped</w:t>
            </w:r>
          </w:p>
        </w:tc>
        <w:tc>
          <w:tcPr>
            <w:tcW w:w="582" w:type="pct"/>
          </w:tcPr>
          <w:p w14:paraId="5C79B575" w14:textId="3B14C39D" w:rsidR="00790D33" w:rsidRPr="00C106BB" w:rsidRDefault="00790D33" w:rsidP="00FE14E2">
            <w:pPr>
              <w:pStyle w:val="TableBodyText"/>
              <w:jc w:val="right"/>
            </w:pPr>
            <w:r>
              <w:t>53</w:t>
            </w:r>
          </w:p>
        </w:tc>
        <w:tc>
          <w:tcPr>
            <w:tcW w:w="582" w:type="pct"/>
          </w:tcPr>
          <w:p w14:paraId="4433388C" w14:textId="13258FD3" w:rsidR="00790D33" w:rsidRPr="00C106BB" w:rsidRDefault="00790D33" w:rsidP="00FE14E2">
            <w:pPr>
              <w:pStyle w:val="TableBodyText"/>
              <w:jc w:val="right"/>
            </w:pPr>
            <w:r>
              <w:t>39</w:t>
            </w:r>
          </w:p>
        </w:tc>
        <w:tc>
          <w:tcPr>
            <w:tcW w:w="582" w:type="pct"/>
          </w:tcPr>
          <w:p w14:paraId="7C0D340A" w14:textId="0364C949" w:rsidR="00790D33" w:rsidRPr="00C106BB" w:rsidRDefault="00790D33" w:rsidP="00FE14E2">
            <w:pPr>
              <w:pStyle w:val="TableBodyText"/>
              <w:jc w:val="right"/>
            </w:pPr>
            <w:r>
              <w:t>39</w:t>
            </w:r>
          </w:p>
        </w:tc>
        <w:tc>
          <w:tcPr>
            <w:tcW w:w="581" w:type="pct"/>
          </w:tcPr>
          <w:p w14:paraId="21925407" w14:textId="4C8A9729" w:rsidR="00790D33" w:rsidRPr="00C106BB" w:rsidRDefault="00790D33" w:rsidP="00FE14E2">
            <w:pPr>
              <w:pStyle w:val="TableBodyText"/>
              <w:jc w:val="right"/>
            </w:pPr>
            <w:r>
              <w:t>%</w:t>
            </w:r>
          </w:p>
        </w:tc>
      </w:tr>
      <w:tr w:rsidR="00790D33" w:rsidRPr="00C106BB" w14:paraId="1F20E0F6" w14:textId="77777777" w:rsidTr="00FE14E2">
        <w:trPr>
          <w:trHeight w:val="20"/>
        </w:trPr>
        <w:tc>
          <w:tcPr>
            <w:tcW w:w="2673" w:type="pct"/>
          </w:tcPr>
          <w:p w14:paraId="7046EC4A" w14:textId="77777777" w:rsidR="00790D33" w:rsidRPr="00C106BB" w:rsidRDefault="00790D33" w:rsidP="00FE14E2">
            <w:pPr>
              <w:pStyle w:val="TableBodyText"/>
            </w:pPr>
            <w:r w:rsidRPr="00C106BB">
              <w:t>Mapped 10yr ARI</w:t>
            </w:r>
          </w:p>
        </w:tc>
        <w:tc>
          <w:tcPr>
            <w:tcW w:w="582" w:type="pct"/>
          </w:tcPr>
          <w:p w14:paraId="6BE3B4A9" w14:textId="77777777" w:rsidR="00790D33" w:rsidRPr="00C106BB" w:rsidRDefault="00790D33" w:rsidP="00FE14E2">
            <w:pPr>
              <w:pStyle w:val="TableBodyText"/>
              <w:jc w:val="right"/>
            </w:pPr>
            <w:r w:rsidRPr="00C106BB">
              <w:t>290</w:t>
            </w:r>
          </w:p>
        </w:tc>
        <w:tc>
          <w:tcPr>
            <w:tcW w:w="582" w:type="pct"/>
          </w:tcPr>
          <w:p w14:paraId="464D777C" w14:textId="77777777" w:rsidR="00790D33" w:rsidRPr="00C106BB" w:rsidRDefault="00790D33" w:rsidP="00FE14E2">
            <w:pPr>
              <w:pStyle w:val="TableBodyText"/>
              <w:jc w:val="right"/>
            </w:pPr>
            <w:r w:rsidRPr="00C106BB">
              <w:t>304</w:t>
            </w:r>
          </w:p>
        </w:tc>
        <w:tc>
          <w:tcPr>
            <w:tcW w:w="582" w:type="pct"/>
          </w:tcPr>
          <w:p w14:paraId="4B7EA7F1" w14:textId="77777777" w:rsidR="00790D33" w:rsidRPr="00C106BB" w:rsidRDefault="00790D33" w:rsidP="00FE14E2">
            <w:pPr>
              <w:pStyle w:val="TableBodyText"/>
              <w:jc w:val="right"/>
            </w:pPr>
            <w:r w:rsidRPr="00C106BB">
              <w:t>304</w:t>
            </w:r>
          </w:p>
        </w:tc>
        <w:tc>
          <w:tcPr>
            <w:tcW w:w="581" w:type="pct"/>
          </w:tcPr>
          <w:p w14:paraId="54FD93ED" w14:textId="33567163" w:rsidR="00790D33" w:rsidRPr="00C106BB" w:rsidRDefault="002D68ED" w:rsidP="00FE14E2">
            <w:pPr>
              <w:pStyle w:val="TableBodyText"/>
              <w:jc w:val="right"/>
            </w:pPr>
            <w:r>
              <w:t>km</w:t>
            </w:r>
          </w:p>
        </w:tc>
      </w:tr>
      <w:tr w:rsidR="00790D33" w:rsidRPr="00C106BB" w14:paraId="0F41D192" w14:textId="77777777" w:rsidTr="00FE14E2">
        <w:trPr>
          <w:trHeight w:val="20"/>
        </w:trPr>
        <w:tc>
          <w:tcPr>
            <w:tcW w:w="2673" w:type="pct"/>
          </w:tcPr>
          <w:p w14:paraId="65296497" w14:textId="6219AAF9" w:rsidR="00790D33" w:rsidRPr="00C106BB" w:rsidRDefault="00790D33" w:rsidP="00FE14E2">
            <w:pPr>
              <w:pStyle w:val="TableBodyText"/>
            </w:pPr>
            <w:r>
              <w:t>Percentage Mapped</w:t>
            </w:r>
          </w:p>
        </w:tc>
        <w:tc>
          <w:tcPr>
            <w:tcW w:w="582" w:type="pct"/>
          </w:tcPr>
          <w:p w14:paraId="0004CF00" w14:textId="429F72F2" w:rsidR="00790D33" w:rsidRPr="00C106BB" w:rsidRDefault="00790D33" w:rsidP="00FE14E2">
            <w:pPr>
              <w:pStyle w:val="TableBodyText"/>
              <w:jc w:val="right"/>
            </w:pPr>
            <w:r>
              <w:t>27</w:t>
            </w:r>
          </w:p>
        </w:tc>
        <w:tc>
          <w:tcPr>
            <w:tcW w:w="582" w:type="pct"/>
          </w:tcPr>
          <w:p w14:paraId="5385D3D1" w14:textId="5BE03AD1" w:rsidR="00790D33" w:rsidRPr="00C106BB" w:rsidRDefault="00790D33" w:rsidP="00FE14E2">
            <w:pPr>
              <w:pStyle w:val="TableBodyText"/>
              <w:jc w:val="right"/>
            </w:pPr>
            <w:r>
              <w:t>28</w:t>
            </w:r>
          </w:p>
        </w:tc>
        <w:tc>
          <w:tcPr>
            <w:tcW w:w="582" w:type="pct"/>
          </w:tcPr>
          <w:p w14:paraId="501BE832" w14:textId="7EB64002" w:rsidR="00790D33" w:rsidRPr="00C106BB" w:rsidRDefault="00790D33" w:rsidP="00FE14E2">
            <w:pPr>
              <w:pStyle w:val="TableBodyText"/>
              <w:jc w:val="right"/>
            </w:pPr>
            <w:r>
              <w:t>28</w:t>
            </w:r>
          </w:p>
        </w:tc>
        <w:tc>
          <w:tcPr>
            <w:tcW w:w="581" w:type="pct"/>
          </w:tcPr>
          <w:p w14:paraId="59A7A3C0" w14:textId="30C279E6" w:rsidR="00790D33" w:rsidRPr="00C106BB" w:rsidRDefault="00790D33" w:rsidP="00FE14E2">
            <w:pPr>
              <w:pStyle w:val="TableBodyText"/>
              <w:jc w:val="right"/>
            </w:pPr>
            <w:r>
              <w:t>%</w:t>
            </w:r>
          </w:p>
        </w:tc>
      </w:tr>
      <w:tr w:rsidR="00790D33" w:rsidRPr="00C106BB" w14:paraId="388B91D8" w14:textId="77777777" w:rsidTr="00FE14E2">
        <w:trPr>
          <w:trHeight w:val="20"/>
        </w:trPr>
        <w:tc>
          <w:tcPr>
            <w:tcW w:w="2673" w:type="pct"/>
          </w:tcPr>
          <w:p w14:paraId="4B630C7E" w14:textId="77777777" w:rsidR="00790D33" w:rsidRPr="00C106BB" w:rsidRDefault="00790D33" w:rsidP="00FE14E2">
            <w:pPr>
              <w:pStyle w:val="TableBodyText"/>
            </w:pPr>
            <w:r w:rsidRPr="00C106BB">
              <w:t>Mapped 5yr ARI</w:t>
            </w:r>
          </w:p>
        </w:tc>
        <w:tc>
          <w:tcPr>
            <w:tcW w:w="582" w:type="pct"/>
          </w:tcPr>
          <w:p w14:paraId="31E3106C" w14:textId="77777777" w:rsidR="00790D33" w:rsidRPr="00C106BB" w:rsidRDefault="00790D33" w:rsidP="00FE14E2">
            <w:pPr>
              <w:pStyle w:val="TableBodyText"/>
              <w:jc w:val="right"/>
            </w:pPr>
            <w:r w:rsidRPr="00C106BB">
              <w:t>319</w:t>
            </w:r>
          </w:p>
        </w:tc>
        <w:tc>
          <w:tcPr>
            <w:tcW w:w="582" w:type="pct"/>
          </w:tcPr>
          <w:p w14:paraId="7E4C4AA3" w14:textId="77777777" w:rsidR="00790D33" w:rsidRPr="00C106BB" w:rsidRDefault="00790D33" w:rsidP="00FE14E2">
            <w:pPr>
              <w:pStyle w:val="TableBodyText"/>
              <w:jc w:val="right"/>
            </w:pPr>
            <w:r w:rsidRPr="00C106BB">
              <w:t>296</w:t>
            </w:r>
          </w:p>
        </w:tc>
        <w:tc>
          <w:tcPr>
            <w:tcW w:w="582" w:type="pct"/>
          </w:tcPr>
          <w:p w14:paraId="370CDD66" w14:textId="77777777" w:rsidR="00790D33" w:rsidRPr="00C106BB" w:rsidRDefault="00790D33" w:rsidP="00FE14E2">
            <w:pPr>
              <w:pStyle w:val="TableBodyText"/>
              <w:jc w:val="right"/>
            </w:pPr>
            <w:r w:rsidRPr="00C106BB">
              <w:t>296</w:t>
            </w:r>
          </w:p>
        </w:tc>
        <w:tc>
          <w:tcPr>
            <w:tcW w:w="581" w:type="pct"/>
          </w:tcPr>
          <w:p w14:paraId="03965019" w14:textId="3E94CBA7" w:rsidR="00790D33" w:rsidRPr="00C106BB" w:rsidRDefault="002D68ED" w:rsidP="00FE14E2">
            <w:pPr>
              <w:pStyle w:val="TableBodyText"/>
              <w:jc w:val="right"/>
            </w:pPr>
            <w:r>
              <w:t>km</w:t>
            </w:r>
          </w:p>
        </w:tc>
      </w:tr>
      <w:tr w:rsidR="00790D33" w:rsidRPr="00C106BB" w14:paraId="52AEA71D" w14:textId="77777777" w:rsidTr="00FE14E2">
        <w:trPr>
          <w:trHeight w:val="20"/>
        </w:trPr>
        <w:tc>
          <w:tcPr>
            <w:tcW w:w="2673" w:type="pct"/>
          </w:tcPr>
          <w:p w14:paraId="5D66DF3D" w14:textId="37EAB64B" w:rsidR="00790D33" w:rsidRPr="00C106BB" w:rsidRDefault="00790D33" w:rsidP="00FE14E2">
            <w:pPr>
              <w:pStyle w:val="TableBodyText"/>
            </w:pPr>
            <w:r>
              <w:t>Percentage Mapped</w:t>
            </w:r>
          </w:p>
        </w:tc>
        <w:tc>
          <w:tcPr>
            <w:tcW w:w="582" w:type="pct"/>
          </w:tcPr>
          <w:p w14:paraId="4E8F03D9" w14:textId="7E7CEEB2" w:rsidR="00790D33" w:rsidRPr="00C106BB" w:rsidRDefault="00790D33" w:rsidP="00FE14E2">
            <w:pPr>
              <w:pStyle w:val="TableBodyText"/>
              <w:jc w:val="right"/>
            </w:pPr>
            <w:r>
              <w:t>29</w:t>
            </w:r>
          </w:p>
        </w:tc>
        <w:tc>
          <w:tcPr>
            <w:tcW w:w="582" w:type="pct"/>
          </w:tcPr>
          <w:p w14:paraId="354D0DB8" w14:textId="7BB29BF5" w:rsidR="00790D33" w:rsidRPr="00C106BB" w:rsidRDefault="00790D33" w:rsidP="00FE14E2">
            <w:pPr>
              <w:pStyle w:val="TableBodyText"/>
              <w:jc w:val="right"/>
            </w:pPr>
            <w:r>
              <w:t>27</w:t>
            </w:r>
          </w:p>
        </w:tc>
        <w:tc>
          <w:tcPr>
            <w:tcW w:w="582" w:type="pct"/>
          </w:tcPr>
          <w:p w14:paraId="685B17B8" w14:textId="7F1B43DC" w:rsidR="00790D33" w:rsidRPr="00C106BB" w:rsidRDefault="00790D33" w:rsidP="00FE14E2">
            <w:pPr>
              <w:pStyle w:val="TableBodyText"/>
              <w:jc w:val="right"/>
            </w:pPr>
            <w:r>
              <w:t>27</w:t>
            </w:r>
          </w:p>
        </w:tc>
        <w:tc>
          <w:tcPr>
            <w:tcW w:w="581" w:type="pct"/>
          </w:tcPr>
          <w:p w14:paraId="09A9D074" w14:textId="54075471" w:rsidR="00790D33" w:rsidRPr="00C106BB" w:rsidRDefault="00790D33" w:rsidP="00FE14E2">
            <w:pPr>
              <w:pStyle w:val="TableBodyText"/>
              <w:jc w:val="right"/>
            </w:pPr>
            <w:r>
              <w:t>%</w:t>
            </w:r>
          </w:p>
        </w:tc>
      </w:tr>
      <w:tr w:rsidR="004D3985" w:rsidRPr="00C106BB" w14:paraId="47E6B954" w14:textId="77777777" w:rsidTr="00FE14E2">
        <w:trPr>
          <w:trHeight w:val="20"/>
        </w:trPr>
        <w:tc>
          <w:tcPr>
            <w:tcW w:w="2673" w:type="pct"/>
          </w:tcPr>
          <w:p w14:paraId="0E47FD0B" w14:textId="1A154CD0" w:rsidR="004D3985" w:rsidRPr="004D3985" w:rsidRDefault="004D3985" w:rsidP="00FE14E2">
            <w:pPr>
              <w:pStyle w:val="TableBodyText"/>
              <w:rPr>
                <w:rStyle w:val="Bold"/>
              </w:rPr>
            </w:pPr>
            <w:r w:rsidRPr="004D3985">
              <w:rPr>
                <w:rStyle w:val="Bold"/>
              </w:rPr>
              <w:t>Natural Waterways</w:t>
            </w:r>
          </w:p>
        </w:tc>
        <w:tc>
          <w:tcPr>
            <w:tcW w:w="582" w:type="pct"/>
          </w:tcPr>
          <w:p w14:paraId="7AC35114" w14:textId="76A0D369" w:rsidR="004D3985" w:rsidRPr="00C106BB" w:rsidRDefault="004D3985" w:rsidP="00FE14E2">
            <w:pPr>
              <w:pStyle w:val="TableBodyText"/>
              <w:jc w:val="right"/>
            </w:pPr>
            <w:r w:rsidRPr="00823D2C">
              <w:t>N/A</w:t>
            </w:r>
          </w:p>
        </w:tc>
        <w:tc>
          <w:tcPr>
            <w:tcW w:w="582" w:type="pct"/>
          </w:tcPr>
          <w:p w14:paraId="320A7469" w14:textId="12DB6812" w:rsidR="004D3985" w:rsidRPr="00C106BB" w:rsidRDefault="004D3985" w:rsidP="00FE14E2">
            <w:pPr>
              <w:pStyle w:val="TableBodyText"/>
              <w:jc w:val="right"/>
            </w:pPr>
            <w:r w:rsidRPr="00823D2C">
              <w:t>N/A</w:t>
            </w:r>
          </w:p>
        </w:tc>
        <w:tc>
          <w:tcPr>
            <w:tcW w:w="582" w:type="pct"/>
          </w:tcPr>
          <w:p w14:paraId="5620BBA2" w14:textId="06343703" w:rsidR="004D3985" w:rsidRPr="00C106BB" w:rsidRDefault="004D3985" w:rsidP="00FE14E2">
            <w:pPr>
              <w:pStyle w:val="TableBodyText"/>
              <w:jc w:val="right"/>
            </w:pPr>
            <w:r w:rsidRPr="00823D2C">
              <w:t>N/A</w:t>
            </w:r>
          </w:p>
        </w:tc>
        <w:tc>
          <w:tcPr>
            <w:tcW w:w="581" w:type="pct"/>
          </w:tcPr>
          <w:p w14:paraId="40CB0760" w14:textId="1C2F119C" w:rsidR="004D3985" w:rsidRPr="00C106BB" w:rsidRDefault="004D3985" w:rsidP="00FE14E2">
            <w:pPr>
              <w:pStyle w:val="TableBodyText"/>
              <w:jc w:val="right"/>
            </w:pPr>
            <w:r w:rsidRPr="00823D2C">
              <w:t>N/A</w:t>
            </w:r>
          </w:p>
        </w:tc>
      </w:tr>
      <w:tr w:rsidR="00790D33" w:rsidRPr="00C106BB" w14:paraId="23BE2EAA" w14:textId="77777777" w:rsidTr="00FE14E2">
        <w:trPr>
          <w:trHeight w:val="20"/>
        </w:trPr>
        <w:tc>
          <w:tcPr>
            <w:tcW w:w="2673" w:type="pct"/>
          </w:tcPr>
          <w:p w14:paraId="102A2BBF" w14:textId="77777777" w:rsidR="00790D33" w:rsidRPr="00C106BB" w:rsidRDefault="00790D33" w:rsidP="00FE14E2">
            <w:pPr>
              <w:pStyle w:val="TableBodyText"/>
            </w:pPr>
            <w:r w:rsidRPr="00C106BB">
              <w:t>Total length of Melbourne Water assets</w:t>
            </w:r>
          </w:p>
        </w:tc>
        <w:tc>
          <w:tcPr>
            <w:tcW w:w="582" w:type="pct"/>
          </w:tcPr>
          <w:p w14:paraId="3CDCEA12" w14:textId="77777777" w:rsidR="00790D33" w:rsidRPr="00C106BB" w:rsidRDefault="00790D33" w:rsidP="00FE14E2">
            <w:pPr>
              <w:pStyle w:val="TableBodyText"/>
              <w:jc w:val="right"/>
            </w:pPr>
            <w:r w:rsidRPr="00C106BB">
              <w:t>8700</w:t>
            </w:r>
          </w:p>
        </w:tc>
        <w:tc>
          <w:tcPr>
            <w:tcW w:w="582" w:type="pct"/>
          </w:tcPr>
          <w:p w14:paraId="362697C4" w14:textId="77777777" w:rsidR="00790D33" w:rsidRPr="00C106BB" w:rsidRDefault="00790D33" w:rsidP="00FE14E2">
            <w:pPr>
              <w:pStyle w:val="TableBodyText"/>
              <w:jc w:val="right"/>
            </w:pPr>
            <w:r w:rsidRPr="00C106BB">
              <w:t>8696</w:t>
            </w:r>
          </w:p>
        </w:tc>
        <w:tc>
          <w:tcPr>
            <w:tcW w:w="582" w:type="pct"/>
          </w:tcPr>
          <w:p w14:paraId="66CE47C0" w14:textId="77777777" w:rsidR="00790D33" w:rsidRPr="00C106BB" w:rsidRDefault="00790D33" w:rsidP="00FE14E2">
            <w:pPr>
              <w:pStyle w:val="TableBodyText"/>
              <w:jc w:val="right"/>
            </w:pPr>
            <w:r w:rsidRPr="00C106BB">
              <w:t>8688</w:t>
            </w:r>
          </w:p>
        </w:tc>
        <w:tc>
          <w:tcPr>
            <w:tcW w:w="581" w:type="pct"/>
          </w:tcPr>
          <w:p w14:paraId="12A374A2" w14:textId="65B35761" w:rsidR="00790D33" w:rsidRPr="00C106BB" w:rsidRDefault="00790D33" w:rsidP="00FE14E2">
            <w:pPr>
              <w:pStyle w:val="TableBodyText"/>
              <w:jc w:val="right"/>
            </w:pPr>
            <w:r>
              <w:t>km</w:t>
            </w:r>
          </w:p>
        </w:tc>
      </w:tr>
      <w:tr w:rsidR="00790D33" w:rsidRPr="00C106BB" w14:paraId="55C415EB" w14:textId="77777777" w:rsidTr="00FE14E2">
        <w:trPr>
          <w:trHeight w:val="20"/>
        </w:trPr>
        <w:tc>
          <w:tcPr>
            <w:tcW w:w="2673" w:type="pct"/>
          </w:tcPr>
          <w:p w14:paraId="5210F1FE" w14:textId="77777777" w:rsidR="00790D33" w:rsidRPr="00C106BB" w:rsidRDefault="00790D33" w:rsidP="00FE14E2">
            <w:pPr>
              <w:pStyle w:val="TableBodyText"/>
            </w:pPr>
            <w:r w:rsidRPr="00C106BB">
              <w:t>Total length of Melbourne Water assets excluding drainage scheme areas, forested areas and French Islands</w:t>
            </w:r>
          </w:p>
        </w:tc>
        <w:tc>
          <w:tcPr>
            <w:tcW w:w="582" w:type="pct"/>
          </w:tcPr>
          <w:p w14:paraId="6F208CFD" w14:textId="77777777" w:rsidR="00790D33" w:rsidRPr="00C106BB" w:rsidRDefault="00790D33" w:rsidP="00FE14E2">
            <w:pPr>
              <w:pStyle w:val="TableBodyText"/>
              <w:jc w:val="right"/>
            </w:pPr>
            <w:r w:rsidRPr="00C106BB">
              <w:t>6546</w:t>
            </w:r>
          </w:p>
        </w:tc>
        <w:tc>
          <w:tcPr>
            <w:tcW w:w="582" w:type="pct"/>
          </w:tcPr>
          <w:p w14:paraId="463643DE" w14:textId="77777777" w:rsidR="00790D33" w:rsidRPr="00C106BB" w:rsidRDefault="00790D33" w:rsidP="00FE14E2">
            <w:pPr>
              <w:pStyle w:val="TableBodyText"/>
              <w:jc w:val="right"/>
            </w:pPr>
            <w:r w:rsidRPr="00C106BB">
              <w:t>6610</w:t>
            </w:r>
          </w:p>
        </w:tc>
        <w:tc>
          <w:tcPr>
            <w:tcW w:w="582" w:type="pct"/>
          </w:tcPr>
          <w:p w14:paraId="7FE4B3E6" w14:textId="77777777" w:rsidR="00790D33" w:rsidRPr="00C106BB" w:rsidRDefault="00790D33" w:rsidP="00FE14E2">
            <w:pPr>
              <w:pStyle w:val="TableBodyText"/>
              <w:jc w:val="right"/>
            </w:pPr>
            <w:r w:rsidRPr="00C106BB">
              <w:t>6532</w:t>
            </w:r>
          </w:p>
        </w:tc>
        <w:tc>
          <w:tcPr>
            <w:tcW w:w="581" w:type="pct"/>
          </w:tcPr>
          <w:p w14:paraId="03D677F1" w14:textId="320F10CA" w:rsidR="00790D33" w:rsidRPr="00C106BB" w:rsidRDefault="00790D33" w:rsidP="00FE14E2">
            <w:pPr>
              <w:pStyle w:val="TableBodyText"/>
              <w:jc w:val="right"/>
            </w:pPr>
            <w:r>
              <w:t>km</w:t>
            </w:r>
          </w:p>
        </w:tc>
      </w:tr>
      <w:tr w:rsidR="00790D33" w:rsidRPr="00C106BB" w14:paraId="5FD1BA23" w14:textId="77777777" w:rsidTr="00FE14E2">
        <w:trPr>
          <w:trHeight w:val="20"/>
        </w:trPr>
        <w:tc>
          <w:tcPr>
            <w:tcW w:w="2673" w:type="pct"/>
          </w:tcPr>
          <w:p w14:paraId="5E89A924" w14:textId="77777777" w:rsidR="00790D33" w:rsidRPr="00C106BB" w:rsidRDefault="00790D33" w:rsidP="00FE14E2">
            <w:pPr>
              <w:pStyle w:val="TableBodyText"/>
            </w:pPr>
            <w:r w:rsidRPr="00C106BB">
              <w:t>Mapped 100yr ARI</w:t>
            </w:r>
          </w:p>
        </w:tc>
        <w:tc>
          <w:tcPr>
            <w:tcW w:w="582" w:type="pct"/>
          </w:tcPr>
          <w:p w14:paraId="622AC2F0" w14:textId="77777777" w:rsidR="00790D33" w:rsidRPr="00C106BB" w:rsidRDefault="00790D33" w:rsidP="00FE14E2">
            <w:pPr>
              <w:pStyle w:val="TableBodyText"/>
              <w:jc w:val="right"/>
            </w:pPr>
            <w:r w:rsidRPr="00C106BB">
              <w:t>4303</w:t>
            </w:r>
          </w:p>
        </w:tc>
        <w:tc>
          <w:tcPr>
            <w:tcW w:w="582" w:type="pct"/>
          </w:tcPr>
          <w:p w14:paraId="1D87FE1F" w14:textId="77777777" w:rsidR="00790D33" w:rsidRPr="00C106BB" w:rsidRDefault="00790D33" w:rsidP="00FE14E2">
            <w:pPr>
              <w:pStyle w:val="TableBodyText"/>
              <w:jc w:val="right"/>
            </w:pPr>
            <w:r w:rsidRPr="00C106BB">
              <w:t>4292</w:t>
            </w:r>
          </w:p>
        </w:tc>
        <w:tc>
          <w:tcPr>
            <w:tcW w:w="582" w:type="pct"/>
          </w:tcPr>
          <w:p w14:paraId="2013F952" w14:textId="77777777" w:rsidR="00790D33" w:rsidRPr="00C106BB" w:rsidRDefault="00790D33" w:rsidP="00FE14E2">
            <w:pPr>
              <w:pStyle w:val="TableBodyText"/>
              <w:jc w:val="right"/>
            </w:pPr>
            <w:r w:rsidRPr="00C106BB">
              <w:t>4275</w:t>
            </w:r>
          </w:p>
        </w:tc>
        <w:tc>
          <w:tcPr>
            <w:tcW w:w="581" w:type="pct"/>
          </w:tcPr>
          <w:p w14:paraId="39507CD5" w14:textId="3DD74268" w:rsidR="00790D33" w:rsidRPr="00C106BB" w:rsidRDefault="002D68ED" w:rsidP="00FE14E2">
            <w:pPr>
              <w:pStyle w:val="TableBodyText"/>
              <w:jc w:val="right"/>
            </w:pPr>
            <w:r>
              <w:t>km</w:t>
            </w:r>
          </w:p>
        </w:tc>
      </w:tr>
      <w:tr w:rsidR="00790D33" w:rsidRPr="00C106BB" w14:paraId="4FCA8A61" w14:textId="77777777" w:rsidTr="00FE14E2">
        <w:trPr>
          <w:trHeight w:val="20"/>
        </w:trPr>
        <w:tc>
          <w:tcPr>
            <w:tcW w:w="2673" w:type="pct"/>
          </w:tcPr>
          <w:p w14:paraId="4A04755D" w14:textId="2BB04966" w:rsidR="00790D33" w:rsidRPr="00C106BB" w:rsidRDefault="00790D33" w:rsidP="00FE14E2">
            <w:pPr>
              <w:pStyle w:val="TableBodyText"/>
            </w:pPr>
            <w:r>
              <w:t>Percentage Mapped</w:t>
            </w:r>
          </w:p>
        </w:tc>
        <w:tc>
          <w:tcPr>
            <w:tcW w:w="582" w:type="pct"/>
          </w:tcPr>
          <w:p w14:paraId="28173D70" w14:textId="099426F5" w:rsidR="00790D33" w:rsidRPr="00C106BB" w:rsidRDefault="00790D33" w:rsidP="00FE14E2">
            <w:pPr>
              <w:pStyle w:val="TableBodyText"/>
              <w:jc w:val="right"/>
            </w:pPr>
            <w:r>
              <w:t>66</w:t>
            </w:r>
          </w:p>
        </w:tc>
        <w:tc>
          <w:tcPr>
            <w:tcW w:w="582" w:type="pct"/>
          </w:tcPr>
          <w:p w14:paraId="1E9CC490" w14:textId="1031A3BD" w:rsidR="00790D33" w:rsidRPr="00C106BB" w:rsidRDefault="00790D33" w:rsidP="00FE14E2">
            <w:pPr>
              <w:pStyle w:val="TableBodyText"/>
              <w:jc w:val="right"/>
            </w:pPr>
            <w:r>
              <w:t>65</w:t>
            </w:r>
          </w:p>
        </w:tc>
        <w:tc>
          <w:tcPr>
            <w:tcW w:w="582" w:type="pct"/>
          </w:tcPr>
          <w:p w14:paraId="7F2D77BD" w14:textId="0BB6DC2A" w:rsidR="00790D33" w:rsidRPr="00C106BB" w:rsidRDefault="00790D33" w:rsidP="00FE14E2">
            <w:pPr>
              <w:pStyle w:val="TableBodyText"/>
              <w:jc w:val="right"/>
            </w:pPr>
            <w:r>
              <w:t>65</w:t>
            </w:r>
          </w:p>
        </w:tc>
        <w:tc>
          <w:tcPr>
            <w:tcW w:w="581" w:type="pct"/>
          </w:tcPr>
          <w:p w14:paraId="0E578D0B" w14:textId="0128DFA6" w:rsidR="00790D33" w:rsidRPr="00C106BB" w:rsidRDefault="00790D33" w:rsidP="00FE14E2">
            <w:pPr>
              <w:pStyle w:val="TableBodyText"/>
              <w:jc w:val="right"/>
            </w:pPr>
            <w:r>
              <w:t>%</w:t>
            </w:r>
          </w:p>
        </w:tc>
      </w:tr>
      <w:tr w:rsidR="00790D33" w:rsidRPr="00C106BB" w14:paraId="6E3CFEC8" w14:textId="77777777" w:rsidTr="00FE14E2">
        <w:trPr>
          <w:trHeight w:val="20"/>
        </w:trPr>
        <w:tc>
          <w:tcPr>
            <w:tcW w:w="2673" w:type="pct"/>
          </w:tcPr>
          <w:p w14:paraId="0BDECADA" w14:textId="77777777" w:rsidR="00790D33" w:rsidRPr="00C106BB" w:rsidRDefault="00790D33" w:rsidP="00FE14E2">
            <w:pPr>
              <w:pStyle w:val="TableBodyText"/>
            </w:pPr>
            <w:r w:rsidRPr="00C106BB">
              <w:t>Mapped 20yr ARI</w:t>
            </w:r>
          </w:p>
        </w:tc>
        <w:tc>
          <w:tcPr>
            <w:tcW w:w="582" w:type="pct"/>
          </w:tcPr>
          <w:p w14:paraId="7D18C384" w14:textId="77777777" w:rsidR="00790D33" w:rsidRPr="00C106BB" w:rsidRDefault="00790D33" w:rsidP="00FE14E2">
            <w:pPr>
              <w:pStyle w:val="TableBodyText"/>
              <w:jc w:val="right"/>
            </w:pPr>
            <w:r w:rsidRPr="00C106BB">
              <w:t>656</w:t>
            </w:r>
          </w:p>
        </w:tc>
        <w:tc>
          <w:tcPr>
            <w:tcW w:w="582" w:type="pct"/>
          </w:tcPr>
          <w:p w14:paraId="4F4A87C4" w14:textId="77777777" w:rsidR="00790D33" w:rsidRPr="00C106BB" w:rsidRDefault="00790D33" w:rsidP="00FE14E2">
            <w:pPr>
              <w:pStyle w:val="TableBodyText"/>
              <w:jc w:val="right"/>
            </w:pPr>
            <w:r w:rsidRPr="00C106BB">
              <w:t>518</w:t>
            </w:r>
          </w:p>
        </w:tc>
        <w:tc>
          <w:tcPr>
            <w:tcW w:w="582" w:type="pct"/>
          </w:tcPr>
          <w:p w14:paraId="3E6EC724" w14:textId="77777777" w:rsidR="00790D33" w:rsidRPr="00C106BB" w:rsidRDefault="00790D33" w:rsidP="00FE14E2">
            <w:pPr>
              <w:pStyle w:val="TableBodyText"/>
              <w:jc w:val="right"/>
            </w:pPr>
            <w:r w:rsidRPr="00C106BB">
              <w:t>565</w:t>
            </w:r>
          </w:p>
        </w:tc>
        <w:tc>
          <w:tcPr>
            <w:tcW w:w="581" w:type="pct"/>
          </w:tcPr>
          <w:p w14:paraId="3ADA92C2" w14:textId="31304544" w:rsidR="00790D33" w:rsidRPr="00C106BB" w:rsidRDefault="002D68ED" w:rsidP="00FE14E2">
            <w:pPr>
              <w:pStyle w:val="TableBodyText"/>
              <w:jc w:val="right"/>
            </w:pPr>
            <w:r>
              <w:t>km</w:t>
            </w:r>
          </w:p>
        </w:tc>
      </w:tr>
      <w:tr w:rsidR="00790D33" w:rsidRPr="00C106BB" w14:paraId="0B01530F" w14:textId="77777777" w:rsidTr="00FE14E2">
        <w:trPr>
          <w:trHeight w:val="20"/>
        </w:trPr>
        <w:tc>
          <w:tcPr>
            <w:tcW w:w="2673" w:type="pct"/>
          </w:tcPr>
          <w:p w14:paraId="60EC2D2A" w14:textId="56DD2A5D" w:rsidR="00790D33" w:rsidRPr="00C106BB" w:rsidRDefault="00790D33" w:rsidP="00FE14E2">
            <w:pPr>
              <w:pStyle w:val="TableBodyText"/>
            </w:pPr>
            <w:r>
              <w:t>Percentage Mapped</w:t>
            </w:r>
          </w:p>
        </w:tc>
        <w:tc>
          <w:tcPr>
            <w:tcW w:w="582" w:type="pct"/>
          </w:tcPr>
          <w:p w14:paraId="5F8D99C8" w14:textId="4046A052" w:rsidR="00790D33" w:rsidRPr="00C106BB" w:rsidRDefault="00790D33" w:rsidP="00FE14E2">
            <w:pPr>
              <w:pStyle w:val="TableBodyText"/>
              <w:jc w:val="right"/>
            </w:pPr>
            <w:r>
              <w:t>10</w:t>
            </w:r>
          </w:p>
        </w:tc>
        <w:tc>
          <w:tcPr>
            <w:tcW w:w="582" w:type="pct"/>
          </w:tcPr>
          <w:p w14:paraId="56517701" w14:textId="70814EB7" w:rsidR="00790D33" w:rsidRPr="00C106BB" w:rsidRDefault="00790D33" w:rsidP="00FE14E2">
            <w:pPr>
              <w:pStyle w:val="TableBodyText"/>
              <w:jc w:val="right"/>
            </w:pPr>
            <w:r>
              <w:t>8</w:t>
            </w:r>
          </w:p>
        </w:tc>
        <w:tc>
          <w:tcPr>
            <w:tcW w:w="582" w:type="pct"/>
          </w:tcPr>
          <w:p w14:paraId="0E4F4A0B" w14:textId="2BB5B605" w:rsidR="00790D33" w:rsidRPr="00C106BB" w:rsidRDefault="00790D33" w:rsidP="00FE14E2">
            <w:pPr>
              <w:pStyle w:val="TableBodyText"/>
              <w:jc w:val="right"/>
            </w:pPr>
            <w:r>
              <w:t>9</w:t>
            </w:r>
          </w:p>
        </w:tc>
        <w:tc>
          <w:tcPr>
            <w:tcW w:w="581" w:type="pct"/>
          </w:tcPr>
          <w:p w14:paraId="12D831F6" w14:textId="7514BB40" w:rsidR="00790D33" w:rsidRPr="00C106BB" w:rsidRDefault="00790D33" w:rsidP="00FE14E2">
            <w:pPr>
              <w:pStyle w:val="TableBodyText"/>
              <w:jc w:val="right"/>
            </w:pPr>
            <w:r>
              <w:t>%</w:t>
            </w:r>
          </w:p>
        </w:tc>
      </w:tr>
      <w:tr w:rsidR="00790D33" w:rsidRPr="00C106BB" w14:paraId="6CB6E369" w14:textId="77777777" w:rsidTr="00FE14E2">
        <w:trPr>
          <w:trHeight w:val="20"/>
        </w:trPr>
        <w:tc>
          <w:tcPr>
            <w:tcW w:w="2673" w:type="pct"/>
          </w:tcPr>
          <w:p w14:paraId="3507247C" w14:textId="77777777" w:rsidR="00790D33" w:rsidRPr="00C106BB" w:rsidRDefault="00790D33" w:rsidP="00FE14E2">
            <w:pPr>
              <w:pStyle w:val="TableBodyText"/>
            </w:pPr>
            <w:r w:rsidRPr="00C106BB">
              <w:t>Mapped 10yr ARI</w:t>
            </w:r>
          </w:p>
        </w:tc>
        <w:tc>
          <w:tcPr>
            <w:tcW w:w="582" w:type="pct"/>
          </w:tcPr>
          <w:p w14:paraId="6E0F7D30" w14:textId="77777777" w:rsidR="00790D33" w:rsidRPr="00C106BB" w:rsidRDefault="00790D33" w:rsidP="00FE14E2">
            <w:pPr>
              <w:pStyle w:val="TableBodyText"/>
              <w:jc w:val="right"/>
            </w:pPr>
            <w:r w:rsidRPr="00C106BB">
              <w:t>577</w:t>
            </w:r>
          </w:p>
        </w:tc>
        <w:tc>
          <w:tcPr>
            <w:tcW w:w="582" w:type="pct"/>
          </w:tcPr>
          <w:p w14:paraId="0D197891" w14:textId="77777777" w:rsidR="00790D33" w:rsidRPr="00C106BB" w:rsidRDefault="00790D33" w:rsidP="00FE14E2">
            <w:pPr>
              <w:pStyle w:val="TableBodyText"/>
              <w:jc w:val="right"/>
            </w:pPr>
            <w:r w:rsidRPr="00C106BB">
              <w:t>500</w:t>
            </w:r>
          </w:p>
        </w:tc>
        <w:tc>
          <w:tcPr>
            <w:tcW w:w="582" w:type="pct"/>
          </w:tcPr>
          <w:p w14:paraId="335462C3" w14:textId="77777777" w:rsidR="00790D33" w:rsidRPr="00C106BB" w:rsidRDefault="00790D33" w:rsidP="00FE14E2">
            <w:pPr>
              <w:pStyle w:val="TableBodyText"/>
              <w:jc w:val="right"/>
            </w:pPr>
            <w:r w:rsidRPr="00C106BB">
              <w:t>547</w:t>
            </w:r>
          </w:p>
        </w:tc>
        <w:tc>
          <w:tcPr>
            <w:tcW w:w="581" w:type="pct"/>
          </w:tcPr>
          <w:p w14:paraId="475D98AC" w14:textId="7EF0ECAE" w:rsidR="00790D33" w:rsidRPr="00C106BB" w:rsidRDefault="002D68ED" w:rsidP="00FE14E2">
            <w:pPr>
              <w:pStyle w:val="TableBodyText"/>
              <w:jc w:val="right"/>
            </w:pPr>
            <w:r>
              <w:t>km</w:t>
            </w:r>
          </w:p>
        </w:tc>
      </w:tr>
      <w:tr w:rsidR="00790D33" w:rsidRPr="00C106BB" w14:paraId="7DB32EE2" w14:textId="77777777" w:rsidTr="00FE14E2">
        <w:trPr>
          <w:trHeight w:val="20"/>
        </w:trPr>
        <w:tc>
          <w:tcPr>
            <w:tcW w:w="2673" w:type="pct"/>
          </w:tcPr>
          <w:p w14:paraId="5B7F2DCD" w14:textId="58A0DB75" w:rsidR="00790D33" w:rsidRPr="00C106BB" w:rsidRDefault="00790D33" w:rsidP="00FE14E2">
            <w:pPr>
              <w:pStyle w:val="TableBodyText"/>
            </w:pPr>
            <w:r>
              <w:t>Percentage Mapped</w:t>
            </w:r>
          </w:p>
        </w:tc>
        <w:tc>
          <w:tcPr>
            <w:tcW w:w="582" w:type="pct"/>
          </w:tcPr>
          <w:p w14:paraId="390D084F" w14:textId="2E1004AD" w:rsidR="00790D33" w:rsidRPr="00C106BB" w:rsidRDefault="00790D33" w:rsidP="00FE14E2">
            <w:pPr>
              <w:pStyle w:val="TableBodyText"/>
              <w:jc w:val="right"/>
            </w:pPr>
            <w:r>
              <w:t>9</w:t>
            </w:r>
          </w:p>
        </w:tc>
        <w:tc>
          <w:tcPr>
            <w:tcW w:w="582" w:type="pct"/>
          </w:tcPr>
          <w:p w14:paraId="44049BAF" w14:textId="37902D46" w:rsidR="00790D33" w:rsidRPr="00C106BB" w:rsidRDefault="00790D33" w:rsidP="00FE14E2">
            <w:pPr>
              <w:pStyle w:val="TableBodyText"/>
              <w:jc w:val="right"/>
            </w:pPr>
            <w:r>
              <w:t>8</w:t>
            </w:r>
          </w:p>
        </w:tc>
        <w:tc>
          <w:tcPr>
            <w:tcW w:w="582" w:type="pct"/>
          </w:tcPr>
          <w:p w14:paraId="7FD5725F" w14:textId="3125BAC3" w:rsidR="00790D33" w:rsidRPr="00C106BB" w:rsidRDefault="00790D33" w:rsidP="00FE14E2">
            <w:pPr>
              <w:pStyle w:val="TableBodyText"/>
              <w:jc w:val="right"/>
            </w:pPr>
            <w:r>
              <w:t>8</w:t>
            </w:r>
          </w:p>
        </w:tc>
        <w:tc>
          <w:tcPr>
            <w:tcW w:w="581" w:type="pct"/>
          </w:tcPr>
          <w:p w14:paraId="3A9192A2" w14:textId="0F7A86A3" w:rsidR="00790D33" w:rsidRPr="00C106BB" w:rsidRDefault="00790D33" w:rsidP="00FE14E2">
            <w:pPr>
              <w:pStyle w:val="TableBodyText"/>
              <w:jc w:val="right"/>
            </w:pPr>
            <w:r>
              <w:t>%</w:t>
            </w:r>
          </w:p>
        </w:tc>
      </w:tr>
      <w:tr w:rsidR="00790D33" w:rsidRPr="00C106BB" w14:paraId="6E89E1BF" w14:textId="77777777" w:rsidTr="00FE14E2">
        <w:trPr>
          <w:trHeight w:val="20"/>
        </w:trPr>
        <w:tc>
          <w:tcPr>
            <w:tcW w:w="2673" w:type="pct"/>
          </w:tcPr>
          <w:p w14:paraId="3F3F26AF" w14:textId="77777777" w:rsidR="00790D33" w:rsidRPr="00C106BB" w:rsidRDefault="00790D33" w:rsidP="00FE14E2">
            <w:pPr>
              <w:pStyle w:val="TableBodyText"/>
            </w:pPr>
            <w:r w:rsidRPr="00C106BB">
              <w:t>Mapped 5yr ARI</w:t>
            </w:r>
          </w:p>
        </w:tc>
        <w:tc>
          <w:tcPr>
            <w:tcW w:w="582" w:type="pct"/>
          </w:tcPr>
          <w:p w14:paraId="74BBE502" w14:textId="77777777" w:rsidR="00790D33" w:rsidRPr="00C106BB" w:rsidRDefault="00790D33" w:rsidP="00FE14E2">
            <w:pPr>
              <w:pStyle w:val="TableBodyText"/>
              <w:jc w:val="right"/>
            </w:pPr>
            <w:r w:rsidRPr="00C106BB">
              <w:t>507</w:t>
            </w:r>
          </w:p>
        </w:tc>
        <w:tc>
          <w:tcPr>
            <w:tcW w:w="582" w:type="pct"/>
          </w:tcPr>
          <w:p w14:paraId="200DA601" w14:textId="77777777" w:rsidR="00790D33" w:rsidRPr="00C106BB" w:rsidRDefault="00790D33" w:rsidP="00FE14E2">
            <w:pPr>
              <w:pStyle w:val="TableBodyText"/>
              <w:jc w:val="right"/>
            </w:pPr>
            <w:r w:rsidRPr="00C106BB">
              <w:t>502</w:t>
            </w:r>
          </w:p>
        </w:tc>
        <w:tc>
          <w:tcPr>
            <w:tcW w:w="582" w:type="pct"/>
          </w:tcPr>
          <w:p w14:paraId="725E31BA" w14:textId="77777777" w:rsidR="00790D33" w:rsidRPr="00C106BB" w:rsidRDefault="00790D33" w:rsidP="00FE14E2">
            <w:pPr>
              <w:pStyle w:val="TableBodyText"/>
              <w:jc w:val="right"/>
            </w:pPr>
            <w:r w:rsidRPr="00C106BB">
              <w:t>438</w:t>
            </w:r>
          </w:p>
        </w:tc>
        <w:tc>
          <w:tcPr>
            <w:tcW w:w="581" w:type="pct"/>
          </w:tcPr>
          <w:p w14:paraId="22A6A80E" w14:textId="7D164F90" w:rsidR="00790D33" w:rsidRPr="00C106BB" w:rsidRDefault="002D68ED" w:rsidP="00FE14E2">
            <w:pPr>
              <w:pStyle w:val="TableBodyText"/>
              <w:jc w:val="right"/>
            </w:pPr>
            <w:r>
              <w:t>km</w:t>
            </w:r>
          </w:p>
        </w:tc>
      </w:tr>
      <w:tr w:rsidR="00790D33" w:rsidRPr="00C106BB" w14:paraId="4A2A6FB7" w14:textId="77777777" w:rsidTr="00FE14E2">
        <w:trPr>
          <w:trHeight w:val="20"/>
        </w:trPr>
        <w:tc>
          <w:tcPr>
            <w:tcW w:w="2673" w:type="pct"/>
          </w:tcPr>
          <w:p w14:paraId="3AA65339" w14:textId="48230C2D" w:rsidR="00790D33" w:rsidRPr="00C106BB" w:rsidRDefault="00790D33" w:rsidP="00FE14E2">
            <w:pPr>
              <w:pStyle w:val="TableBodyText"/>
            </w:pPr>
            <w:r>
              <w:t>Percentage Mapped</w:t>
            </w:r>
          </w:p>
        </w:tc>
        <w:tc>
          <w:tcPr>
            <w:tcW w:w="582" w:type="pct"/>
          </w:tcPr>
          <w:p w14:paraId="19D38ED8" w14:textId="0396FFBB" w:rsidR="00790D33" w:rsidRPr="00C106BB" w:rsidRDefault="00790D33" w:rsidP="00FE14E2">
            <w:pPr>
              <w:pStyle w:val="TableBodyText"/>
              <w:jc w:val="right"/>
            </w:pPr>
            <w:r>
              <w:t>8</w:t>
            </w:r>
          </w:p>
        </w:tc>
        <w:tc>
          <w:tcPr>
            <w:tcW w:w="582" w:type="pct"/>
          </w:tcPr>
          <w:p w14:paraId="1881ACFD" w14:textId="52DD5331" w:rsidR="00790D33" w:rsidRPr="00C106BB" w:rsidRDefault="00790D33" w:rsidP="00FE14E2">
            <w:pPr>
              <w:pStyle w:val="TableBodyText"/>
              <w:jc w:val="right"/>
            </w:pPr>
            <w:r>
              <w:t>8</w:t>
            </w:r>
          </w:p>
        </w:tc>
        <w:tc>
          <w:tcPr>
            <w:tcW w:w="582" w:type="pct"/>
          </w:tcPr>
          <w:p w14:paraId="4E53943B" w14:textId="0FCD69BA" w:rsidR="00790D33" w:rsidRPr="00C106BB" w:rsidRDefault="00790D33" w:rsidP="00FE14E2">
            <w:pPr>
              <w:pStyle w:val="TableBodyText"/>
              <w:jc w:val="right"/>
            </w:pPr>
            <w:r>
              <w:t>7</w:t>
            </w:r>
          </w:p>
        </w:tc>
        <w:tc>
          <w:tcPr>
            <w:tcW w:w="581" w:type="pct"/>
          </w:tcPr>
          <w:p w14:paraId="776A757F" w14:textId="565DBFC3" w:rsidR="00790D33" w:rsidRPr="00C106BB" w:rsidRDefault="00790D33" w:rsidP="00FE14E2">
            <w:pPr>
              <w:pStyle w:val="TableBodyText"/>
              <w:jc w:val="right"/>
            </w:pPr>
            <w:r>
              <w:t>%</w:t>
            </w:r>
          </w:p>
        </w:tc>
      </w:tr>
      <w:tr w:rsidR="004D3985" w:rsidRPr="00C106BB" w14:paraId="36B1951E" w14:textId="77777777" w:rsidTr="00FE14E2">
        <w:trPr>
          <w:trHeight w:val="20"/>
        </w:trPr>
        <w:tc>
          <w:tcPr>
            <w:tcW w:w="2673" w:type="pct"/>
          </w:tcPr>
          <w:p w14:paraId="74191153" w14:textId="19953899" w:rsidR="004D3985" w:rsidRPr="004D3985" w:rsidRDefault="004D3985" w:rsidP="00FE14E2">
            <w:pPr>
              <w:pStyle w:val="TableBodyText"/>
              <w:rPr>
                <w:rStyle w:val="Bold"/>
              </w:rPr>
            </w:pPr>
            <w:r w:rsidRPr="004D3985">
              <w:rPr>
                <w:rStyle w:val="Bold"/>
              </w:rPr>
              <w:t>Channels</w:t>
            </w:r>
          </w:p>
        </w:tc>
        <w:tc>
          <w:tcPr>
            <w:tcW w:w="582" w:type="pct"/>
          </w:tcPr>
          <w:p w14:paraId="00BA8D79" w14:textId="6B159E90" w:rsidR="004D3985" w:rsidRPr="00C106BB" w:rsidRDefault="004D3985" w:rsidP="00FE14E2">
            <w:pPr>
              <w:pStyle w:val="TableBodyText"/>
              <w:jc w:val="right"/>
            </w:pPr>
            <w:r>
              <w:t>N/A</w:t>
            </w:r>
          </w:p>
        </w:tc>
        <w:tc>
          <w:tcPr>
            <w:tcW w:w="582" w:type="pct"/>
          </w:tcPr>
          <w:p w14:paraId="0FD2193A" w14:textId="49E4F848" w:rsidR="004D3985" w:rsidRPr="00C106BB" w:rsidRDefault="004D3985" w:rsidP="00FE14E2">
            <w:pPr>
              <w:pStyle w:val="TableBodyText"/>
              <w:jc w:val="right"/>
            </w:pPr>
            <w:r w:rsidRPr="00690A12">
              <w:t>N/A</w:t>
            </w:r>
          </w:p>
        </w:tc>
        <w:tc>
          <w:tcPr>
            <w:tcW w:w="582" w:type="pct"/>
          </w:tcPr>
          <w:p w14:paraId="0A1E7761" w14:textId="7015BBFE" w:rsidR="004D3985" w:rsidRPr="00C106BB" w:rsidRDefault="004D3985" w:rsidP="00FE14E2">
            <w:pPr>
              <w:pStyle w:val="TableBodyText"/>
              <w:jc w:val="right"/>
            </w:pPr>
            <w:r w:rsidRPr="00690A12">
              <w:t>N/A</w:t>
            </w:r>
          </w:p>
        </w:tc>
        <w:tc>
          <w:tcPr>
            <w:tcW w:w="581" w:type="pct"/>
          </w:tcPr>
          <w:p w14:paraId="4DD670C8" w14:textId="0CD9F750" w:rsidR="004D3985" w:rsidRPr="00C106BB" w:rsidRDefault="004D3985" w:rsidP="00FE14E2">
            <w:pPr>
              <w:pStyle w:val="TableBodyText"/>
              <w:jc w:val="right"/>
            </w:pPr>
            <w:r w:rsidRPr="00690A12">
              <w:t>N/A</w:t>
            </w:r>
          </w:p>
        </w:tc>
      </w:tr>
      <w:tr w:rsidR="00790D33" w:rsidRPr="00C106BB" w14:paraId="688AFC2D" w14:textId="77777777" w:rsidTr="00FE14E2">
        <w:trPr>
          <w:trHeight w:val="20"/>
        </w:trPr>
        <w:tc>
          <w:tcPr>
            <w:tcW w:w="2673" w:type="pct"/>
          </w:tcPr>
          <w:p w14:paraId="515626D8" w14:textId="77777777" w:rsidR="00790D33" w:rsidRPr="00C106BB" w:rsidRDefault="00790D33" w:rsidP="00FE14E2">
            <w:pPr>
              <w:pStyle w:val="TableBodyText"/>
            </w:pPr>
            <w:r w:rsidRPr="00C106BB">
              <w:t>Total length of Melbourne Water channels</w:t>
            </w:r>
          </w:p>
        </w:tc>
        <w:tc>
          <w:tcPr>
            <w:tcW w:w="582" w:type="pct"/>
          </w:tcPr>
          <w:p w14:paraId="711D07BB" w14:textId="77777777" w:rsidR="00790D33" w:rsidRPr="00C106BB" w:rsidRDefault="00790D33" w:rsidP="00FE14E2">
            <w:pPr>
              <w:pStyle w:val="TableBodyText"/>
              <w:jc w:val="right"/>
            </w:pPr>
            <w:r w:rsidRPr="00C106BB">
              <w:t>1971</w:t>
            </w:r>
          </w:p>
        </w:tc>
        <w:tc>
          <w:tcPr>
            <w:tcW w:w="582" w:type="pct"/>
          </w:tcPr>
          <w:p w14:paraId="0271AFE7" w14:textId="77777777" w:rsidR="00790D33" w:rsidRPr="00C106BB" w:rsidRDefault="00790D33" w:rsidP="00FE14E2">
            <w:pPr>
              <w:pStyle w:val="TableBodyText"/>
              <w:jc w:val="right"/>
            </w:pPr>
            <w:r w:rsidRPr="00C106BB">
              <w:t>1885</w:t>
            </w:r>
          </w:p>
        </w:tc>
        <w:tc>
          <w:tcPr>
            <w:tcW w:w="582" w:type="pct"/>
          </w:tcPr>
          <w:p w14:paraId="6C26BB17" w14:textId="77777777" w:rsidR="00790D33" w:rsidRPr="00C106BB" w:rsidRDefault="00790D33" w:rsidP="00FE14E2">
            <w:pPr>
              <w:pStyle w:val="TableBodyText"/>
              <w:jc w:val="right"/>
            </w:pPr>
            <w:r w:rsidRPr="00C106BB">
              <w:t>1870</w:t>
            </w:r>
          </w:p>
        </w:tc>
        <w:tc>
          <w:tcPr>
            <w:tcW w:w="581" w:type="pct"/>
          </w:tcPr>
          <w:p w14:paraId="24E461DC" w14:textId="4A225DB7" w:rsidR="00790D33" w:rsidRPr="00C106BB" w:rsidRDefault="00790D33" w:rsidP="00FE14E2">
            <w:pPr>
              <w:pStyle w:val="TableBodyText"/>
              <w:jc w:val="right"/>
            </w:pPr>
            <w:r>
              <w:t>km</w:t>
            </w:r>
          </w:p>
        </w:tc>
      </w:tr>
      <w:tr w:rsidR="00790D33" w:rsidRPr="00C106BB" w14:paraId="2A326F80" w14:textId="77777777" w:rsidTr="00FE14E2">
        <w:trPr>
          <w:trHeight w:val="20"/>
        </w:trPr>
        <w:tc>
          <w:tcPr>
            <w:tcW w:w="2673" w:type="pct"/>
          </w:tcPr>
          <w:p w14:paraId="36F94096" w14:textId="77777777" w:rsidR="00790D33" w:rsidRPr="00C106BB" w:rsidRDefault="00790D33" w:rsidP="00FE14E2">
            <w:pPr>
              <w:pStyle w:val="TableBodyText"/>
            </w:pPr>
            <w:r w:rsidRPr="00C106BB">
              <w:t>Mapped 100yr ARI (underground drains)</w:t>
            </w:r>
          </w:p>
        </w:tc>
        <w:tc>
          <w:tcPr>
            <w:tcW w:w="582" w:type="pct"/>
          </w:tcPr>
          <w:p w14:paraId="132F8619" w14:textId="77777777" w:rsidR="00790D33" w:rsidRPr="00C106BB" w:rsidRDefault="00790D33" w:rsidP="00FE14E2">
            <w:pPr>
              <w:pStyle w:val="TableBodyText"/>
              <w:jc w:val="right"/>
            </w:pPr>
            <w:r w:rsidRPr="00C106BB">
              <w:t>99</w:t>
            </w:r>
          </w:p>
        </w:tc>
        <w:tc>
          <w:tcPr>
            <w:tcW w:w="582" w:type="pct"/>
          </w:tcPr>
          <w:p w14:paraId="02DB2D64" w14:textId="77777777" w:rsidR="00790D33" w:rsidRPr="00C106BB" w:rsidRDefault="00790D33" w:rsidP="00FE14E2">
            <w:pPr>
              <w:pStyle w:val="TableBodyText"/>
              <w:jc w:val="right"/>
            </w:pPr>
            <w:r w:rsidRPr="00C106BB">
              <w:t>128</w:t>
            </w:r>
          </w:p>
        </w:tc>
        <w:tc>
          <w:tcPr>
            <w:tcW w:w="582" w:type="pct"/>
          </w:tcPr>
          <w:p w14:paraId="309AC2FD" w14:textId="77777777" w:rsidR="00790D33" w:rsidRPr="00C106BB" w:rsidRDefault="00790D33" w:rsidP="00FE14E2">
            <w:pPr>
              <w:pStyle w:val="TableBodyText"/>
              <w:jc w:val="right"/>
            </w:pPr>
            <w:r w:rsidRPr="00C106BB">
              <w:t>115</w:t>
            </w:r>
          </w:p>
        </w:tc>
        <w:tc>
          <w:tcPr>
            <w:tcW w:w="581" w:type="pct"/>
          </w:tcPr>
          <w:p w14:paraId="3C37227A" w14:textId="0FFB6EA7" w:rsidR="00790D33" w:rsidRPr="00C106BB" w:rsidRDefault="004D3985" w:rsidP="00FE14E2">
            <w:pPr>
              <w:pStyle w:val="TableBodyText"/>
              <w:jc w:val="right"/>
            </w:pPr>
            <w:r>
              <w:t>km</w:t>
            </w:r>
          </w:p>
        </w:tc>
      </w:tr>
      <w:tr w:rsidR="00790D33" w:rsidRPr="00C106BB" w14:paraId="5740747D" w14:textId="77777777" w:rsidTr="00FE14E2">
        <w:trPr>
          <w:trHeight w:val="20"/>
        </w:trPr>
        <w:tc>
          <w:tcPr>
            <w:tcW w:w="2673" w:type="pct"/>
          </w:tcPr>
          <w:p w14:paraId="062324A4" w14:textId="727D5694" w:rsidR="00790D33" w:rsidRPr="00C106BB" w:rsidRDefault="00790D33" w:rsidP="00FE14E2">
            <w:pPr>
              <w:pStyle w:val="TableBodyText"/>
            </w:pPr>
            <w:r>
              <w:t>Percentage Mapped</w:t>
            </w:r>
          </w:p>
        </w:tc>
        <w:tc>
          <w:tcPr>
            <w:tcW w:w="582" w:type="pct"/>
          </w:tcPr>
          <w:p w14:paraId="0D4167B8" w14:textId="1EE738E4" w:rsidR="00790D33" w:rsidRPr="00C106BB" w:rsidRDefault="004D3985" w:rsidP="00FE14E2">
            <w:pPr>
              <w:pStyle w:val="TableBodyText"/>
              <w:jc w:val="right"/>
            </w:pPr>
            <w:r>
              <w:t>N/A</w:t>
            </w:r>
          </w:p>
        </w:tc>
        <w:tc>
          <w:tcPr>
            <w:tcW w:w="582" w:type="pct"/>
          </w:tcPr>
          <w:p w14:paraId="2134C3E7" w14:textId="10F2E144" w:rsidR="00790D33" w:rsidRPr="00C106BB" w:rsidRDefault="004D3985" w:rsidP="00FE14E2">
            <w:pPr>
              <w:pStyle w:val="TableBodyText"/>
              <w:jc w:val="right"/>
            </w:pPr>
            <w:r>
              <w:t>N/A</w:t>
            </w:r>
          </w:p>
        </w:tc>
        <w:tc>
          <w:tcPr>
            <w:tcW w:w="582" w:type="pct"/>
          </w:tcPr>
          <w:p w14:paraId="004C4864" w14:textId="78660E45" w:rsidR="00790D33" w:rsidRPr="00C106BB" w:rsidRDefault="004D3985" w:rsidP="00FE14E2">
            <w:pPr>
              <w:pStyle w:val="TableBodyText"/>
              <w:jc w:val="right"/>
            </w:pPr>
            <w:r>
              <w:t>N/A</w:t>
            </w:r>
          </w:p>
        </w:tc>
        <w:tc>
          <w:tcPr>
            <w:tcW w:w="581" w:type="pct"/>
          </w:tcPr>
          <w:p w14:paraId="0981E525" w14:textId="3FD72F49" w:rsidR="00790D33" w:rsidRPr="00C106BB" w:rsidRDefault="004D3985" w:rsidP="00FE14E2">
            <w:pPr>
              <w:pStyle w:val="TableBodyText"/>
              <w:jc w:val="right"/>
            </w:pPr>
            <w:r>
              <w:t>N/A</w:t>
            </w:r>
          </w:p>
        </w:tc>
      </w:tr>
      <w:tr w:rsidR="00790D33" w:rsidRPr="00C106BB" w14:paraId="0AC13F46" w14:textId="77777777" w:rsidTr="00FE14E2">
        <w:trPr>
          <w:trHeight w:val="20"/>
        </w:trPr>
        <w:tc>
          <w:tcPr>
            <w:tcW w:w="2673" w:type="pct"/>
          </w:tcPr>
          <w:p w14:paraId="6BEC386C" w14:textId="77777777" w:rsidR="00790D33" w:rsidRPr="00C106BB" w:rsidRDefault="00790D33" w:rsidP="00FE14E2">
            <w:pPr>
              <w:pStyle w:val="TableBodyText"/>
            </w:pPr>
            <w:r w:rsidRPr="00C106BB">
              <w:t>Mapped 100yr ARI (waterways)</w:t>
            </w:r>
          </w:p>
        </w:tc>
        <w:tc>
          <w:tcPr>
            <w:tcW w:w="582" w:type="pct"/>
          </w:tcPr>
          <w:p w14:paraId="603D668B" w14:textId="77777777" w:rsidR="00790D33" w:rsidRPr="00C106BB" w:rsidRDefault="00790D33" w:rsidP="00FE14E2">
            <w:pPr>
              <w:pStyle w:val="TableBodyText"/>
              <w:jc w:val="right"/>
            </w:pPr>
            <w:r w:rsidRPr="00C106BB">
              <w:t>1394</w:t>
            </w:r>
          </w:p>
        </w:tc>
        <w:tc>
          <w:tcPr>
            <w:tcW w:w="582" w:type="pct"/>
          </w:tcPr>
          <w:p w14:paraId="74F1FDCF" w14:textId="77777777" w:rsidR="00790D33" w:rsidRPr="00C106BB" w:rsidRDefault="00790D33" w:rsidP="00FE14E2">
            <w:pPr>
              <w:pStyle w:val="TableBodyText"/>
              <w:jc w:val="right"/>
            </w:pPr>
            <w:r w:rsidRPr="00C106BB">
              <w:t>1501</w:t>
            </w:r>
          </w:p>
        </w:tc>
        <w:tc>
          <w:tcPr>
            <w:tcW w:w="582" w:type="pct"/>
          </w:tcPr>
          <w:p w14:paraId="3C3C9E39" w14:textId="77777777" w:rsidR="00790D33" w:rsidRPr="00C106BB" w:rsidRDefault="00790D33" w:rsidP="00FE14E2">
            <w:pPr>
              <w:pStyle w:val="TableBodyText"/>
              <w:jc w:val="right"/>
            </w:pPr>
            <w:r w:rsidRPr="00C106BB">
              <w:t>1344</w:t>
            </w:r>
          </w:p>
        </w:tc>
        <w:tc>
          <w:tcPr>
            <w:tcW w:w="581" w:type="pct"/>
          </w:tcPr>
          <w:p w14:paraId="7C8EBBA2" w14:textId="62AE15AF" w:rsidR="00790D33" w:rsidRPr="00C106BB" w:rsidRDefault="004D3985" w:rsidP="00FE14E2">
            <w:pPr>
              <w:pStyle w:val="TableBodyText"/>
              <w:jc w:val="right"/>
            </w:pPr>
            <w:r>
              <w:t>km</w:t>
            </w:r>
          </w:p>
        </w:tc>
      </w:tr>
      <w:tr w:rsidR="004D3985" w:rsidRPr="00C106BB" w14:paraId="133BFCFB" w14:textId="77777777" w:rsidTr="00FE14E2">
        <w:trPr>
          <w:trHeight w:val="20"/>
        </w:trPr>
        <w:tc>
          <w:tcPr>
            <w:tcW w:w="2673" w:type="pct"/>
          </w:tcPr>
          <w:p w14:paraId="11F70615" w14:textId="1B7428B6" w:rsidR="004D3985" w:rsidRPr="00C106BB" w:rsidRDefault="004D3985" w:rsidP="00FE14E2">
            <w:pPr>
              <w:pStyle w:val="TableBodyText"/>
            </w:pPr>
            <w:r>
              <w:t>Percentage Mapped</w:t>
            </w:r>
          </w:p>
        </w:tc>
        <w:tc>
          <w:tcPr>
            <w:tcW w:w="582" w:type="pct"/>
          </w:tcPr>
          <w:p w14:paraId="4CB10A67" w14:textId="18DE9F48" w:rsidR="004D3985" w:rsidRPr="00C106BB" w:rsidRDefault="004D3985" w:rsidP="00FE14E2">
            <w:pPr>
              <w:pStyle w:val="TableBodyText"/>
              <w:jc w:val="right"/>
            </w:pPr>
            <w:r>
              <w:t>N/A</w:t>
            </w:r>
          </w:p>
        </w:tc>
        <w:tc>
          <w:tcPr>
            <w:tcW w:w="582" w:type="pct"/>
          </w:tcPr>
          <w:p w14:paraId="3EE8E2CA" w14:textId="07131935" w:rsidR="004D3985" w:rsidRPr="00C106BB" w:rsidRDefault="004D3985" w:rsidP="00FE14E2">
            <w:pPr>
              <w:pStyle w:val="TableBodyText"/>
              <w:jc w:val="right"/>
            </w:pPr>
            <w:r>
              <w:t>N/A</w:t>
            </w:r>
          </w:p>
        </w:tc>
        <w:tc>
          <w:tcPr>
            <w:tcW w:w="582" w:type="pct"/>
          </w:tcPr>
          <w:p w14:paraId="07514344" w14:textId="3A232C2D" w:rsidR="004D3985" w:rsidRPr="00C106BB" w:rsidRDefault="004D3985" w:rsidP="00FE14E2">
            <w:pPr>
              <w:pStyle w:val="TableBodyText"/>
              <w:jc w:val="right"/>
            </w:pPr>
            <w:r>
              <w:t>N/A</w:t>
            </w:r>
          </w:p>
        </w:tc>
        <w:tc>
          <w:tcPr>
            <w:tcW w:w="581" w:type="pct"/>
          </w:tcPr>
          <w:p w14:paraId="538E400C" w14:textId="23E35447" w:rsidR="004D3985" w:rsidRPr="00C106BB" w:rsidRDefault="004D3985" w:rsidP="00FE14E2">
            <w:pPr>
              <w:pStyle w:val="TableBodyText"/>
              <w:jc w:val="right"/>
            </w:pPr>
            <w:r>
              <w:t>N/A</w:t>
            </w:r>
          </w:p>
        </w:tc>
      </w:tr>
      <w:tr w:rsidR="00790D33" w:rsidRPr="00C106BB" w14:paraId="4FDA583D" w14:textId="77777777" w:rsidTr="00FE14E2">
        <w:trPr>
          <w:trHeight w:val="20"/>
        </w:trPr>
        <w:tc>
          <w:tcPr>
            <w:tcW w:w="2673" w:type="pct"/>
          </w:tcPr>
          <w:p w14:paraId="32A51900" w14:textId="77777777" w:rsidR="00790D33" w:rsidRPr="00C106BB" w:rsidRDefault="00790D33" w:rsidP="00FE14E2">
            <w:pPr>
              <w:pStyle w:val="TableBodyText"/>
            </w:pPr>
            <w:r w:rsidRPr="00C106BB">
              <w:t>Mapped 100yr ARI (total)</w:t>
            </w:r>
          </w:p>
        </w:tc>
        <w:tc>
          <w:tcPr>
            <w:tcW w:w="582" w:type="pct"/>
          </w:tcPr>
          <w:p w14:paraId="02BCF42A" w14:textId="77777777" w:rsidR="00790D33" w:rsidRPr="00C106BB" w:rsidRDefault="00790D33" w:rsidP="00FE14E2">
            <w:pPr>
              <w:pStyle w:val="TableBodyText"/>
              <w:jc w:val="right"/>
            </w:pPr>
            <w:r w:rsidRPr="00C106BB">
              <w:t>1493</w:t>
            </w:r>
          </w:p>
        </w:tc>
        <w:tc>
          <w:tcPr>
            <w:tcW w:w="582" w:type="pct"/>
          </w:tcPr>
          <w:p w14:paraId="73712CEB" w14:textId="77777777" w:rsidR="00790D33" w:rsidRPr="00C106BB" w:rsidRDefault="00790D33" w:rsidP="00FE14E2">
            <w:pPr>
              <w:pStyle w:val="TableBodyText"/>
              <w:jc w:val="right"/>
            </w:pPr>
            <w:r w:rsidRPr="00C106BB">
              <w:t>1629</w:t>
            </w:r>
          </w:p>
        </w:tc>
        <w:tc>
          <w:tcPr>
            <w:tcW w:w="582" w:type="pct"/>
          </w:tcPr>
          <w:p w14:paraId="291A00DF" w14:textId="77777777" w:rsidR="00790D33" w:rsidRPr="00C106BB" w:rsidRDefault="00790D33" w:rsidP="00FE14E2">
            <w:pPr>
              <w:pStyle w:val="TableBodyText"/>
              <w:jc w:val="right"/>
            </w:pPr>
            <w:r w:rsidRPr="00C106BB">
              <w:t>1459</w:t>
            </w:r>
          </w:p>
        </w:tc>
        <w:tc>
          <w:tcPr>
            <w:tcW w:w="581" w:type="pct"/>
          </w:tcPr>
          <w:p w14:paraId="65A04094" w14:textId="74D7F408" w:rsidR="00790D33" w:rsidRPr="00C106BB" w:rsidRDefault="004D3985" w:rsidP="00FE14E2">
            <w:pPr>
              <w:pStyle w:val="TableBodyText"/>
              <w:jc w:val="right"/>
            </w:pPr>
            <w:r>
              <w:t>km</w:t>
            </w:r>
          </w:p>
        </w:tc>
      </w:tr>
      <w:tr w:rsidR="00790D33" w:rsidRPr="00C106BB" w14:paraId="1D2EDC06" w14:textId="77777777" w:rsidTr="00FE14E2">
        <w:trPr>
          <w:trHeight w:val="20"/>
        </w:trPr>
        <w:tc>
          <w:tcPr>
            <w:tcW w:w="2673" w:type="pct"/>
          </w:tcPr>
          <w:p w14:paraId="0677FA46" w14:textId="2218D0B5" w:rsidR="00790D33" w:rsidRPr="00C106BB" w:rsidRDefault="004D3985" w:rsidP="00FE14E2">
            <w:pPr>
              <w:pStyle w:val="TableBodyText"/>
            </w:pPr>
            <w:r>
              <w:lastRenderedPageBreak/>
              <w:t>Percentage Mapped</w:t>
            </w:r>
          </w:p>
        </w:tc>
        <w:tc>
          <w:tcPr>
            <w:tcW w:w="582" w:type="pct"/>
          </w:tcPr>
          <w:p w14:paraId="43C9084D" w14:textId="2D4BADAB" w:rsidR="00790D33" w:rsidRPr="00C106BB" w:rsidRDefault="004D3985" w:rsidP="00FE14E2">
            <w:pPr>
              <w:pStyle w:val="TableBodyText"/>
              <w:jc w:val="right"/>
            </w:pPr>
            <w:r>
              <w:t>76</w:t>
            </w:r>
          </w:p>
        </w:tc>
        <w:tc>
          <w:tcPr>
            <w:tcW w:w="582" w:type="pct"/>
          </w:tcPr>
          <w:p w14:paraId="2CB2E529" w14:textId="30CF72D5" w:rsidR="00790D33" w:rsidRPr="00C106BB" w:rsidRDefault="004D3985" w:rsidP="00FE14E2">
            <w:pPr>
              <w:pStyle w:val="TableBodyText"/>
              <w:jc w:val="right"/>
            </w:pPr>
            <w:r>
              <w:t>86</w:t>
            </w:r>
          </w:p>
        </w:tc>
        <w:tc>
          <w:tcPr>
            <w:tcW w:w="582" w:type="pct"/>
          </w:tcPr>
          <w:p w14:paraId="45D798AC" w14:textId="26AA1424" w:rsidR="00790D33" w:rsidRPr="00C106BB" w:rsidRDefault="004D3985" w:rsidP="00FE14E2">
            <w:pPr>
              <w:pStyle w:val="TableBodyText"/>
              <w:jc w:val="right"/>
            </w:pPr>
            <w:r>
              <w:t>78</w:t>
            </w:r>
          </w:p>
        </w:tc>
        <w:tc>
          <w:tcPr>
            <w:tcW w:w="581" w:type="pct"/>
          </w:tcPr>
          <w:p w14:paraId="7B08D70C" w14:textId="65D3653E" w:rsidR="00790D33" w:rsidRPr="00C106BB" w:rsidRDefault="004D3985" w:rsidP="00FE14E2">
            <w:pPr>
              <w:pStyle w:val="TableBodyText"/>
              <w:jc w:val="right"/>
            </w:pPr>
            <w:r>
              <w:t>%</w:t>
            </w:r>
          </w:p>
        </w:tc>
      </w:tr>
      <w:tr w:rsidR="004D3985" w:rsidRPr="00C106BB" w14:paraId="034B2926" w14:textId="77777777" w:rsidTr="00FE14E2">
        <w:trPr>
          <w:trHeight w:val="20"/>
        </w:trPr>
        <w:tc>
          <w:tcPr>
            <w:tcW w:w="2673" w:type="pct"/>
          </w:tcPr>
          <w:p w14:paraId="5F23D44E" w14:textId="45483CA0" w:rsidR="004D3985" w:rsidRPr="004D3985" w:rsidRDefault="004D3985" w:rsidP="00FE14E2">
            <w:pPr>
              <w:pStyle w:val="TableBodyText"/>
              <w:rPr>
                <w:rStyle w:val="Bold"/>
              </w:rPr>
            </w:pPr>
            <w:r w:rsidRPr="004D3985">
              <w:rPr>
                <w:rStyle w:val="Bold"/>
              </w:rPr>
              <w:t>Total</w:t>
            </w:r>
          </w:p>
        </w:tc>
        <w:tc>
          <w:tcPr>
            <w:tcW w:w="582" w:type="pct"/>
          </w:tcPr>
          <w:p w14:paraId="7C94A95F" w14:textId="586C2493" w:rsidR="004D3985" w:rsidRPr="00C106BB" w:rsidRDefault="004D3985" w:rsidP="00FE14E2">
            <w:pPr>
              <w:pStyle w:val="TableBodyText"/>
              <w:jc w:val="right"/>
            </w:pPr>
            <w:r w:rsidRPr="002F786F">
              <w:t>N/A</w:t>
            </w:r>
          </w:p>
        </w:tc>
        <w:tc>
          <w:tcPr>
            <w:tcW w:w="582" w:type="pct"/>
          </w:tcPr>
          <w:p w14:paraId="6E329712" w14:textId="47C3EE1F" w:rsidR="004D3985" w:rsidRPr="00C106BB" w:rsidRDefault="004D3985" w:rsidP="00FE14E2">
            <w:pPr>
              <w:pStyle w:val="TableBodyText"/>
              <w:jc w:val="right"/>
            </w:pPr>
            <w:r w:rsidRPr="002F786F">
              <w:t>N/A</w:t>
            </w:r>
          </w:p>
        </w:tc>
        <w:tc>
          <w:tcPr>
            <w:tcW w:w="582" w:type="pct"/>
          </w:tcPr>
          <w:p w14:paraId="25DA8D98" w14:textId="4293097B" w:rsidR="004D3985" w:rsidRPr="00C106BB" w:rsidRDefault="004D3985" w:rsidP="00FE14E2">
            <w:pPr>
              <w:pStyle w:val="TableBodyText"/>
              <w:jc w:val="right"/>
            </w:pPr>
            <w:r w:rsidRPr="002F786F">
              <w:t>N/A</w:t>
            </w:r>
          </w:p>
        </w:tc>
        <w:tc>
          <w:tcPr>
            <w:tcW w:w="581" w:type="pct"/>
          </w:tcPr>
          <w:p w14:paraId="4C76C407" w14:textId="1DDF94F1" w:rsidR="004D3985" w:rsidRPr="00C106BB" w:rsidRDefault="004D3985" w:rsidP="00FE14E2">
            <w:pPr>
              <w:pStyle w:val="TableBodyText"/>
              <w:jc w:val="right"/>
            </w:pPr>
            <w:r w:rsidRPr="002F786F">
              <w:t>N/A</w:t>
            </w:r>
          </w:p>
        </w:tc>
      </w:tr>
      <w:tr w:rsidR="00790D33" w:rsidRPr="00C106BB" w14:paraId="456CA078" w14:textId="77777777" w:rsidTr="00FE14E2">
        <w:trPr>
          <w:trHeight w:val="20"/>
        </w:trPr>
        <w:tc>
          <w:tcPr>
            <w:tcW w:w="2673" w:type="pct"/>
          </w:tcPr>
          <w:p w14:paraId="1B0E6C14" w14:textId="77777777" w:rsidR="00790D33" w:rsidRPr="00C106BB" w:rsidRDefault="00790D33" w:rsidP="00FE14E2">
            <w:pPr>
              <w:pStyle w:val="TableBodyText"/>
            </w:pPr>
            <w:r w:rsidRPr="00C106BB">
              <w:t>Total length of Melbourne Water assets</w:t>
            </w:r>
          </w:p>
        </w:tc>
        <w:tc>
          <w:tcPr>
            <w:tcW w:w="582" w:type="pct"/>
          </w:tcPr>
          <w:p w14:paraId="13550CA4" w14:textId="77777777" w:rsidR="00790D33" w:rsidRPr="00C106BB" w:rsidRDefault="00790D33" w:rsidP="00FE14E2">
            <w:pPr>
              <w:pStyle w:val="TableBodyText"/>
              <w:jc w:val="right"/>
            </w:pPr>
            <w:r w:rsidRPr="00C106BB">
              <w:t>12,414</w:t>
            </w:r>
          </w:p>
        </w:tc>
        <w:tc>
          <w:tcPr>
            <w:tcW w:w="582" w:type="pct"/>
          </w:tcPr>
          <w:p w14:paraId="6D47506D" w14:textId="77777777" w:rsidR="00790D33" w:rsidRPr="00C106BB" w:rsidRDefault="00790D33" w:rsidP="00FE14E2">
            <w:pPr>
              <w:pStyle w:val="TableBodyText"/>
              <w:jc w:val="right"/>
            </w:pPr>
            <w:r w:rsidRPr="00C106BB">
              <w:t>12,301</w:t>
            </w:r>
          </w:p>
        </w:tc>
        <w:tc>
          <w:tcPr>
            <w:tcW w:w="582" w:type="pct"/>
          </w:tcPr>
          <w:p w14:paraId="7029561E" w14:textId="77777777" w:rsidR="00790D33" w:rsidRPr="00C106BB" w:rsidRDefault="00790D33" w:rsidP="00FE14E2">
            <w:pPr>
              <w:pStyle w:val="TableBodyText"/>
              <w:jc w:val="right"/>
            </w:pPr>
            <w:r w:rsidRPr="00C106BB">
              <w:t>12,258</w:t>
            </w:r>
          </w:p>
        </w:tc>
        <w:tc>
          <w:tcPr>
            <w:tcW w:w="581" w:type="pct"/>
          </w:tcPr>
          <w:p w14:paraId="7CD9AA71" w14:textId="6BD0C4F2" w:rsidR="00790D33" w:rsidRPr="00C106BB" w:rsidRDefault="004D3985" w:rsidP="00FE14E2">
            <w:pPr>
              <w:pStyle w:val="TableBodyText"/>
              <w:jc w:val="right"/>
            </w:pPr>
            <w:r>
              <w:t>km</w:t>
            </w:r>
          </w:p>
        </w:tc>
      </w:tr>
      <w:tr w:rsidR="00790D33" w:rsidRPr="00C106BB" w14:paraId="56213653" w14:textId="77777777" w:rsidTr="00FE14E2">
        <w:trPr>
          <w:trHeight w:val="20"/>
        </w:trPr>
        <w:tc>
          <w:tcPr>
            <w:tcW w:w="2673" w:type="pct"/>
          </w:tcPr>
          <w:p w14:paraId="7354F954" w14:textId="77777777" w:rsidR="00790D33" w:rsidRPr="00C106BB" w:rsidRDefault="00790D33" w:rsidP="00FE14E2">
            <w:pPr>
              <w:pStyle w:val="TableBodyText"/>
            </w:pPr>
            <w:r w:rsidRPr="00C106BB">
              <w:t>Total length of Melbourne Water assets excluding drainage scheme areas, forested areas and French Island</w:t>
            </w:r>
          </w:p>
        </w:tc>
        <w:tc>
          <w:tcPr>
            <w:tcW w:w="582" w:type="pct"/>
          </w:tcPr>
          <w:p w14:paraId="1DEDEE46" w14:textId="77777777" w:rsidR="00790D33" w:rsidRPr="00C106BB" w:rsidRDefault="00790D33" w:rsidP="00FE14E2">
            <w:pPr>
              <w:pStyle w:val="TableBodyText"/>
              <w:jc w:val="right"/>
            </w:pPr>
            <w:r w:rsidRPr="00C106BB">
              <w:t>9606</w:t>
            </w:r>
          </w:p>
        </w:tc>
        <w:tc>
          <w:tcPr>
            <w:tcW w:w="582" w:type="pct"/>
          </w:tcPr>
          <w:p w14:paraId="2097C90E" w14:textId="77777777" w:rsidR="00790D33" w:rsidRPr="00C106BB" w:rsidRDefault="00790D33" w:rsidP="00FE14E2">
            <w:pPr>
              <w:pStyle w:val="TableBodyText"/>
              <w:jc w:val="right"/>
            </w:pPr>
            <w:r w:rsidRPr="00C106BB">
              <w:t>9580</w:t>
            </w:r>
          </w:p>
        </w:tc>
        <w:tc>
          <w:tcPr>
            <w:tcW w:w="582" w:type="pct"/>
          </w:tcPr>
          <w:p w14:paraId="4310E84F" w14:textId="77777777" w:rsidR="00790D33" w:rsidRPr="00C106BB" w:rsidRDefault="00790D33" w:rsidP="00FE14E2">
            <w:pPr>
              <w:pStyle w:val="TableBodyText"/>
              <w:jc w:val="right"/>
            </w:pPr>
            <w:r w:rsidRPr="00C106BB">
              <w:t>9478</w:t>
            </w:r>
          </w:p>
        </w:tc>
        <w:tc>
          <w:tcPr>
            <w:tcW w:w="581" w:type="pct"/>
          </w:tcPr>
          <w:p w14:paraId="7AACE6DA" w14:textId="4A7523B7" w:rsidR="00790D33" w:rsidRPr="00C106BB" w:rsidRDefault="004D3985" w:rsidP="00FE14E2">
            <w:pPr>
              <w:pStyle w:val="TableBodyText"/>
              <w:jc w:val="right"/>
            </w:pPr>
            <w:r>
              <w:t>km</w:t>
            </w:r>
          </w:p>
        </w:tc>
      </w:tr>
      <w:tr w:rsidR="004D3985" w:rsidRPr="00C106BB" w14:paraId="19D692AA" w14:textId="77777777" w:rsidTr="00FE14E2">
        <w:trPr>
          <w:trHeight w:val="20"/>
        </w:trPr>
        <w:tc>
          <w:tcPr>
            <w:tcW w:w="2673" w:type="pct"/>
          </w:tcPr>
          <w:p w14:paraId="026833CB" w14:textId="55589765" w:rsidR="004D3985" w:rsidRPr="00C106BB" w:rsidRDefault="004D3985" w:rsidP="00FE14E2">
            <w:pPr>
              <w:pStyle w:val="TableBodyText"/>
            </w:pPr>
            <w:r>
              <w:t>Mapped 100yr ARI</w:t>
            </w:r>
          </w:p>
        </w:tc>
        <w:tc>
          <w:tcPr>
            <w:tcW w:w="582" w:type="pct"/>
          </w:tcPr>
          <w:p w14:paraId="729797B9" w14:textId="6BD780AA" w:rsidR="004D3985" w:rsidRPr="00C106BB" w:rsidRDefault="004D3985" w:rsidP="00FE14E2">
            <w:pPr>
              <w:pStyle w:val="TableBodyText"/>
              <w:jc w:val="right"/>
            </w:pPr>
            <w:r>
              <w:t>6378</w:t>
            </w:r>
          </w:p>
        </w:tc>
        <w:tc>
          <w:tcPr>
            <w:tcW w:w="582" w:type="pct"/>
          </w:tcPr>
          <w:p w14:paraId="3CA48A67" w14:textId="643693C2" w:rsidR="004D3985" w:rsidRPr="00C106BB" w:rsidRDefault="004D3985" w:rsidP="00FE14E2">
            <w:pPr>
              <w:pStyle w:val="TableBodyText"/>
              <w:jc w:val="right"/>
            </w:pPr>
            <w:r>
              <w:t>6497</w:t>
            </w:r>
          </w:p>
        </w:tc>
        <w:tc>
          <w:tcPr>
            <w:tcW w:w="582" w:type="pct"/>
          </w:tcPr>
          <w:p w14:paraId="0F5E651E" w14:textId="27432172" w:rsidR="004D3985" w:rsidRPr="00C106BB" w:rsidRDefault="004D3985" w:rsidP="00FE14E2">
            <w:pPr>
              <w:pStyle w:val="TableBodyText"/>
              <w:jc w:val="right"/>
            </w:pPr>
            <w:r>
              <w:t>6322</w:t>
            </w:r>
          </w:p>
        </w:tc>
        <w:tc>
          <w:tcPr>
            <w:tcW w:w="581" w:type="pct"/>
          </w:tcPr>
          <w:p w14:paraId="3359DF41" w14:textId="007549E6" w:rsidR="004D3985" w:rsidRDefault="004D3985" w:rsidP="00FE14E2">
            <w:pPr>
              <w:pStyle w:val="TableBodyText"/>
              <w:jc w:val="right"/>
            </w:pPr>
            <w:r>
              <w:t>km</w:t>
            </w:r>
          </w:p>
        </w:tc>
      </w:tr>
      <w:tr w:rsidR="004D3985" w:rsidRPr="00C106BB" w14:paraId="7EF1575F" w14:textId="77777777" w:rsidTr="00FE14E2">
        <w:trPr>
          <w:trHeight w:val="20"/>
        </w:trPr>
        <w:tc>
          <w:tcPr>
            <w:tcW w:w="2673" w:type="pct"/>
          </w:tcPr>
          <w:p w14:paraId="36249928" w14:textId="3D97EA19" w:rsidR="004D3985" w:rsidRDefault="004D3985" w:rsidP="00FE14E2">
            <w:pPr>
              <w:pStyle w:val="TableBodyText"/>
            </w:pPr>
            <w:r>
              <w:t>Percentage Mapped</w:t>
            </w:r>
          </w:p>
        </w:tc>
        <w:tc>
          <w:tcPr>
            <w:tcW w:w="582" w:type="pct"/>
          </w:tcPr>
          <w:p w14:paraId="35145AB7" w14:textId="01265D88" w:rsidR="004D3985" w:rsidRDefault="004D3985" w:rsidP="00FE14E2">
            <w:pPr>
              <w:pStyle w:val="TableBodyText"/>
              <w:jc w:val="right"/>
            </w:pPr>
            <w:r>
              <w:t>66</w:t>
            </w:r>
          </w:p>
        </w:tc>
        <w:tc>
          <w:tcPr>
            <w:tcW w:w="582" w:type="pct"/>
          </w:tcPr>
          <w:p w14:paraId="68E8E762" w14:textId="7A9A084A" w:rsidR="004D3985" w:rsidRDefault="004D3985" w:rsidP="00FE14E2">
            <w:pPr>
              <w:pStyle w:val="TableBodyText"/>
              <w:jc w:val="right"/>
            </w:pPr>
            <w:r>
              <w:t>68</w:t>
            </w:r>
          </w:p>
        </w:tc>
        <w:tc>
          <w:tcPr>
            <w:tcW w:w="582" w:type="pct"/>
          </w:tcPr>
          <w:p w14:paraId="4A0190B0" w14:textId="7A18550B" w:rsidR="004D3985" w:rsidRDefault="004D3985" w:rsidP="00FE14E2">
            <w:pPr>
              <w:pStyle w:val="TableBodyText"/>
              <w:jc w:val="right"/>
            </w:pPr>
            <w:r>
              <w:t>67</w:t>
            </w:r>
          </w:p>
        </w:tc>
        <w:tc>
          <w:tcPr>
            <w:tcW w:w="581" w:type="pct"/>
          </w:tcPr>
          <w:p w14:paraId="391893F8" w14:textId="128376F2" w:rsidR="004D3985" w:rsidRDefault="004D3985" w:rsidP="00FE14E2">
            <w:pPr>
              <w:pStyle w:val="TableBodyText"/>
              <w:jc w:val="right"/>
            </w:pPr>
            <w:r>
              <w:t>%</w:t>
            </w:r>
          </w:p>
        </w:tc>
      </w:tr>
    </w:tbl>
    <w:p w14:paraId="2A019A68" w14:textId="1CC63C8E" w:rsidR="004D3985" w:rsidRDefault="004D3985" w:rsidP="00B1710D">
      <w:pPr>
        <w:pStyle w:val="Heading2"/>
        <w:pageBreakBefore/>
      </w:pPr>
      <w:bookmarkStart w:id="1468" w:name="AppendixF"/>
      <w:bookmarkStart w:id="1469" w:name="_Toc89723193"/>
      <w:bookmarkStart w:id="1470" w:name="_Toc89723260"/>
      <w:bookmarkStart w:id="1471" w:name="_Toc89723320"/>
      <w:bookmarkStart w:id="1472" w:name="_Ref89805521"/>
      <w:bookmarkStart w:id="1473" w:name="_Toc89860585"/>
      <w:bookmarkStart w:id="1474" w:name="_Toc89860729"/>
      <w:bookmarkStart w:id="1475" w:name="_Toc90326135"/>
      <w:bookmarkStart w:id="1476" w:name="_Toc93659541"/>
      <w:r>
        <w:lastRenderedPageBreak/>
        <w:t>Appendix F</w:t>
      </w:r>
      <w:bookmarkEnd w:id="1468"/>
      <w:r>
        <w:t xml:space="preserve"> – Communication on Progress, </w:t>
      </w:r>
      <w:r w:rsidR="0030196D">
        <w:t>United Nations</w:t>
      </w:r>
      <w:r>
        <w:t xml:space="preserve"> Global Compact</w:t>
      </w:r>
      <w:bookmarkEnd w:id="1469"/>
      <w:bookmarkEnd w:id="1470"/>
      <w:bookmarkEnd w:id="1471"/>
      <w:bookmarkEnd w:id="1472"/>
      <w:bookmarkEnd w:id="1473"/>
      <w:bookmarkEnd w:id="1474"/>
      <w:bookmarkEnd w:id="1475"/>
      <w:bookmarkEnd w:id="1476"/>
    </w:p>
    <w:p w14:paraId="7FD394AC" w14:textId="329544BD" w:rsidR="002904C2" w:rsidRDefault="004D3985" w:rsidP="004D3985">
      <w:pPr>
        <w:pStyle w:val="BodyText"/>
      </w:pPr>
      <w:r>
        <w:t xml:space="preserve">The following index shows where Melbourne Water has reported our policies, programs and actions that align with the 10 principles of the United Nations Global Compact within the </w:t>
      </w:r>
      <w:r w:rsidRPr="004D3985">
        <w:rPr>
          <w:rStyle w:val="ItalicText"/>
        </w:rPr>
        <w:t>2020-21 Annual Report</w:t>
      </w:r>
      <w:r>
        <w:t>.</w:t>
      </w:r>
    </w:p>
    <w:p w14:paraId="237AE778" w14:textId="60E1134A" w:rsidR="00B634CD" w:rsidRDefault="00B634CD" w:rsidP="00B634CD">
      <w:pPr>
        <w:pStyle w:val="Heading3"/>
      </w:pPr>
      <w:bookmarkStart w:id="1477" w:name="_Toc90326136"/>
      <w:bookmarkStart w:id="1478" w:name="_Toc93659542"/>
      <w:r>
        <w:t>Global Compact – Human Rights</w:t>
      </w:r>
      <w:bookmarkEnd w:id="1477"/>
      <w:bookmarkEnd w:id="1478"/>
    </w:p>
    <w:tbl>
      <w:tblPr>
        <w:tblStyle w:val="Style1"/>
        <w:tblW w:w="0" w:type="auto"/>
        <w:tblLook w:val="04A0" w:firstRow="1" w:lastRow="0" w:firstColumn="1" w:lastColumn="0" w:noHBand="0" w:noVBand="1"/>
      </w:tblPr>
      <w:tblGrid>
        <w:gridCol w:w="7797"/>
        <w:gridCol w:w="1834"/>
      </w:tblGrid>
      <w:tr w:rsidR="00C65421" w:rsidRPr="008B0447" w14:paraId="1580DA6C" w14:textId="77777777" w:rsidTr="006A49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Borders>
              <w:top w:val="single" w:sz="4" w:space="0" w:color="auto"/>
            </w:tcBorders>
            <w:vAlign w:val="bottom"/>
          </w:tcPr>
          <w:p w14:paraId="1689CD80" w14:textId="4CF42F00" w:rsidR="00C65421" w:rsidRPr="00B634CD" w:rsidRDefault="00C65421" w:rsidP="006A4985">
            <w:pPr>
              <w:rPr>
                <w:szCs w:val="18"/>
              </w:rPr>
            </w:pPr>
            <w:bookmarkStart w:id="1479" w:name="ColumnTitle_126"/>
            <w:r>
              <w:rPr>
                <w:szCs w:val="18"/>
              </w:rPr>
              <w:t>Principles and Description</w:t>
            </w:r>
          </w:p>
        </w:tc>
        <w:tc>
          <w:tcPr>
            <w:tcW w:w="1834" w:type="dxa"/>
            <w:tcBorders>
              <w:top w:val="single" w:sz="4" w:space="0" w:color="auto"/>
            </w:tcBorders>
            <w:vAlign w:val="bottom"/>
          </w:tcPr>
          <w:p w14:paraId="3F9D6D8F" w14:textId="29397779" w:rsidR="00C65421" w:rsidRPr="00B634CD" w:rsidRDefault="00C65421" w:rsidP="006A4985">
            <w:pPr>
              <w:cnfStyle w:val="100000000000" w:firstRow="1" w:lastRow="0" w:firstColumn="0" w:lastColumn="0" w:oddVBand="0" w:evenVBand="0" w:oddHBand="0" w:evenHBand="0" w:firstRowFirstColumn="0" w:firstRowLastColumn="0" w:lastRowFirstColumn="0" w:lastRowLastColumn="0"/>
              <w:rPr>
                <w:szCs w:val="18"/>
              </w:rPr>
            </w:pPr>
            <w:r w:rsidRPr="00B634CD">
              <w:rPr>
                <w:szCs w:val="18"/>
              </w:rPr>
              <w:t>Page Reference</w:t>
            </w:r>
          </w:p>
        </w:tc>
      </w:tr>
      <w:bookmarkEnd w:id="1479"/>
      <w:tr w:rsidR="00C65421" w:rsidRPr="008B0447" w14:paraId="741830F6"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3C6FAC33" w14:textId="77777777" w:rsidR="00C65421" w:rsidRPr="00C65421" w:rsidRDefault="00C65421" w:rsidP="006A4985">
            <w:pPr>
              <w:pStyle w:val="TableBodyText"/>
              <w:rPr>
                <w:rStyle w:val="Bold"/>
              </w:rPr>
            </w:pPr>
            <w:r w:rsidRPr="00C65421">
              <w:rPr>
                <w:rStyle w:val="Bold"/>
              </w:rPr>
              <w:t>Sustainable Development Goals:</w:t>
            </w:r>
          </w:p>
          <w:p w14:paraId="232DF965" w14:textId="77777777" w:rsidR="00C65421" w:rsidRPr="008B0447" w:rsidRDefault="00C65421" w:rsidP="006A4985">
            <w:pPr>
              <w:pStyle w:val="TableBodyText"/>
              <w:rPr>
                <w:szCs w:val="18"/>
              </w:rPr>
            </w:pPr>
            <w:r w:rsidRPr="008B0447">
              <w:rPr>
                <w:szCs w:val="18"/>
              </w:rPr>
              <w:t>1 - No Poverty</w:t>
            </w:r>
          </w:p>
          <w:p w14:paraId="35C55B81" w14:textId="77777777" w:rsidR="00C65421" w:rsidRPr="008B0447" w:rsidRDefault="00C65421" w:rsidP="006A4985">
            <w:pPr>
              <w:pStyle w:val="TableBodyText"/>
              <w:rPr>
                <w:szCs w:val="18"/>
              </w:rPr>
            </w:pPr>
            <w:r w:rsidRPr="008B0447">
              <w:rPr>
                <w:szCs w:val="18"/>
              </w:rPr>
              <w:t>2 – Zero Hunger</w:t>
            </w:r>
          </w:p>
          <w:p w14:paraId="6F542619" w14:textId="77777777" w:rsidR="00C65421" w:rsidRPr="008B0447" w:rsidRDefault="00C65421" w:rsidP="006A4985">
            <w:pPr>
              <w:pStyle w:val="TableBodyText"/>
              <w:rPr>
                <w:szCs w:val="18"/>
              </w:rPr>
            </w:pPr>
            <w:r w:rsidRPr="008B0447">
              <w:rPr>
                <w:szCs w:val="18"/>
              </w:rPr>
              <w:t>3 – Good Health and Well-being</w:t>
            </w:r>
          </w:p>
          <w:p w14:paraId="0A467CCE" w14:textId="77777777" w:rsidR="00C65421" w:rsidRPr="008B0447" w:rsidRDefault="00C65421" w:rsidP="006A4985">
            <w:pPr>
              <w:pStyle w:val="TableBodyText"/>
              <w:rPr>
                <w:szCs w:val="18"/>
              </w:rPr>
            </w:pPr>
            <w:r w:rsidRPr="008B0447">
              <w:rPr>
                <w:szCs w:val="18"/>
              </w:rPr>
              <w:t>4 – Quality Education</w:t>
            </w:r>
          </w:p>
          <w:p w14:paraId="4D2E97B8" w14:textId="77777777" w:rsidR="00C65421" w:rsidRPr="008B0447" w:rsidRDefault="00C65421" w:rsidP="006A4985">
            <w:pPr>
              <w:pStyle w:val="TableBodyText"/>
              <w:rPr>
                <w:szCs w:val="18"/>
              </w:rPr>
            </w:pPr>
            <w:r w:rsidRPr="008B0447">
              <w:rPr>
                <w:szCs w:val="18"/>
              </w:rPr>
              <w:t>5 – Gender Equality</w:t>
            </w:r>
          </w:p>
          <w:p w14:paraId="0F7F401E" w14:textId="77777777" w:rsidR="00C65421" w:rsidRPr="008B0447" w:rsidRDefault="00C65421" w:rsidP="006A4985">
            <w:pPr>
              <w:pStyle w:val="TableBodyText"/>
              <w:rPr>
                <w:szCs w:val="18"/>
              </w:rPr>
            </w:pPr>
            <w:r w:rsidRPr="008B0447">
              <w:rPr>
                <w:szCs w:val="18"/>
              </w:rPr>
              <w:t>8 – Decent Work and Economic Growth</w:t>
            </w:r>
          </w:p>
          <w:p w14:paraId="1FCB834F" w14:textId="77777777" w:rsidR="00C65421" w:rsidRPr="008B0447" w:rsidRDefault="00C65421" w:rsidP="006A4985">
            <w:pPr>
              <w:pStyle w:val="TableBodyText"/>
              <w:rPr>
                <w:szCs w:val="18"/>
              </w:rPr>
            </w:pPr>
            <w:r w:rsidRPr="008B0447">
              <w:rPr>
                <w:szCs w:val="18"/>
              </w:rPr>
              <w:t>10 – Reduced Inequalities</w:t>
            </w:r>
          </w:p>
          <w:p w14:paraId="1776CE50" w14:textId="1500454E" w:rsidR="00C65421" w:rsidRPr="00C65421" w:rsidRDefault="00C65421" w:rsidP="006A4985">
            <w:r w:rsidRPr="008B0447">
              <w:rPr>
                <w:szCs w:val="18"/>
              </w:rPr>
              <w:t>16 – Peace, Justice and Strong Institutions</w:t>
            </w:r>
          </w:p>
        </w:tc>
        <w:tc>
          <w:tcPr>
            <w:tcW w:w="1834" w:type="dxa"/>
            <w:vAlign w:val="top"/>
          </w:tcPr>
          <w:p w14:paraId="43D5973F" w14:textId="296C8CE6" w:rsidR="00C65421" w:rsidRPr="008B0447" w:rsidRDefault="001765EC" w:rsidP="006A4985">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65421" w:rsidRPr="008B0447" w14:paraId="62F75E4F"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2AA79596" w14:textId="77777777" w:rsidR="00C65421" w:rsidRPr="00C65421" w:rsidRDefault="00C65421" w:rsidP="006A4985">
            <w:pPr>
              <w:pStyle w:val="TableBodyText"/>
              <w:rPr>
                <w:rStyle w:val="Bold"/>
              </w:rPr>
            </w:pPr>
            <w:r w:rsidRPr="00C65421">
              <w:rPr>
                <w:rStyle w:val="Bold"/>
              </w:rPr>
              <w:t>Principles:</w:t>
            </w:r>
          </w:p>
          <w:p w14:paraId="7A2255DC" w14:textId="372B3D0B" w:rsidR="00C65421" w:rsidRPr="008B0447" w:rsidRDefault="00C65421" w:rsidP="006A4985">
            <w:pPr>
              <w:pStyle w:val="TableListNumber"/>
            </w:pPr>
            <w:r w:rsidRPr="008B0447">
              <w:t>Businesses should support and respect the protection of internationally proclaimed human rights.</w:t>
            </w:r>
          </w:p>
          <w:p w14:paraId="2492A8BC" w14:textId="568D28E4" w:rsidR="00C65421" w:rsidRPr="008B0447" w:rsidRDefault="00C65421" w:rsidP="006A4985">
            <w:pPr>
              <w:pStyle w:val="TableListNumber"/>
            </w:pPr>
            <w:r w:rsidRPr="008B0447">
              <w:t>Make sure that they are not complicit in human rights abuses.</w:t>
            </w:r>
          </w:p>
        </w:tc>
        <w:tc>
          <w:tcPr>
            <w:tcW w:w="1834" w:type="dxa"/>
            <w:vAlign w:val="top"/>
          </w:tcPr>
          <w:p w14:paraId="29600047" w14:textId="7CF832A6" w:rsidR="00C65421" w:rsidRPr="008B0447" w:rsidRDefault="001765EC" w:rsidP="006A4985">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65421" w:rsidRPr="008B0447" w14:paraId="1820FE0F"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0B514C28" w14:textId="77777777" w:rsidR="001167D5" w:rsidRPr="001167D5" w:rsidRDefault="001167D5" w:rsidP="006A4985">
            <w:pPr>
              <w:pStyle w:val="TableBodyText"/>
              <w:rPr>
                <w:rStyle w:val="Bold"/>
              </w:rPr>
            </w:pPr>
            <w:r w:rsidRPr="001167D5">
              <w:rPr>
                <w:rStyle w:val="Bold"/>
              </w:rPr>
              <w:t>Description:</w:t>
            </w:r>
          </w:p>
          <w:p w14:paraId="0B6A1FD7" w14:textId="6EC80AC0" w:rsidR="00C65421" w:rsidRPr="008B0447" w:rsidRDefault="00C65421" w:rsidP="006A4985">
            <w:pPr>
              <w:pStyle w:val="TableBodyText"/>
              <w:rPr>
                <w:szCs w:val="18"/>
              </w:rPr>
            </w:pPr>
            <w:r w:rsidRPr="008B0447">
              <w:rPr>
                <w:szCs w:val="18"/>
              </w:rPr>
              <w:t>Melbourne Water’s commitment to these principles is demonstrated in our commitment to building a diverse workforce and an inclusive workplace culture, underpinned by the fundamental consideration for the health, safety and wellbeing of our staff, customers and community. This commitment is implemented through the following strategies and programs, detailed within this report:</w:t>
            </w:r>
          </w:p>
        </w:tc>
        <w:tc>
          <w:tcPr>
            <w:tcW w:w="1834" w:type="dxa"/>
            <w:vAlign w:val="top"/>
          </w:tcPr>
          <w:p w14:paraId="01543FD2" w14:textId="532B3851" w:rsidR="00C65421" w:rsidRPr="008B0447" w:rsidRDefault="001765EC" w:rsidP="006A4985">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C65421" w:rsidRPr="008B0447" w14:paraId="38579BFB"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518DF016" w14:textId="01A71E57" w:rsidR="00C65421" w:rsidRPr="00FB5550" w:rsidRDefault="00FB5550" w:rsidP="006A4985">
            <w:pPr>
              <w:pStyle w:val="TableBullet"/>
              <w:rPr>
                <w:sz w:val="18"/>
              </w:rPr>
            </w:pPr>
            <w:r w:rsidRPr="008B0447">
              <w:t>Diversity Strategy and associated programs</w:t>
            </w:r>
          </w:p>
        </w:tc>
        <w:tc>
          <w:tcPr>
            <w:tcW w:w="1834" w:type="dxa"/>
            <w:vAlign w:val="top"/>
          </w:tcPr>
          <w:p w14:paraId="4D405708" w14:textId="08F2D61E" w:rsidR="00C65421" w:rsidRPr="008B0447" w:rsidRDefault="0007289C" w:rsidP="006A4985">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_Ref89808025 \h </w:instrText>
            </w:r>
            <w:r>
              <w:rPr>
                <w:szCs w:val="18"/>
              </w:rPr>
            </w:r>
            <w:r>
              <w:rPr>
                <w:szCs w:val="18"/>
              </w:rPr>
              <w:fldChar w:fldCharType="separate"/>
            </w:r>
            <w:r w:rsidR="00472151">
              <w:rPr>
                <w:noProof/>
                <w:szCs w:val="18"/>
              </w:rPr>
              <w:t>67</w:t>
            </w:r>
            <w:r>
              <w:rPr>
                <w:szCs w:val="18"/>
              </w:rPr>
              <w:fldChar w:fldCharType="end"/>
            </w:r>
            <w:r>
              <w:rPr>
                <w:szCs w:val="18"/>
              </w:rPr>
              <w:t>-</w:t>
            </w:r>
            <w:r>
              <w:rPr>
                <w:szCs w:val="18"/>
              </w:rPr>
              <w:fldChar w:fldCharType="begin"/>
            </w:r>
            <w:r>
              <w:rPr>
                <w:szCs w:val="18"/>
              </w:rPr>
              <w:instrText xml:space="preserve"> PAGEREF _Ref89808035 \h </w:instrText>
            </w:r>
            <w:r>
              <w:rPr>
                <w:szCs w:val="18"/>
              </w:rPr>
            </w:r>
            <w:r>
              <w:rPr>
                <w:szCs w:val="18"/>
              </w:rPr>
              <w:fldChar w:fldCharType="separate"/>
            </w:r>
            <w:r w:rsidR="00472151">
              <w:rPr>
                <w:noProof/>
                <w:szCs w:val="18"/>
              </w:rPr>
              <w:t>68</w:t>
            </w:r>
            <w:r>
              <w:rPr>
                <w:szCs w:val="18"/>
              </w:rPr>
              <w:fldChar w:fldCharType="end"/>
            </w:r>
          </w:p>
        </w:tc>
      </w:tr>
      <w:tr w:rsidR="00C65421" w:rsidRPr="008B0447" w14:paraId="25CA4AD8"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1869DF74" w14:textId="1B666B0D" w:rsidR="00C65421" w:rsidRPr="00FB5550" w:rsidRDefault="00FB5550" w:rsidP="006A4985">
            <w:pPr>
              <w:pStyle w:val="TableBullet"/>
              <w:rPr>
                <w:sz w:val="18"/>
              </w:rPr>
            </w:pPr>
            <w:r w:rsidRPr="008B0447">
              <w:t>safety performance, measurement and programs</w:t>
            </w:r>
          </w:p>
        </w:tc>
        <w:tc>
          <w:tcPr>
            <w:tcW w:w="1834" w:type="dxa"/>
            <w:vAlign w:val="top"/>
          </w:tcPr>
          <w:p w14:paraId="30AE323E" w14:textId="60A92175" w:rsidR="00C65421" w:rsidRPr="008B0447" w:rsidRDefault="001765EC" w:rsidP="006A4985">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_Ref89808054 \h </w:instrText>
            </w:r>
            <w:r>
              <w:rPr>
                <w:szCs w:val="18"/>
              </w:rPr>
            </w:r>
            <w:r>
              <w:rPr>
                <w:szCs w:val="18"/>
              </w:rPr>
              <w:fldChar w:fldCharType="separate"/>
            </w:r>
            <w:r w:rsidR="00472151">
              <w:rPr>
                <w:noProof/>
                <w:szCs w:val="18"/>
              </w:rPr>
              <w:t>73</w:t>
            </w:r>
            <w:r>
              <w:rPr>
                <w:szCs w:val="18"/>
              </w:rPr>
              <w:fldChar w:fldCharType="end"/>
            </w:r>
            <w:r>
              <w:rPr>
                <w:szCs w:val="18"/>
              </w:rPr>
              <w:t>-</w:t>
            </w:r>
            <w:r>
              <w:rPr>
                <w:szCs w:val="18"/>
              </w:rPr>
              <w:fldChar w:fldCharType="begin"/>
            </w:r>
            <w:r>
              <w:rPr>
                <w:szCs w:val="18"/>
              </w:rPr>
              <w:instrText xml:space="preserve"> PAGEREF _Ref89797299 \h </w:instrText>
            </w:r>
            <w:r>
              <w:rPr>
                <w:szCs w:val="18"/>
              </w:rPr>
            </w:r>
            <w:r>
              <w:rPr>
                <w:szCs w:val="18"/>
              </w:rPr>
              <w:fldChar w:fldCharType="separate"/>
            </w:r>
            <w:r w:rsidR="00472151">
              <w:rPr>
                <w:noProof/>
                <w:szCs w:val="18"/>
              </w:rPr>
              <w:t>75</w:t>
            </w:r>
            <w:r>
              <w:rPr>
                <w:szCs w:val="18"/>
              </w:rPr>
              <w:fldChar w:fldCharType="end"/>
            </w:r>
          </w:p>
        </w:tc>
      </w:tr>
      <w:tr w:rsidR="00C65421" w:rsidRPr="008B0447" w14:paraId="058FD1B3"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2D568EA7" w14:textId="71C5E44D" w:rsidR="00C65421" w:rsidRPr="00FB5550" w:rsidRDefault="00FB5550" w:rsidP="006A4985">
            <w:pPr>
              <w:pStyle w:val="TableBullet"/>
              <w:rPr>
                <w:sz w:val="18"/>
              </w:rPr>
            </w:pPr>
            <w:r w:rsidRPr="008B0447">
              <w:t>our management of customers' confidential and personal information</w:t>
            </w:r>
          </w:p>
        </w:tc>
        <w:tc>
          <w:tcPr>
            <w:tcW w:w="1834" w:type="dxa"/>
            <w:vAlign w:val="top"/>
          </w:tcPr>
          <w:p w14:paraId="6CAB6007" w14:textId="5AA64FD1" w:rsidR="00C65421" w:rsidRPr="008B0447" w:rsidRDefault="001765EC" w:rsidP="006A4985">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_Ref89808103 \h </w:instrText>
            </w:r>
            <w:r>
              <w:rPr>
                <w:szCs w:val="18"/>
              </w:rPr>
            </w:r>
            <w:r>
              <w:rPr>
                <w:szCs w:val="18"/>
              </w:rPr>
              <w:fldChar w:fldCharType="separate"/>
            </w:r>
            <w:r w:rsidR="00472151">
              <w:rPr>
                <w:noProof/>
                <w:szCs w:val="18"/>
              </w:rPr>
              <w:t>93</w:t>
            </w:r>
            <w:r>
              <w:rPr>
                <w:szCs w:val="18"/>
              </w:rPr>
              <w:fldChar w:fldCharType="end"/>
            </w:r>
          </w:p>
        </w:tc>
      </w:tr>
      <w:tr w:rsidR="00C65421" w:rsidRPr="008B0447" w14:paraId="325B4A38" w14:textId="77777777" w:rsidTr="006A4985">
        <w:tc>
          <w:tcPr>
            <w:cnfStyle w:val="001000000000" w:firstRow="0" w:lastRow="0" w:firstColumn="1" w:lastColumn="0" w:oddVBand="0" w:evenVBand="0" w:oddHBand="0" w:evenHBand="0" w:firstRowFirstColumn="0" w:firstRowLastColumn="0" w:lastRowFirstColumn="0" w:lastRowLastColumn="0"/>
            <w:tcW w:w="7797" w:type="dxa"/>
            <w:tcBorders>
              <w:bottom w:val="single" w:sz="4" w:space="0" w:color="auto"/>
            </w:tcBorders>
            <w:vAlign w:val="top"/>
          </w:tcPr>
          <w:p w14:paraId="599DDFE1" w14:textId="14664854" w:rsidR="00C65421" w:rsidRPr="008B0447" w:rsidRDefault="00FB5550" w:rsidP="006A4985">
            <w:pPr>
              <w:pStyle w:val="TableBullet"/>
              <w:rPr>
                <w:szCs w:val="18"/>
              </w:rPr>
            </w:pPr>
            <w:r w:rsidRPr="008B0447">
              <w:t>our actions toward Reconciliation and Aboriginal Engagement.</w:t>
            </w:r>
          </w:p>
        </w:tc>
        <w:tc>
          <w:tcPr>
            <w:tcW w:w="1834" w:type="dxa"/>
            <w:tcBorders>
              <w:bottom w:val="single" w:sz="4" w:space="0" w:color="auto"/>
            </w:tcBorders>
            <w:vAlign w:val="top"/>
          </w:tcPr>
          <w:p w14:paraId="18A2A331" w14:textId="0129ED6A" w:rsidR="00C65421" w:rsidRPr="008B0447" w:rsidRDefault="001765EC" w:rsidP="006A4985">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_Ref89808139 \h </w:instrText>
            </w:r>
            <w:r>
              <w:rPr>
                <w:szCs w:val="18"/>
              </w:rPr>
            </w:r>
            <w:r>
              <w:rPr>
                <w:szCs w:val="18"/>
              </w:rPr>
              <w:fldChar w:fldCharType="separate"/>
            </w:r>
            <w:r w:rsidR="00472151">
              <w:rPr>
                <w:noProof/>
                <w:szCs w:val="18"/>
              </w:rPr>
              <w:t>50</w:t>
            </w:r>
            <w:r>
              <w:rPr>
                <w:szCs w:val="18"/>
              </w:rPr>
              <w:fldChar w:fldCharType="end"/>
            </w:r>
            <w:r>
              <w:rPr>
                <w:szCs w:val="18"/>
              </w:rPr>
              <w:t>-</w:t>
            </w:r>
            <w:r>
              <w:rPr>
                <w:szCs w:val="18"/>
              </w:rPr>
              <w:fldChar w:fldCharType="begin"/>
            </w:r>
            <w:r>
              <w:rPr>
                <w:szCs w:val="18"/>
              </w:rPr>
              <w:instrText xml:space="preserve"> PAGEREF _Ref89808150 \h </w:instrText>
            </w:r>
            <w:r>
              <w:rPr>
                <w:szCs w:val="18"/>
              </w:rPr>
            </w:r>
            <w:r>
              <w:rPr>
                <w:szCs w:val="18"/>
              </w:rPr>
              <w:fldChar w:fldCharType="separate"/>
            </w:r>
            <w:r w:rsidR="00472151">
              <w:rPr>
                <w:noProof/>
                <w:szCs w:val="18"/>
              </w:rPr>
              <w:t>51</w:t>
            </w:r>
            <w:r>
              <w:rPr>
                <w:szCs w:val="18"/>
              </w:rPr>
              <w:fldChar w:fldCharType="end"/>
            </w:r>
          </w:p>
        </w:tc>
      </w:tr>
    </w:tbl>
    <w:p w14:paraId="4FF9C838" w14:textId="1999666D" w:rsidR="00C462EE" w:rsidRDefault="00C462EE" w:rsidP="00C462EE">
      <w:pPr>
        <w:pStyle w:val="Heading3"/>
      </w:pPr>
      <w:bookmarkStart w:id="1480" w:name="_Toc90326137"/>
      <w:bookmarkStart w:id="1481" w:name="_Toc93659543"/>
      <w:r>
        <w:t>Global Compact – Labour</w:t>
      </w:r>
      <w:bookmarkEnd w:id="1480"/>
      <w:bookmarkEnd w:id="1481"/>
    </w:p>
    <w:tbl>
      <w:tblPr>
        <w:tblStyle w:val="Style1"/>
        <w:tblW w:w="0" w:type="auto"/>
        <w:tblLook w:val="04A0" w:firstRow="1" w:lastRow="0" w:firstColumn="1" w:lastColumn="0" w:noHBand="0" w:noVBand="1"/>
      </w:tblPr>
      <w:tblGrid>
        <w:gridCol w:w="7797"/>
        <w:gridCol w:w="1834"/>
      </w:tblGrid>
      <w:tr w:rsidR="00C462EE" w:rsidRPr="00C462EE" w14:paraId="0CE8B62E" w14:textId="77777777" w:rsidTr="006A49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tcBorders>
              <w:top w:val="single" w:sz="4" w:space="0" w:color="auto"/>
            </w:tcBorders>
            <w:vAlign w:val="bottom"/>
          </w:tcPr>
          <w:p w14:paraId="4C32C155" w14:textId="75DD790C" w:rsidR="00C462EE" w:rsidRPr="00C462EE" w:rsidRDefault="00C462EE" w:rsidP="006A4985">
            <w:pPr>
              <w:pStyle w:val="TableBodyText"/>
            </w:pPr>
            <w:bookmarkStart w:id="1482" w:name="ColumnTitle_127"/>
            <w:r>
              <w:t>Principles and Description</w:t>
            </w:r>
          </w:p>
        </w:tc>
        <w:tc>
          <w:tcPr>
            <w:tcW w:w="1834" w:type="dxa"/>
            <w:tcBorders>
              <w:top w:val="single" w:sz="4" w:space="0" w:color="auto"/>
            </w:tcBorders>
            <w:vAlign w:val="bottom"/>
          </w:tcPr>
          <w:p w14:paraId="522FC015" w14:textId="3A3C3640" w:rsidR="00C462EE" w:rsidRPr="00C462EE" w:rsidRDefault="00C462EE" w:rsidP="006A4985">
            <w:pPr>
              <w:pStyle w:val="TableBodyText"/>
              <w:cnfStyle w:val="100000000000" w:firstRow="1" w:lastRow="0" w:firstColumn="0" w:lastColumn="0" w:oddVBand="0" w:evenVBand="0" w:oddHBand="0" w:evenHBand="0" w:firstRowFirstColumn="0" w:firstRowLastColumn="0" w:lastRowFirstColumn="0" w:lastRowLastColumn="0"/>
            </w:pPr>
            <w:r>
              <w:t>Page Reference</w:t>
            </w:r>
          </w:p>
        </w:tc>
      </w:tr>
      <w:bookmarkEnd w:id="1482"/>
      <w:tr w:rsidR="00DB0741" w:rsidRPr="00C462EE" w14:paraId="5DC2AE2A"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5D66B628" w14:textId="77777777" w:rsidR="00DB0741" w:rsidRPr="00DB0741" w:rsidRDefault="00DB0741" w:rsidP="006A4985">
            <w:pPr>
              <w:pStyle w:val="TableBodyText"/>
              <w:rPr>
                <w:rStyle w:val="Bold"/>
              </w:rPr>
            </w:pPr>
            <w:r w:rsidRPr="00DB0741">
              <w:rPr>
                <w:rStyle w:val="Bold"/>
              </w:rPr>
              <w:t>Sustainable Development Goals:</w:t>
            </w:r>
          </w:p>
          <w:p w14:paraId="486705A8" w14:textId="77777777" w:rsidR="00DB0741" w:rsidRPr="00C462EE" w:rsidRDefault="00DB0741" w:rsidP="006A4985">
            <w:pPr>
              <w:pStyle w:val="TableBodyText"/>
            </w:pPr>
            <w:r w:rsidRPr="00C462EE">
              <w:t>5 – Gender Equality</w:t>
            </w:r>
          </w:p>
          <w:p w14:paraId="3350D1CD" w14:textId="77777777" w:rsidR="00DB0741" w:rsidRPr="00C462EE" w:rsidRDefault="00DB0741" w:rsidP="006A4985">
            <w:pPr>
              <w:pStyle w:val="TableBodyText"/>
            </w:pPr>
            <w:r w:rsidRPr="00C462EE">
              <w:t>8 – Decent Work and Economic Growth</w:t>
            </w:r>
          </w:p>
          <w:p w14:paraId="372446A6" w14:textId="53DD58CE" w:rsidR="00DB0741" w:rsidRPr="00C462EE" w:rsidRDefault="00DB0741" w:rsidP="006A4985">
            <w:pPr>
              <w:pStyle w:val="TableBodyText"/>
            </w:pPr>
            <w:r w:rsidRPr="00C462EE">
              <w:t>10 – Reduced Inequalities</w:t>
            </w:r>
          </w:p>
        </w:tc>
        <w:tc>
          <w:tcPr>
            <w:tcW w:w="1834" w:type="dxa"/>
            <w:vAlign w:val="top"/>
          </w:tcPr>
          <w:p w14:paraId="05B722E7" w14:textId="40211B17" w:rsidR="00DB0741" w:rsidRPr="00C462EE" w:rsidRDefault="003200D5" w:rsidP="006A4985">
            <w:pPr>
              <w:pStyle w:val="TableBodyText"/>
              <w:cnfStyle w:val="000000000000" w:firstRow="0" w:lastRow="0" w:firstColumn="0" w:lastColumn="0" w:oddVBand="0" w:evenVBand="0" w:oddHBand="0" w:evenHBand="0" w:firstRowFirstColumn="0" w:firstRowLastColumn="0" w:lastRowFirstColumn="0" w:lastRowLastColumn="0"/>
            </w:pPr>
            <w:r>
              <w:t>N/A</w:t>
            </w:r>
          </w:p>
        </w:tc>
      </w:tr>
      <w:tr w:rsidR="00DB0741" w:rsidRPr="008B0447" w14:paraId="321D4A8E"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36868FA6" w14:textId="610DA8C6" w:rsidR="001167D5" w:rsidRPr="001167D5" w:rsidRDefault="001167D5" w:rsidP="006A4985">
            <w:pPr>
              <w:pStyle w:val="TableBodyText"/>
              <w:rPr>
                <w:rStyle w:val="Bold"/>
              </w:rPr>
            </w:pPr>
            <w:r w:rsidRPr="001167D5">
              <w:rPr>
                <w:rStyle w:val="Bold"/>
              </w:rPr>
              <w:t>Principles:</w:t>
            </w:r>
          </w:p>
          <w:p w14:paraId="632977D0" w14:textId="1572509F" w:rsidR="00DB0741" w:rsidRPr="0070395C" w:rsidRDefault="00DB0741" w:rsidP="0070395C">
            <w:pPr>
              <w:pStyle w:val="TableListNumber"/>
            </w:pPr>
            <w:r w:rsidRPr="0070395C">
              <w:t>Businesses should uphold the freedom of association and the effective recognition of the right to collective bargaining.</w:t>
            </w:r>
          </w:p>
          <w:p w14:paraId="48E6547B" w14:textId="43EFF5B8" w:rsidR="00DB0741" w:rsidRPr="0070395C" w:rsidRDefault="00DB0741" w:rsidP="0070395C">
            <w:pPr>
              <w:pStyle w:val="TableListNumber"/>
            </w:pPr>
            <w:r w:rsidRPr="0070395C">
              <w:t>The elimination of all forms of forced and compulsory labour.</w:t>
            </w:r>
          </w:p>
          <w:p w14:paraId="4743DE6E" w14:textId="77D5C138" w:rsidR="00DB0741" w:rsidRPr="0070395C" w:rsidRDefault="00DB0741" w:rsidP="0070395C">
            <w:pPr>
              <w:pStyle w:val="TableListNumber"/>
            </w:pPr>
            <w:r w:rsidRPr="0070395C">
              <w:t>The effective abolition of child labour.</w:t>
            </w:r>
          </w:p>
          <w:p w14:paraId="374E40F1" w14:textId="0C226164" w:rsidR="00DB0741" w:rsidRPr="008B0447" w:rsidRDefault="00DB0741" w:rsidP="0070395C">
            <w:pPr>
              <w:pStyle w:val="TableListNumber"/>
              <w:rPr>
                <w:szCs w:val="18"/>
              </w:rPr>
            </w:pPr>
            <w:r w:rsidRPr="0070395C">
              <w:t>The elimination of discrimination in respect of employment and occupation</w:t>
            </w:r>
          </w:p>
        </w:tc>
        <w:tc>
          <w:tcPr>
            <w:tcW w:w="1834" w:type="dxa"/>
            <w:vAlign w:val="top"/>
          </w:tcPr>
          <w:p w14:paraId="501E367D" w14:textId="68FE87F4" w:rsidR="00DB0741" w:rsidRPr="008B0447" w:rsidRDefault="003200D5" w:rsidP="006A4985">
            <w:pPr>
              <w:pStyle w:val="TableBodyText"/>
              <w:keepNext/>
              <w:keepLines/>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DB0741" w:rsidRPr="008B0447" w14:paraId="7096A2A6"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19594DFB" w14:textId="77777777" w:rsidR="001167D5" w:rsidRPr="001167D5" w:rsidRDefault="001167D5" w:rsidP="006A4985">
            <w:pPr>
              <w:pStyle w:val="TableBodyText"/>
              <w:rPr>
                <w:rStyle w:val="Bold"/>
              </w:rPr>
            </w:pPr>
            <w:r w:rsidRPr="001167D5">
              <w:rPr>
                <w:rStyle w:val="Bold"/>
              </w:rPr>
              <w:lastRenderedPageBreak/>
              <w:t>Description:</w:t>
            </w:r>
          </w:p>
          <w:p w14:paraId="093134BF" w14:textId="6DE4929D" w:rsidR="00DB0741" w:rsidRPr="006A4985" w:rsidRDefault="00DB0741" w:rsidP="006A4985">
            <w:pPr>
              <w:pStyle w:val="TableBodyText"/>
            </w:pPr>
            <w:r w:rsidRPr="00C462EE">
              <w:t>Melbourne Water’s commitment to these principles is demonstrated in our commitment to building a diverse workforce and an inclusive workplace culture. Our commitment to ensuring equality and fair treatment across the business is detailed in this report through:</w:t>
            </w:r>
          </w:p>
        </w:tc>
        <w:tc>
          <w:tcPr>
            <w:tcW w:w="1834" w:type="dxa"/>
            <w:vAlign w:val="top"/>
          </w:tcPr>
          <w:p w14:paraId="3FC12AE0" w14:textId="2C0C4BEC" w:rsidR="00DB0741" w:rsidRPr="008B0447" w:rsidRDefault="003200D5" w:rsidP="006A4985">
            <w:pPr>
              <w:pStyle w:val="TableBodyText"/>
              <w:keepNext/>
              <w:keepLines/>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6A4985" w:rsidRPr="008B0447" w14:paraId="3AD540D1"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4B061C30" w14:textId="0FDEEA8E" w:rsidR="006A4985" w:rsidRPr="001167D5" w:rsidRDefault="006A4985" w:rsidP="006A4985">
            <w:pPr>
              <w:pStyle w:val="TableBullet"/>
            </w:pPr>
            <w:r w:rsidRPr="00C462EE">
              <w:t>continued analysis of our workforce statistics to support programs</w:t>
            </w:r>
          </w:p>
        </w:tc>
        <w:tc>
          <w:tcPr>
            <w:tcW w:w="1834" w:type="dxa"/>
            <w:vAlign w:val="top"/>
          </w:tcPr>
          <w:p w14:paraId="44744058" w14:textId="6411D79A" w:rsidR="006A4985" w:rsidRPr="008B0447" w:rsidRDefault="00CB6AC3" w:rsidP="006A4985">
            <w:pPr>
              <w:pStyle w:val="TableBodyText"/>
              <w:keepNext/>
              <w:keepLines/>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_Ref89808569 \h </w:instrText>
            </w:r>
            <w:r>
              <w:rPr>
                <w:szCs w:val="18"/>
              </w:rPr>
            </w:r>
            <w:r>
              <w:rPr>
                <w:szCs w:val="18"/>
              </w:rPr>
              <w:fldChar w:fldCharType="separate"/>
            </w:r>
            <w:r w:rsidR="00472151">
              <w:rPr>
                <w:noProof/>
                <w:szCs w:val="18"/>
              </w:rPr>
              <w:t>68</w:t>
            </w:r>
            <w:r>
              <w:rPr>
                <w:szCs w:val="18"/>
              </w:rPr>
              <w:fldChar w:fldCharType="end"/>
            </w:r>
            <w:r>
              <w:rPr>
                <w:szCs w:val="18"/>
              </w:rPr>
              <w:t>-</w:t>
            </w:r>
            <w:r>
              <w:rPr>
                <w:szCs w:val="18"/>
              </w:rPr>
              <w:fldChar w:fldCharType="begin"/>
            </w:r>
            <w:r>
              <w:rPr>
                <w:szCs w:val="18"/>
              </w:rPr>
              <w:instrText xml:space="preserve"> PAGEREF _Ref89797299 \h </w:instrText>
            </w:r>
            <w:r>
              <w:rPr>
                <w:szCs w:val="18"/>
              </w:rPr>
            </w:r>
            <w:r>
              <w:rPr>
                <w:szCs w:val="18"/>
              </w:rPr>
              <w:fldChar w:fldCharType="separate"/>
            </w:r>
            <w:r w:rsidR="00472151">
              <w:rPr>
                <w:noProof/>
                <w:szCs w:val="18"/>
              </w:rPr>
              <w:t>75</w:t>
            </w:r>
            <w:r>
              <w:rPr>
                <w:szCs w:val="18"/>
              </w:rPr>
              <w:fldChar w:fldCharType="end"/>
            </w:r>
          </w:p>
        </w:tc>
      </w:tr>
      <w:tr w:rsidR="006A4985" w:rsidRPr="008B0447" w14:paraId="40C7F0DE"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1BD8CC50" w14:textId="361F6AFC" w:rsidR="006A4985" w:rsidRPr="006A4985" w:rsidRDefault="006A4985" w:rsidP="006A4985">
            <w:pPr>
              <w:pStyle w:val="TableBullet"/>
            </w:pPr>
            <w:r w:rsidRPr="00C462EE">
              <w:t>Diversity Strategy and associated programs, including inclusion, gender equity, parental leave, domestic violence leave and flexible working arrangements</w:t>
            </w:r>
          </w:p>
        </w:tc>
        <w:tc>
          <w:tcPr>
            <w:tcW w:w="1834" w:type="dxa"/>
            <w:vAlign w:val="top"/>
          </w:tcPr>
          <w:p w14:paraId="6722E56A" w14:textId="7692C843" w:rsidR="006A4985" w:rsidRPr="008B0447" w:rsidRDefault="00CB6AC3" w:rsidP="006A4985">
            <w:pPr>
              <w:pStyle w:val="TableBodyText"/>
              <w:keepNext/>
              <w:keepLines/>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_Ref89808025 \h </w:instrText>
            </w:r>
            <w:r>
              <w:rPr>
                <w:szCs w:val="18"/>
              </w:rPr>
            </w:r>
            <w:r>
              <w:rPr>
                <w:szCs w:val="18"/>
              </w:rPr>
              <w:fldChar w:fldCharType="separate"/>
            </w:r>
            <w:r w:rsidR="00472151">
              <w:rPr>
                <w:noProof/>
                <w:szCs w:val="18"/>
              </w:rPr>
              <w:t>67</w:t>
            </w:r>
            <w:r>
              <w:rPr>
                <w:szCs w:val="18"/>
              </w:rPr>
              <w:fldChar w:fldCharType="end"/>
            </w:r>
            <w:r>
              <w:rPr>
                <w:szCs w:val="18"/>
              </w:rPr>
              <w:t>-</w:t>
            </w:r>
            <w:r>
              <w:rPr>
                <w:szCs w:val="18"/>
              </w:rPr>
              <w:fldChar w:fldCharType="begin"/>
            </w:r>
            <w:r>
              <w:rPr>
                <w:szCs w:val="18"/>
              </w:rPr>
              <w:instrText xml:space="preserve"> PAGEREF _Ref89808035 \h </w:instrText>
            </w:r>
            <w:r>
              <w:rPr>
                <w:szCs w:val="18"/>
              </w:rPr>
            </w:r>
            <w:r>
              <w:rPr>
                <w:szCs w:val="18"/>
              </w:rPr>
              <w:fldChar w:fldCharType="separate"/>
            </w:r>
            <w:r w:rsidR="00472151">
              <w:rPr>
                <w:noProof/>
                <w:szCs w:val="18"/>
              </w:rPr>
              <w:t>68</w:t>
            </w:r>
            <w:r>
              <w:rPr>
                <w:szCs w:val="18"/>
              </w:rPr>
              <w:fldChar w:fldCharType="end"/>
            </w:r>
          </w:p>
        </w:tc>
      </w:tr>
      <w:tr w:rsidR="006A4985" w:rsidRPr="008B0447" w14:paraId="5F045500"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32E01FDF" w14:textId="7D410CBE" w:rsidR="006A4985" w:rsidRPr="006A4985" w:rsidRDefault="006A4985" w:rsidP="006A4985">
            <w:pPr>
              <w:pStyle w:val="TableBullet"/>
            </w:pPr>
            <w:r w:rsidRPr="00C462EE">
              <w:t>our actions toward increasing cultural awareness</w:t>
            </w:r>
          </w:p>
        </w:tc>
        <w:tc>
          <w:tcPr>
            <w:tcW w:w="1834" w:type="dxa"/>
            <w:vAlign w:val="top"/>
          </w:tcPr>
          <w:p w14:paraId="5B336DB3" w14:textId="0CCC48C8" w:rsidR="006A4985" w:rsidRPr="008B0447" w:rsidRDefault="00CB6AC3" w:rsidP="006A4985">
            <w:pPr>
              <w:pStyle w:val="TableBodyText"/>
              <w:keepNext/>
              <w:keepLines/>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_Ref89808139 \h </w:instrText>
            </w:r>
            <w:r>
              <w:rPr>
                <w:szCs w:val="18"/>
              </w:rPr>
            </w:r>
            <w:r>
              <w:rPr>
                <w:szCs w:val="18"/>
              </w:rPr>
              <w:fldChar w:fldCharType="separate"/>
            </w:r>
            <w:r w:rsidR="00472151">
              <w:rPr>
                <w:noProof/>
                <w:szCs w:val="18"/>
              </w:rPr>
              <w:t>50</w:t>
            </w:r>
            <w:r>
              <w:rPr>
                <w:szCs w:val="18"/>
              </w:rPr>
              <w:fldChar w:fldCharType="end"/>
            </w:r>
            <w:r>
              <w:rPr>
                <w:szCs w:val="18"/>
              </w:rPr>
              <w:t>-</w:t>
            </w:r>
            <w:r>
              <w:rPr>
                <w:szCs w:val="18"/>
              </w:rPr>
              <w:fldChar w:fldCharType="begin"/>
            </w:r>
            <w:r>
              <w:rPr>
                <w:szCs w:val="18"/>
              </w:rPr>
              <w:instrText xml:space="preserve"> PAGEREF _Ref89808150 \h </w:instrText>
            </w:r>
            <w:r>
              <w:rPr>
                <w:szCs w:val="18"/>
              </w:rPr>
            </w:r>
            <w:r>
              <w:rPr>
                <w:szCs w:val="18"/>
              </w:rPr>
              <w:fldChar w:fldCharType="separate"/>
            </w:r>
            <w:r w:rsidR="00472151">
              <w:rPr>
                <w:noProof/>
                <w:szCs w:val="18"/>
              </w:rPr>
              <w:t>51</w:t>
            </w:r>
            <w:r>
              <w:rPr>
                <w:szCs w:val="18"/>
              </w:rPr>
              <w:fldChar w:fldCharType="end"/>
            </w:r>
          </w:p>
        </w:tc>
      </w:tr>
      <w:tr w:rsidR="006A4985" w:rsidRPr="008B0447" w14:paraId="733476A0"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200951E6" w14:textId="71C6FA68" w:rsidR="006A4985" w:rsidRPr="001167D5" w:rsidRDefault="006A4985" w:rsidP="006A4985">
            <w:pPr>
              <w:pStyle w:val="TableBullet"/>
            </w:pPr>
            <w:r w:rsidRPr="00C462EE">
              <w:t>the Melbourne Water Enterprise Agreement 2020 which sets our terms and conditions of employment, and is a collective agreement between Melbourne Water, enterprise agreement employees and their union representatives. This agreement does not cover Senior Managers or the Waterways and Catchment Operations Delivery team. The agreement was approved by the Fair Work Commission</w:t>
            </w:r>
          </w:p>
        </w:tc>
        <w:tc>
          <w:tcPr>
            <w:tcW w:w="1834" w:type="dxa"/>
            <w:vAlign w:val="top"/>
          </w:tcPr>
          <w:p w14:paraId="20979B7B" w14:textId="4D38948F" w:rsidR="006A4985" w:rsidRPr="008B0447" w:rsidRDefault="00CB6AC3" w:rsidP="006A4985">
            <w:pPr>
              <w:pStyle w:val="TableBodyText"/>
              <w:keepNext/>
              <w:keepLines/>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6A4985" w:rsidRPr="008B0447" w14:paraId="03563857" w14:textId="77777777" w:rsidTr="006A4985">
        <w:tc>
          <w:tcPr>
            <w:cnfStyle w:val="001000000000" w:firstRow="0" w:lastRow="0" w:firstColumn="1" w:lastColumn="0" w:oddVBand="0" w:evenVBand="0" w:oddHBand="0" w:evenHBand="0" w:firstRowFirstColumn="0" w:firstRowLastColumn="0" w:lastRowFirstColumn="0" w:lastRowLastColumn="0"/>
            <w:tcW w:w="7797" w:type="dxa"/>
            <w:vAlign w:val="top"/>
          </w:tcPr>
          <w:p w14:paraId="302C3813" w14:textId="74D9780F" w:rsidR="006A4985" w:rsidRPr="001167D5" w:rsidRDefault="006A4985" w:rsidP="006A4985">
            <w:pPr>
              <w:pStyle w:val="TableBullet"/>
              <w:rPr>
                <w:rStyle w:val="Bold"/>
              </w:rPr>
            </w:pPr>
            <w:r w:rsidRPr="00C462EE">
              <w:t>our management of suppliers.</w:t>
            </w:r>
          </w:p>
        </w:tc>
        <w:tc>
          <w:tcPr>
            <w:tcW w:w="1834" w:type="dxa"/>
            <w:vAlign w:val="top"/>
          </w:tcPr>
          <w:p w14:paraId="2B700400" w14:textId="75299A66" w:rsidR="006A4985" w:rsidRPr="008B0447" w:rsidRDefault="00CB6AC3" w:rsidP="006A4985">
            <w:pPr>
              <w:pStyle w:val="TableBodyText"/>
              <w:keepNext/>
              <w:keepLines/>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_Ref89808150 \h </w:instrText>
            </w:r>
            <w:r>
              <w:rPr>
                <w:szCs w:val="18"/>
              </w:rPr>
            </w:r>
            <w:r>
              <w:rPr>
                <w:szCs w:val="18"/>
              </w:rPr>
              <w:fldChar w:fldCharType="separate"/>
            </w:r>
            <w:r w:rsidR="00472151">
              <w:rPr>
                <w:noProof/>
                <w:szCs w:val="18"/>
              </w:rPr>
              <w:t>51</w:t>
            </w:r>
            <w:r>
              <w:rPr>
                <w:szCs w:val="18"/>
              </w:rPr>
              <w:fldChar w:fldCharType="end"/>
            </w:r>
            <w:r>
              <w:rPr>
                <w:szCs w:val="18"/>
              </w:rPr>
              <w:t>-</w:t>
            </w:r>
            <w:r>
              <w:rPr>
                <w:szCs w:val="18"/>
              </w:rPr>
              <w:fldChar w:fldCharType="begin"/>
            </w:r>
            <w:r>
              <w:rPr>
                <w:szCs w:val="18"/>
              </w:rPr>
              <w:instrText xml:space="preserve"> PAGEREF _Ref89808693 \h </w:instrText>
            </w:r>
            <w:r>
              <w:rPr>
                <w:szCs w:val="18"/>
              </w:rPr>
            </w:r>
            <w:r>
              <w:rPr>
                <w:szCs w:val="18"/>
              </w:rPr>
              <w:fldChar w:fldCharType="separate"/>
            </w:r>
            <w:r w:rsidR="00472151">
              <w:rPr>
                <w:noProof/>
                <w:szCs w:val="18"/>
              </w:rPr>
              <w:t>86</w:t>
            </w:r>
            <w:r>
              <w:rPr>
                <w:szCs w:val="18"/>
              </w:rPr>
              <w:fldChar w:fldCharType="end"/>
            </w:r>
          </w:p>
        </w:tc>
      </w:tr>
    </w:tbl>
    <w:p w14:paraId="4A7FB3BA" w14:textId="61DF2BC9" w:rsidR="008B3B33" w:rsidRDefault="008B3B33" w:rsidP="008B3B33">
      <w:pPr>
        <w:pStyle w:val="Heading3"/>
      </w:pPr>
      <w:bookmarkStart w:id="1483" w:name="_Toc90326138"/>
      <w:bookmarkStart w:id="1484" w:name="_Toc93659544"/>
      <w:r w:rsidRPr="008B3B33">
        <w:t>Global</w:t>
      </w:r>
      <w:r>
        <w:t xml:space="preserve"> Compact – </w:t>
      </w:r>
      <w:r w:rsidR="00B138CD">
        <w:t>Environment</w:t>
      </w:r>
      <w:bookmarkEnd w:id="1483"/>
      <w:bookmarkEnd w:id="1484"/>
    </w:p>
    <w:tbl>
      <w:tblPr>
        <w:tblStyle w:val="Style1"/>
        <w:tblW w:w="0" w:type="auto"/>
        <w:tblLook w:val="04A0" w:firstRow="1" w:lastRow="0" w:firstColumn="1" w:lastColumn="0" w:noHBand="0" w:noVBand="1"/>
      </w:tblPr>
      <w:tblGrid>
        <w:gridCol w:w="7797"/>
        <w:gridCol w:w="1834"/>
      </w:tblGrid>
      <w:tr w:rsidR="0070395C" w:rsidRPr="008B0447" w14:paraId="43269E7F" w14:textId="77777777" w:rsidTr="007039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vAlign w:val="bottom"/>
          </w:tcPr>
          <w:p w14:paraId="710460AA" w14:textId="4EB31633" w:rsidR="0070395C" w:rsidRPr="008B0447" w:rsidRDefault="0070395C" w:rsidP="0070395C">
            <w:pPr>
              <w:pStyle w:val="TableBodyText"/>
              <w:keepNext/>
              <w:keepLines/>
              <w:rPr>
                <w:szCs w:val="18"/>
              </w:rPr>
            </w:pPr>
            <w:bookmarkStart w:id="1485" w:name="ColumnTitle_128"/>
            <w:r>
              <w:t>Principles and Description</w:t>
            </w:r>
          </w:p>
        </w:tc>
        <w:tc>
          <w:tcPr>
            <w:tcW w:w="1834" w:type="dxa"/>
            <w:vAlign w:val="bottom"/>
          </w:tcPr>
          <w:p w14:paraId="4FFD4AAD" w14:textId="76AA2A1A" w:rsidR="0070395C" w:rsidRPr="008B0447" w:rsidRDefault="0070395C" w:rsidP="0070395C">
            <w:pPr>
              <w:pStyle w:val="TableBodyText"/>
              <w:keepNext/>
              <w:keepLines/>
              <w:cnfStyle w:val="100000000000" w:firstRow="1" w:lastRow="0" w:firstColumn="0" w:lastColumn="0" w:oddVBand="0" w:evenVBand="0" w:oddHBand="0" w:evenHBand="0" w:firstRowFirstColumn="0" w:firstRowLastColumn="0" w:lastRowFirstColumn="0" w:lastRowLastColumn="0"/>
              <w:rPr>
                <w:szCs w:val="18"/>
              </w:rPr>
            </w:pPr>
            <w:r>
              <w:t>Page Reference</w:t>
            </w:r>
          </w:p>
        </w:tc>
      </w:tr>
      <w:bookmarkEnd w:id="1485"/>
      <w:tr w:rsidR="0070395C" w:rsidRPr="008B0447" w14:paraId="3BF60C3F" w14:textId="77777777" w:rsidTr="00AE0231">
        <w:tc>
          <w:tcPr>
            <w:cnfStyle w:val="001000000000" w:firstRow="0" w:lastRow="0" w:firstColumn="1" w:lastColumn="0" w:oddVBand="0" w:evenVBand="0" w:oddHBand="0" w:evenHBand="0" w:firstRowFirstColumn="0" w:firstRowLastColumn="0" w:lastRowFirstColumn="0" w:lastRowLastColumn="0"/>
            <w:tcW w:w="7797" w:type="dxa"/>
            <w:vAlign w:val="top"/>
          </w:tcPr>
          <w:p w14:paraId="02904CC5" w14:textId="02D031D2" w:rsidR="0070395C" w:rsidRPr="008B0447" w:rsidRDefault="00A4799F" w:rsidP="0070395C">
            <w:pPr>
              <w:pStyle w:val="TableBodyText"/>
              <w:rPr>
                <w:rStyle w:val="Bold"/>
                <w:szCs w:val="18"/>
              </w:rPr>
            </w:pPr>
            <w:r>
              <w:rPr>
                <w:rStyle w:val="Bold"/>
                <w:szCs w:val="18"/>
              </w:rPr>
              <w:t>Sustainable Development Goals:</w:t>
            </w:r>
          </w:p>
          <w:p w14:paraId="74DDDF9B" w14:textId="77777777" w:rsidR="0070395C" w:rsidRPr="008B0447" w:rsidRDefault="0070395C" w:rsidP="0070395C">
            <w:pPr>
              <w:pStyle w:val="TableBodyText"/>
              <w:rPr>
                <w:szCs w:val="18"/>
              </w:rPr>
            </w:pPr>
            <w:r w:rsidRPr="008B0447">
              <w:rPr>
                <w:szCs w:val="18"/>
              </w:rPr>
              <w:t>3 – Good Health and Well-being</w:t>
            </w:r>
          </w:p>
          <w:p w14:paraId="7ED8266F" w14:textId="77777777" w:rsidR="0070395C" w:rsidRPr="008B0447" w:rsidRDefault="0070395C" w:rsidP="0070395C">
            <w:pPr>
              <w:pStyle w:val="TableBodyText"/>
              <w:rPr>
                <w:szCs w:val="18"/>
              </w:rPr>
            </w:pPr>
            <w:r w:rsidRPr="008B0447">
              <w:rPr>
                <w:szCs w:val="18"/>
              </w:rPr>
              <w:t>6 – Clean Water and Sanitation</w:t>
            </w:r>
          </w:p>
          <w:p w14:paraId="45475B19" w14:textId="77777777" w:rsidR="0070395C" w:rsidRPr="008B0447" w:rsidRDefault="0070395C" w:rsidP="0070395C">
            <w:pPr>
              <w:pStyle w:val="TableBodyText"/>
              <w:rPr>
                <w:szCs w:val="18"/>
              </w:rPr>
            </w:pPr>
            <w:r w:rsidRPr="008B0447">
              <w:rPr>
                <w:szCs w:val="18"/>
              </w:rPr>
              <w:t>7 – Affordable and Clean Energy</w:t>
            </w:r>
          </w:p>
          <w:p w14:paraId="5D7EA1C7" w14:textId="77777777" w:rsidR="0070395C" w:rsidRPr="008B0447" w:rsidRDefault="0070395C" w:rsidP="0070395C">
            <w:pPr>
              <w:pStyle w:val="TableBodyText"/>
              <w:rPr>
                <w:szCs w:val="18"/>
              </w:rPr>
            </w:pPr>
            <w:r w:rsidRPr="008B0447">
              <w:rPr>
                <w:szCs w:val="18"/>
              </w:rPr>
              <w:t>9 – Industry, Innovation and Infrastructure</w:t>
            </w:r>
          </w:p>
          <w:p w14:paraId="5E112502" w14:textId="77777777" w:rsidR="0070395C" w:rsidRPr="008B0447" w:rsidRDefault="0070395C" w:rsidP="0070395C">
            <w:pPr>
              <w:pStyle w:val="TableBodyText"/>
              <w:rPr>
                <w:szCs w:val="18"/>
              </w:rPr>
            </w:pPr>
            <w:r w:rsidRPr="008B0447">
              <w:rPr>
                <w:szCs w:val="18"/>
              </w:rPr>
              <w:t>11 – Sustainable Cities and Communities</w:t>
            </w:r>
          </w:p>
          <w:p w14:paraId="52C5B623" w14:textId="77777777" w:rsidR="0070395C" w:rsidRPr="008B0447" w:rsidRDefault="0070395C" w:rsidP="0070395C">
            <w:pPr>
              <w:pStyle w:val="TableBodyText"/>
              <w:rPr>
                <w:szCs w:val="18"/>
              </w:rPr>
            </w:pPr>
            <w:r w:rsidRPr="008B0447">
              <w:rPr>
                <w:szCs w:val="18"/>
              </w:rPr>
              <w:t>12 – Responsible Consumption and Production</w:t>
            </w:r>
          </w:p>
          <w:p w14:paraId="05E93296" w14:textId="77777777" w:rsidR="0070395C" w:rsidRPr="008B0447" w:rsidRDefault="0070395C" w:rsidP="0070395C">
            <w:pPr>
              <w:pStyle w:val="TableBodyText"/>
              <w:rPr>
                <w:szCs w:val="18"/>
              </w:rPr>
            </w:pPr>
            <w:r w:rsidRPr="008B0447">
              <w:rPr>
                <w:szCs w:val="18"/>
              </w:rPr>
              <w:t>13 – Climate Action</w:t>
            </w:r>
          </w:p>
          <w:p w14:paraId="5E465E1C" w14:textId="77777777" w:rsidR="0070395C" w:rsidRPr="008B0447" w:rsidRDefault="0070395C" w:rsidP="0070395C">
            <w:pPr>
              <w:pStyle w:val="TableBodyText"/>
              <w:rPr>
                <w:szCs w:val="18"/>
              </w:rPr>
            </w:pPr>
            <w:r w:rsidRPr="008B0447">
              <w:rPr>
                <w:szCs w:val="18"/>
              </w:rPr>
              <w:t>14 – Life Below Water</w:t>
            </w:r>
          </w:p>
          <w:p w14:paraId="4C954C29" w14:textId="77777777" w:rsidR="0070395C" w:rsidRPr="008B0447" w:rsidRDefault="0070395C" w:rsidP="0070395C">
            <w:pPr>
              <w:pStyle w:val="TableBodyText"/>
              <w:rPr>
                <w:szCs w:val="18"/>
              </w:rPr>
            </w:pPr>
            <w:r w:rsidRPr="008B0447">
              <w:rPr>
                <w:szCs w:val="18"/>
              </w:rPr>
              <w:t xml:space="preserve">15 – Life </w:t>
            </w:r>
            <w:r>
              <w:rPr>
                <w:szCs w:val="18"/>
              </w:rPr>
              <w:t>O</w:t>
            </w:r>
            <w:r w:rsidRPr="008B0447">
              <w:rPr>
                <w:szCs w:val="18"/>
              </w:rPr>
              <w:t>n Land</w:t>
            </w:r>
          </w:p>
          <w:p w14:paraId="511FC85A" w14:textId="3FABE46D" w:rsidR="0070395C" w:rsidRPr="008B0447" w:rsidRDefault="0070395C" w:rsidP="00A4799F">
            <w:pPr>
              <w:pStyle w:val="TableBodyText"/>
            </w:pPr>
            <w:r w:rsidRPr="008B0447">
              <w:t>17 – Partnerships for the Goals</w:t>
            </w:r>
          </w:p>
        </w:tc>
        <w:tc>
          <w:tcPr>
            <w:tcW w:w="1834" w:type="dxa"/>
            <w:vAlign w:val="top"/>
          </w:tcPr>
          <w:p w14:paraId="4B55F71E" w14:textId="6F0102C6" w:rsidR="0070395C" w:rsidRPr="008B0447" w:rsidRDefault="00AE0231" w:rsidP="00AE023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AE0231" w:rsidRPr="008B0447" w14:paraId="0543ED70" w14:textId="77777777" w:rsidTr="00AE0231">
        <w:tc>
          <w:tcPr>
            <w:cnfStyle w:val="001000000000" w:firstRow="0" w:lastRow="0" w:firstColumn="1" w:lastColumn="0" w:oddVBand="0" w:evenVBand="0" w:oddHBand="0" w:evenHBand="0" w:firstRowFirstColumn="0" w:firstRowLastColumn="0" w:lastRowFirstColumn="0" w:lastRowLastColumn="0"/>
            <w:tcW w:w="7797" w:type="dxa"/>
          </w:tcPr>
          <w:p w14:paraId="6FA898B4" w14:textId="77777777" w:rsidR="00AE0231" w:rsidRPr="00AE0231" w:rsidRDefault="00AE0231" w:rsidP="004E6904">
            <w:pPr>
              <w:pStyle w:val="TableBodyText"/>
              <w:keepNext/>
              <w:rPr>
                <w:rStyle w:val="Bold"/>
              </w:rPr>
            </w:pPr>
            <w:r w:rsidRPr="00AE0231">
              <w:rPr>
                <w:rStyle w:val="Bold"/>
              </w:rPr>
              <w:t>Principles:</w:t>
            </w:r>
          </w:p>
          <w:p w14:paraId="6EED6660" w14:textId="212A526B" w:rsidR="00AE0231" w:rsidRPr="008B0447" w:rsidRDefault="00AE0231" w:rsidP="00AE0231">
            <w:pPr>
              <w:pStyle w:val="TableBodyText"/>
              <w:rPr>
                <w:szCs w:val="18"/>
              </w:rPr>
            </w:pPr>
            <w:r w:rsidRPr="008B0447">
              <w:rPr>
                <w:szCs w:val="18"/>
              </w:rPr>
              <w:t>7. Businesses should support a precautionary approach to environmental challenges.</w:t>
            </w:r>
          </w:p>
          <w:p w14:paraId="247D5488" w14:textId="77777777" w:rsidR="00AE0231" w:rsidRPr="008B0447" w:rsidRDefault="00AE0231" w:rsidP="00AE0231">
            <w:pPr>
              <w:pStyle w:val="TableBodyText"/>
              <w:rPr>
                <w:szCs w:val="18"/>
              </w:rPr>
            </w:pPr>
            <w:r w:rsidRPr="008B0447">
              <w:rPr>
                <w:szCs w:val="18"/>
              </w:rPr>
              <w:t>8. Undertake initiatives to promote greater environmental responsibility.</w:t>
            </w:r>
          </w:p>
          <w:p w14:paraId="4D67414B" w14:textId="7720AF5C" w:rsidR="00AE0231" w:rsidRPr="00B138CD" w:rsidRDefault="00AE0231" w:rsidP="00AE0231">
            <w:pPr>
              <w:pStyle w:val="TableBodyText"/>
              <w:rPr>
                <w:rStyle w:val="Bold"/>
              </w:rPr>
            </w:pPr>
            <w:r w:rsidRPr="008B0447">
              <w:rPr>
                <w:szCs w:val="18"/>
              </w:rPr>
              <w:t>9. Encourage the development and diffusion of environmentally friendly technologies.</w:t>
            </w:r>
          </w:p>
        </w:tc>
        <w:tc>
          <w:tcPr>
            <w:tcW w:w="1834" w:type="dxa"/>
            <w:vAlign w:val="top"/>
          </w:tcPr>
          <w:p w14:paraId="0D40AD45" w14:textId="6F55A7E4" w:rsidR="00AE0231" w:rsidRPr="008B0447" w:rsidRDefault="00AE0231" w:rsidP="00AE023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B138CD" w:rsidRPr="008B0447" w14:paraId="70B4856A" w14:textId="77777777" w:rsidTr="00AE0231">
        <w:tc>
          <w:tcPr>
            <w:cnfStyle w:val="001000000000" w:firstRow="0" w:lastRow="0" w:firstColumn="1" w:lastColumn="0" w:oddVBand="0" w:evenVBand="0" w:oddHBand="0" w:evenHBand="0" w:firstRowFirstColumn="0" w:firstRowLastColumn="0" w:lastRowFirstColumn="0" w:lastRowLastColumn="0"/>
            <w:tcW w:w="7797" w:type="dxa"/>
          </w:tcPr>
          <w:p w14:paraId="20B86E29" w14:textId="77777777" w:rsidR="00B138CD" w:rsidRPr="00B138CD" w:rsidRDefault="00B138CD" w:rsidP="0070395C">
            <w:pPr>
              <w:pStyle w:val="TableBodyText"/>
              <w:rPr>
                <w:rStyle w:val="Bold"/>
              </w:rPr>
            </w:pPr>
            <w:r w:rsidRPr="00B138CD">
              <w:rPr>
                <w:rStyle w:val="Bold"/>
              </w:rPr>
              <w:t>Description:</w:t>
            </w:r>
          </w:p>
          <w:p w14:paraId="21540BA4" w14:textId="2AFD8886" w:rsidR="00B138CD" w:rsidRPr="008B0447" w:rsidRDefault="00AE0231" w:rsidP="0070395C">
            <w:pPr>
              <w:pStyle w:val="TableBodyText"/>
              <w:rPr>
                <w:szCs w:val="18"/>
              </w:rPr>
            </w:pPr>
            <w:r w:rsidRPr="008B0447">
              <w:rPr>
                <w:szCs w:val="18"/>
              </w:rPr>
              <w:t>Our contribution to supporting a healthy environment is one of Melbourne Water’s three strategic pillars and part of our core business. We contribute to this through improving waterway quality, reducing greenhouse gas emissions and being innovative with resource recovery. We also help protect Melbourne’s natural assets by improving biodiversity and building strong relationships with the community. This commitment is implemented through the following strategies and programs, detailed within this report:</w:t>
            </w:r>
          </w:p>
        </w:tc>
        <w:tc>
          <w:tcPr>
            <w:tcW w:w="1834" w:type="dxa"/>
            <w:vAlign w:val="top"/>
          </w:tcPr>
          <w:p w14:paraId="304F63CD" w14:textId="21CA1D9C" w:rsidR="00B138CD" w:rsidRPr="008B0447" w:rsidRDefault="00AE0231" w:rsidP="00AE023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t>N/A</w:t>
            </w:r>
          </w:p>
        </w:tc>
      </w:tr>
      <w:tr w:rsidR="0070395C" w:rsidRPr="008B0447" w14:paraId="5DD0640E" w14:textId="77777777" w:rsidTr="00AE0231">
        <w:tc>
          <w:tcPr>
            <w:cnfStyle w:val="001000000000" w:firstRow="0" w:lastRow="0" w:firstColumn="1" w:lastColumn="0" w:oddVBand="0" w:evenVBand="0" w:oddHBand="0" w:evenHBand="0" w:firstRowFirstColumn="0" w:firstRowLastColumn="0" w:lastRowFirstColumn="0" w:lastRowLastColumn="0"/>
            <w:tcW w:w="7797" w:type="dxa"/>
          </w:tcPr>
          <w:p w14:paraId="14CB646D" w14:textId="671D438D" w:rsidR="0070395C" w:rsidRPr="00AE0231" w:rsidRDefault="00AE0231" w:rsidP="008B0447">
            <w:pPr>
              <w:pStyle w:val="TableBullet"/>
            </w:pPr>
            <w:r w:rsidRPr="008B0447">
              <w:t xml:space="preserve">waterway quality programs and the </w:t>
            </w:r>
            <w:r w:rsidRPr="008B0447">
              <w:rPr>
                <w:rStyle w:val="ItalicText"/>
                <w:szCs w:val="18"/>
              </w:rPr>
              <w:t>Healthy Waterways Strategy</w:t>
            </w:r>
          </w:p>
        </w:tc>
        <w:tc>
          <w:tcPr>
            <w:tcW w:w="1834" w:type="dxa"/>
            <w:vAlign w:val="top"/>
          </w:tcPr>
          <w:p w14:paraId="59D86610" w14:textId="51B6E2A5" w:rsidR="0070395C" w:rsidRPr="008B0447" w:rsidRDefault="00AE0231" w:rsidP="00AE023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_Ref89718872 \h </w:instrText>
            </w:r>
            <w:r>
              <w:rPr>
                <w:szCs w:val="18"/>
              </w:rPr>
            </w:r>
            <w:r>
              <w:rPr>
                <w:szCs w:val="18"/>
              </w:rPr>
              <w:fldChar w:fldCharType="separate"/>
            </w:r>
            <w:r w:rsidR="00472151">
              <w:rPr>
                <w:noProof/>
                <w:szCs w:val="18"/>
              </w:rPr>
              <w:t>35</w:t>
            </w:r>
            <w:r>
              <w:rPr>
                <w:szCs w:val="18"/>
              </w:rPr>
              <w:fldChar w:fldCharType="end"/>
            </w:r>
            <w:r>
              <w:rPr>
                <w:szCs w:val="18"/>
              </w:rPr>
              <w:t>-</w:t>
            </w:r>
            <w:r w:rsidR="008C6437">
              <w:rPr>
                <w:szCs w:val="18"/>
              </w:rPr>
              <w:fldChar w:fldCharType="begin"/>
            </w:r>
            <w:r w:rsidR="008C6437">
              <w:rPr>
                <w:szCs w:val="18"/>
              </w:rPr>
              <w:instrText xml:space="preserve"> PAGEREF _Ref89809665 \h </w:instrText>
            </w:r>
            <w:r w:rsidR="008C6437">
              <w:rPr>
                <w:szCs w:val="18"/>
              </w:rPr>
            </w:r>
            <w:r w:rsidR="008C6437">
              <w:rPr>
                <w:szCs w:val="18"/>
              </w:rPr>
              <w:fldChar w:fldCharType="separate"/>
            </w:r>
            <w:r w:rsidR="00472151">
              <w:rPr>
                <w:noProof/>
                <w:szCs w:val="18"/>
              </w:rPr>
              <w:t>40</w:t>
            </w:r>
            <w:r w:rsidR="008C6437">
              <w:rPr>
                <w:szCs w:val="18"/>
              </w:rPr>
              <w:fldChar w:fldCharType="end"/>
            </w:r>
          </w:p>
        </w:tc>
      </w:tr>
      <w:tr w:rsidR="00AE0231" w:rsidRPr="008B0447" w14:paraId="41251252" w14:textId="77777777" w:rsidTr="00AE0231">
        <w:tc>
          <w:tcPr>
            <w:cnfStyle w:val="001000000000" w:firstRow="0" w:lastRow="0" w:firstColumn="1" w:lastColumn="0" w:oddVBand="0" w:evenVBand="0" w:oddHBand="0" w:evenHBand="0" w:firstRowFirstColumn="0" w:firstRowLastColumn="0" w:lastRowFirstColumn="0" w:lastRowLastColumn="0"/>
            <w:tcW w:w="7797" w:type="dxa"/>
          </w:tcPr>
          <w:p w14:paraId="0F277FCE" w14:textId="6D6D5D17" w:rsidR="00AE0231" w:rsidRPr="00AE0231" w:rsidRDefault="00AE0231" w:rsidP="008B0447">
            <w:pPr>
              <w:pStyle w:val="TableBullet"/>
            </w:pPr>
            <w:r w:rsidRPr="008B0447">
              <w:lastRenderedPageBreak/>
              <w:t>our flooding and drainage programs and supporting strategies</w:t>
            </w:r>
          </w:p>
        </w:tc>
        <w:tc>
          <w:tcPr>
            <w:tcW w:w="1834" w:type="dxa"/>
            <w:vAlign w:val="top"/>
          </w:tcPr>
          <w:p w14:paraId="795EB3CF" w14:textId="69746BCC" w:rsidR="00AE0231" w:rsidRPr="008B0447" w:rsidRDefault="008C6437" w:rsidP="00AE023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_Ref89809707 \h </w:instrText>
            </w:r>
            <w:r>
              <w:rPr>
                <w:szCs w:val="18"/>
              </w:rPr>
            </w:r>
            <w:r>
              <w:rPr>
                <w:szCs w:val="18"/>
              </w:rPr>
              <w:fldChar w:fldCharType="separate"/>
            </w:r>
            <w:r w:rsidR="00472151">
              <w:rPr>
                <w:noProof/>
                <w:szCs w:val="18"/>
              </w:rPr>
              <w:t>32</w:t>
            </w:r>
            <w:r>
              <w:rPr>
                <w:szCs w:val="18"/>
              </w:rPr>
              <w:fldChar w:fldCharType="end"/>
            </w:r>
            <w:r>
              <w:rPr>
                <w:szCs w:val="18"/>
              </w:rPr>
              <w:t>-</w:t>
            </w:r>
            <w:r>
              <w:rPr>
                <w:szCs w:val="18"/>
              </w:rPr>
              <w:fldChar w:fldCharType="begin"/>
            </w:r>
            <w:r>
              <w:rPr>
                <w:szCs w:val="18"/>
              </w:rPr>
              <w:instrText xml:space="preserve"> PAGEREF _Ref89809724 \h </w:instrText>
            </w:r>
            <w:r>
              <w:rPr>
                <w:szCs w:val="18"/>
              </w:rPr>
            </w:r>
            <w:r>
              <w:rPr>
                <w:szCs w:val="18"/>
              </w:rPr>
              <w:fldChar w:fldCharType="separate"/>
            </w:r>
            <w:r w:rsidR="00472151">
              <w:rPr>
                <w:noProof/>
                <w:szCs w:val="18"/>
              </w:rPr>
              <w:t>34</w:t>
            </w:r>
            <w:r>
              <w:rPr>
                <w:szCs w:val="18"/>
              </w:rPr>
              <w:fldChar w:fldCharType="end"/>
            </w:r>
            <w:r>
              <w:rPr>
                <w:szCs w:val="18"/>
              </w:rPr>
              <w:t xml:space="preserve">, </w:t>
            </w:r>
            <w:r>
              <w:rPr>
                <w:szCs w:val="18"/>
              </w:rPr>
              <w:fldChar w:fldCharType="begin"/>
            </w:r>
            <w:r>
              <w:rPr>
                <w:szCs w:val="18"/>
              </w:rPr>
              <w:instrText xml:space="preserve"> PAGEREF _Ref89809758 \h </w:instrText>
            </w:r>
            <w:r>
              <w:rPr>
                <w:szCs w:val="18"/>
              </w:rPr>
            </w:r>
            <w:r>
              <w:rPr>
                <w:szCs w:val="18"/>
              </w:rPr>
              <w:fldChar w:fldCharType="separate"/>
            </w:r>
            <w:r w:rsidR="00472151">
              <w:rPr>
                <w:noProof/>
                <w:szCs w:val="18"/>
              </w:rPr>
              <w:t>93</w:t>
            </w:r>
            <w:r>
              <w:rPr>
                <w:szCs w:val="18"/>
              </w:rPr>
              <w:fldChar w:fldCharType="end"/>
            </w:r>
          </w:p>
        </w:tc>
      </w:tr>
      <w:tr w:rsidR="00AE0231" w:rsidRPr="008B0447" w14:paraId="5B9668B5" w14:textId="77777777" w:rsidTr="00AE0231">
        <w:tc>
          <w:tcPr>
            <w:cnfStyle w:val="001000000000" w:firstRow="0" w:lastRow="0" w:firstColumn="1" w:lastColumn="0" w:oddVBand="0" w:evenVBand="0" w:oddHBand="0" w:evenHBand="0" w:firstRowFirstColumn="0" w:firstRowLastColumn="0" w:lastRowFirstColumn="0" w:lastRowLastColumn="0"/>
            <w:tcW w:w="7797" w:type="dxa"/>
          </w:tcPr>
          <w:p w14:paraId="7B958569" w14:textId="7171B236" w:rsidR="00AE0231" w:rsidRPr="00AE0231" w:rsidRDefault="00AE0231" w:rsidP="008B0447">
            <w:pPr>
              <w:pStyle w:val="TableBullet"/>
            </w:pPr>
            <w:r w:rsidRPr="008B0447">
              <w:t xml:space="preserve">our biodiversity program and supporting </w:t>
            </w:r>
            <w:r w:rsidRPr="008B0447">
              <w:rPr>
                <w:rStyle w:val="ItalicText"/>
                <w:szCs w:val="18"/>
              </w:rPr>
              <w:t>Environmental Stewardship Strategy</w:t>
            </w:r>
          </w:p>
        </w:tc>
        <w:tc>
          <w:tcPr>
            <w:tcW w:w="1834" w:type="dxa"/>
            <w:vAlign w:val="top"/>
          </w:tcPr>
          <w:p w14:paraId="322BF658" w14:textId="00CA17BF" w:rsidR="00AE0231" w:rsidRPr="008B0447" w:rsidRDefault="008C6437" w:rsidP="00AE023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_Ref89809783 \h </w:instrText>
            </w:r>
            <w:r>
              <w:rPr>
                <w:szCs w:val="18"/>
              </w:rPr>
            </w:r>
            <w:r>
              <w:rPr>
                <w:szCs w:val="18"/>
              </w:rPr>
              <w:fldChar w:fldCharType="separate"/>
            </w:r>
            <w:r w:rsidR="00472151">
              <w:rPr>
                <w:noProof/>
                <w:szCs w:val="18"/>
              </w:rPr>
              <w:t>63</w:t>
            </w:r>
            <w:r>
              <w:rPr>
                <w:szCs w:val="18"/>
              </w:rPr>
              <w:fldChar w:fldCharType="end"/>
            </w:r>
          </w:p>
        </w:tc>
      </w:tr>
      <w:tr w:rsidR="00AE0231" w:rsidRPr="008B0447" w14:paraId="1E533685" w14:textId="77777777" w:rsidTr="00AE0231">
        <w:tc>
          <w:tcPr>
            <w:cnfStyle w:val="001000000000" w:firstRow="0" w:lastRow="0" w:firstColumn="1" w:lastColumn="0" w:oddVBand="0" w:evenVBand="0" w:oddHBand="0" w:evenHBand="0" w:firstRowFirstColumn="0" w:firstRowLastColumn="0" w:lastRowFirstColumn="0" w:lastRowLastColumn="0"/>
            <w:tcW w:w="7797" w:type="dxa"/>
          </w:tcPr>
          <w:p w14:paraId="0C67BD14" w14:textId="0FACA8CC" w:rsidR="00AE0231" w:rsidRPr="00AE0231" w:rsidRDefault="00AE0231" w:rsidP="008B0447">
            <w:pPr>
              <w:pStyle w:val="TableBullet"/>
            </w:pPr>
            <w:r w:rsidRPr="008B0447">
              <w:t>our environmental programs including energy, resource recovery and climate risk management</w:t>
            </w:r>
          </w:p>
        </w:tc>
        <w:tc>
          <w:tcPr>
            <w:tcW w:w="1834" w:type="dxa"/>
            <w:vAlign w:val="top"/>
          </w:tcPr>
          <w:p w14:paraId="02CD7020" w14:textId="093223B2" w:rsidR="00AE0231" w:rsidRPr="008B0447" w:rsidRDefault="008C6437" w:rsidP="00AE0231">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_Ref89809814 \h </w:instrText>
            </w:r>
            <w:r>
              <w:rPr>
                <w:szCs w:val="18"/>
              </w:rPr>
            </w:r>
            <w:r>
              <w:rPr>
                <w:szCs w:val="18"/>
              </w:rPr>
              <w:fldChar w:fldCharType="separate"/>
            </w:r>
            <w:r w:rsidR="00472151">
              <w:rPr>
                <w:noProof/>
                <w:szCs w:val="18"/>
              </w:rPr>
              <w:t>53</w:t>
            </w:r>
            <w:r>
              <w:rPr>
                <w:szCs w:val="18"/>
              </w:rPr>
              <w:fldChar w:fldCharType="end"/>
            </w:r>
            <w:r>
              <w:rPr>
                <w:szCs w:val="18"/>
              </w:rPr>
              <w:t>-</w:t>
            </w:r>
            <w:r w:rsidR="005E4284">
              <w:rPr>
                <w:szCs w:val="18"/>
              </w:rPr>
              <w:fldChar w:fldCharType="begin"/>
            </w:r>
            <w:r w:rsidR="005E4284">
              <w:rPr>
                <w:szCs w:val="18"/>
              </w:rPr>
              <w:instrText xml:space="preserve"> PAGEREF _Ref89809830 \h </w:instrText>
            </w:r>
            <w:r w:rsidR="005E4284">
              <w:rPr>
                <w:szCs w:val="18"/>
              </w:rPr>
            </w:r>
            <w:r w:rsidR="005E4284">
              <w:rPr>
                <w:szCs w:val="18"/>
              </w:rPr>
              <w:fldChar w:fldCharType="separate"/>
            </w:r>
            <w:r w:rsidR="00472151">
              <w:rPr>
                <w:noProof/>
                <w:szCs w:val="18"/>
              </w:rPr>
              <w:t>63</w:t>
            </w:r>
            <w:r w:rsidR="005E4284">
              <w:rPr>
                <w:szCs w:val="18"/>
              </w:rPr>
              <w:fldChar w:fldCharType="end"/>
            </w:r>
          </w:p>
        </w:tc>
      </w:tr>
      <w:tr w:rsidR="0070395C" w:rsidRPr="008B0447" w14:paraId="40A6F376" w14:textId="77777777" w:rsidTr="005E4284">
        <w:tc>
          <w:tcPr>
            <w:cnfStyle w:val="001000000000" w:firstRow="0" w:lastRow="0" w:firstColumn="1" w:lastColumn="0" w:oddVBand="0" w:evenVBand="0" w:oddHBand="0" w:evenHBand="0" w:firstRowFirstColumn="0" w:firstRowLastColumn="0" w:lastRowFirstColumn="0" w:lastRowLastColumn="0"/>
            <w:tcW w:w="7797" w:type="dxa"/>
            <w:vAlign w:val="top"/>
          </w:tcPr>
          <w:p w14:paraId="11CEED10" w14:textId="64C90EFA" w:rsidR="0070395C" w:rsidRPr="008B0447" w:rsidRDefault="0070395C" w:rsidP="00AE0231">
            <w:pPr>
              <w:pStyle w:val="TableBullet"/>
              <w:rPr>
                <w:szCs w:val="18"/>
              </w:rPr>
            </w:pPr>
            <w:r w:rsidRPr="008B0447">
              <w:t>our community engagement and education programs.</w:t>
            </w:r>
          </w:p>
        </w:tc>
        <w:tc>
          <w:tcPr>
            <w:tcW w:w="1834" w:type="dxa"/>
            <w:vAlign w:val="top"/>
          </w:tcPr>
          <w:p w14:paraId="4A6931C3" w14:textId="19C9CE9E" w:rsidR="0070395C" w:rsidRPr="008B0447" w:rsidRDefault="005E4284" w:rsidP="005E4284">
            <w:pPr>
              <w:pStyle w:val="TableBodyText"/>
              <w:cnfStyle w:val="000000000000" w:firstRow="0" w:lastRow="0" w:firstColumn="0" w:lastColumn="0" w:oddVBand="0" w:evenVBand="0" w:oddHBand="0" w:evenHBand="0" w:firstRowFirstColumn="0" w:firstRowLastColumn="0" w:lastRowFirstColumn="0" w:lastRowLastColumn="0"/>
              <w:rPr>
                <w:szCs w:val="18"/>
              </w:rPr>
            </w:pPr>
            <w:r>
              <w:rPr>
                <w:szCs w:val="18"/>
              </w:rPr>
              <w:fldChar w:fldCharType="begin"/>
            </w:r>
            <w:r>
              <w:rPr>
                <w:szCs w:val="18"/>
              </w:rPr>
              <w:instrText xml:space="preserve"> PAGEREF _Ref89809858 \h </w:instrText>
            </w:r>
            <w:r>
              <w:rPr>
                <w:szCs w:val="18"/>
              </w:rPr>
            </w:r>
            <w:r>
              <w:rPr>
                <w:szCs w:val="18"/>
              </w:rPr>
              <w:fldChar w:fldCharType="separate"/>
            </w:r>
            <w:r w:rsidR="00472151">
              <w:rPr>
                <w:noProof/>
                <w:szCs w:val="18"/>
              </w:rPr>
              <w:t>26</w:t>
            </w:r>
            <w:r>
              <w:rPr>
                <w:szCs w:val="18"/>
              </w:rPr>
              <w:fldChar w:fldCharType="end"/>
            </w:r>
            <w:r>
              <w:rPr>
                <w:szCs w:val="18"/>
              </w:rPr>
              <w:t xml:space="preserve">, </w:t>
            </w:r>
            <w:r>
              <w:rPr>
                <w:szCs w:val="18"/>
              </w:rPr>
              <w:fldChar w:fldCharType="begin"/>
            </w:r>
            <w:r>
              <w:rPr>
                <w:szCs w:val="18"/>
              </w:rPr>
              <w:instrText xml:space="preserve"> PAGEREF _Ref89809896 \h </w:instrText>
            </w:r>
            <w:r>
              <w:rPr>
                <w:szCs w:val="18"/>
              </w:rPr>
            </w:r>
            <w:r>
              <w:rPr>
                <w:szCs w:val="18"/>
              </w:rPr>
              <w:fldChar w:fldCharType="separate"/>
            </w:r>
            <w:r w:rsidR="00472151">
              <w:rPr>
                <w:noProof/>
                <w:szCs w:val="18"/>
              </w:rPr>
              <w:t>42</w:t>
            </w:r>
            <w:r>
              <w:rPr>
                <w:szCs w:val="18"/>
              </w:rPr>
              <w:fldChar w:fldCharType="end"/>
            </w:r>
            <w:r>
              <w:rPr>
                <w:szCs w:val="18"/>
              </w:rPr>
              <w:t xml:space="preserve">, </w:t>
            </w:r>
            <w:r>
              <w:rPr>
                <w:szCs w:val="18"/>
              </w:rPr>
              <w:fldChar w:fldCharType="begin"/>
            </w:r>
            <w:r>
              <w:rPr>
                <w:szCs w:val="18"/>
              </w:rPr>
              <w:instrText xml:space="preserve"> PAGEREF _Ref89718212 \h </w:instrText>
            </w:r>
            <w:r>
              <w:rPr>
                <w:szCs w:val="18"/>
              </w:rPr>
            </w:r>
            <w:r>
              <w:rPr>
                <w:szCs w:val="18"/>
              </w:rPr>
              <w:fldChar w:fldCharType="separate"/>
            </w:r>
            <w:r w:rsidR="00472151">
              <w:rPr>
                <w:noProof/>
                <w:szCs w:val="18"/>
              </w:rPr>
              <w:t>46</w:t>
            </w:r>
            <w:r>
              <w:rPr>
                <w:szCs w:val="18"/>
              </w:rPr>
              <w:fldChar w:fldCharType="end"/>
            </w:r>
            <w:r>
              <w:rPr>
                <w:szCs w:val="18"/>
              </w:rPr>
              <w:t>-</w:t>
            </w:r>
            <w:r>
              <w:rPr>
                <w:szCs w:val="18"/>
              </w:rPr>
              <w:fldChar w:fldCharType="begin"/>
            </w:r>
            <w:r>
              <w:rPr>
                <w:szCs w:val="18"/>
              </w:rPr>
              <w:instrText xml:space="preserve"> PAGEREF _Ref89809922 \h </w:instrText>
            </w:r>
            <w:r>
              <w:rPr>
                <w:szCs w:val="18"/>
              </w:rPr>
            </w:r>
            <w:r>
              <w:rPr>
                <w:szCs w:val="18"/>
              </w:rPr>
              <w:fldChar w:fldCharType="separate"/>
            </w:r>
            <w:r w:rsidR="00472151">
              <w:rPr>
                <w:noProof/>
                <w:szCs w:val="18"/>
              </w:rPr>
              <w:t>48</w:t>
            </w:r>
            <w:r>
              <w:rPr>
                <w:szCs w:val="18"/>
              </w:rPr>
              <w:fldChar w:fldCharType="end"/>
            </w:r>
          </w:p>
        </w:tc>
      </w:tr>
    </w:tbl>
    <w:p w14:paraId="0A6A5C42" w14:textId="5D744DD0" w:rsidR="005E4284" w:rsidRDefault="009C6A29" w:rsidP="009C6A29">
      <w:pPr>
        <w:pStyle w:val="Heading3"/>
      </w:pPr>
      <w:bookmarkStart w:id="1486" w:name="_Toc90326139"/>
      <w:bookmarkStart w:id="1487" w:name="_Toc93659545"/>
      <w:r w:rsidRPr="008B3B33">
        <w:t>Global</w:t>
      </w:r>
      <w:r>
        <w:t xml:space="preserve"> Compact – Anti-corruption</w:t>
      </w:r>
      <w:bookmarkEnd w:id="1486"/>
      <w:bookmarkEnd w:id="1487"/>
    </w:p>
    <w:tbl>
      <w:tblPr>
        <w:tblStyle w:val="Style1"/>
        <w:tblW w:w="0" w:type="auto"/>
        <w:tblLook w:val="04A0" w:firstRow="1" w:lastRow="0" w:firstColumn="1" w:lastColumn="0" w:noHBand="0" w:noVBand="1"/>
      </w:tblPr>
      <w:tblGrid>
        <w:gridCol w:w="7797"/>
        <w:gridCol w:w="1834"/>
      </w:tblGrid>
      <w:tr w:rsidR="003C1173" w:rsidRPr="008B0447" w14:paraId="7945BA2B" w14:textId="77777777" w:rsidTr="004257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vAlign w:val="bottom"/>
          </w:tcPr>
          <w:p w14:paraId="6F5D0244" w14:textId="716656B4" w:rsidR="003C1173" w:rsidRPr="008B0447" w:rsidRDefault="00425770" w:rsidP="003C1173">
            <w:pPr>
              <w:pStyle w:val="TableBodyText"/>
              <w:keepNext/>
              <w:keepLines/>
              <w:rPr>
                <w:szCs w:val="18"/>
              </w:rPr>
            </w:pPr>
            <w:bookmarkStart w:id="1488" w:name="ColumnTitle_129"/>
            <w:r>
              <w:rPr>
                <w:szCs w:val="18"/>
              </w:rPr>
              <w:t>Principles and Description</w:t>
            </w:r>
          </w:p>
        </w:tc>
        <w:tc>
          <w:tcPr>
            <w:tcW w:w="1834" w:type="dxa"/>
            <w:vAlign w:val="bottom"/>
          </w:tcPr>
          <w:p w14:paraId="5E2CD71F" w14:textId="34EFC5B5" w:rsidR="003C1173" w:rsidRPr="008B0447" w:rsidRDefault="00425770" w:rsidP="003C1173">
            <w:pPr>
              <w:pStyle w:val="TableBodyText"/>
              <w:keepNext/>
              <w:keepLines/>
              <w:cnfStyle w:val="100000000000" w:firstRow="1" w:lastRow="0" w:firstColumn="0" w:lastColumn="0" w:oddVBand="0" w:evenVBand="0" w:oddHBand="0" w:evenHBand="0" w:firstRowFirstColumn="0" w:firstRowLastColumn="0" w:lastRowFirstColumn="0" w:lastRowLastColumn="0"/>
              <w:rPr>
                <w:szCs w:val="18"/>
              </w:rPr>
            </w:pPr>
            <w:r>
              <w:rPr>
                <w:szCs w:val="18"/>
              </w:rPr>
              <w:t>Page Reference</w:t>
            </w:r>
          </w:p>
        </w:tc>
      </w:tr>
      <w:tr w:rsidR="002C7910" w:rsidRPr="008B0447" w14:paraId="45909CDC"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6BEFF7C7" w14:textId="77777777" w:rsidR="002C7910" w:rsidRPr="00425770" w:rsidRDefault="002C7910" w:rsidP="00425770">
            <w:pPr>
              <w:pStyle w:val="TableBodyText"/>
              <w:rPr>
                <w:rStyle w:val="Bold"/>
              </w:rPr>
            </w:pPr>
            <w:bookmarkStart w:id="1489" w:name="AppendixFend"/>
            <w:bookmarkEnd w:id="1488"/>
            <w:r w:rsidRPr="00425770">
              <w:rPr>
                <w:rStyle w:val="Bold"/>
              </w:rPr>
              <w:t>Sustainable Development Goals:</w:t>
            </w:r>
          </w:p>
          <w:bookmarkEnd w:id="1489"/>
          <w:p w14:paraId="70017764" w14:textId="77777777" w:rsidR="002C7910" w:rsidRPr="008B0447" w:rsidRDefault="002C7910" w:rsidP="00425770">
            <w:pPr>
              <w:pStyle w:val="TableBodyText"/>
            </w:pPr>
            <w:r w:rsidRPr="008B0447">
              <w:t>8 – Decent Work and Economic Growth</w:t>
            </w:r>
          </w:p>
          <w:p w14:paraId="034E18F7" w14:textId="77777777" w:rsidR="002C7910" w:rsidRPr="008B0447" w:rsidRDefault="002C7910" w:rsidP="00425770">
            <w:pPr>
              <w:pStyle w:val="TableBodyText"/>
            </w:pPr>
            <w:r w:rsidRPr="008B0447">
              <w:t>16 – Peace, Justice and Strong Institutions</w:t>
            </w:r>
          </w:p>
          <w:p w14:paraId="5A0BFAEF" w14:textId="53D53F6C" w:rsidR="002C7910" w:rsidRPr="008B0447" w:rsidRDefault="002C7910" w:rsidP="00425770">
            <w:pPr>
              <w:pStyle w:val="TableBodyText"/>
            </w:pPr>
            <w:r w:rsidRPr="008B0447">
              <w:t>17 – Partnerships for the Goals</w:t>
            </w:r>
          </w:p>
        </w:tc>
        <w:tc>
          <w:tcPr>
            <w:tcW w:w="1834" w:type="dxa"/>
            <w:vAlign w:val="top"/>
          </w:tcPr>
          <w:p w14:paraId="18A67985" w14:textId="457B8DAA" w:rsidR="002C7910" w:rsidRPr="008B0447" w:rsidRDefault="002C7910" w:rsidP="002C7910">
            <w:pPr>
              <w:pStyle w:val="TableBodyText"/>
              <w:cnfStyle w:val="000000000000" w:firstRow="0" w:lastRow="0" w:firstColumn="0" w:lastColumn="0" w:oddVBand="0" w:evenVBand="0" w:oddHBand="0" w:evenHBand="0" w:firstRowFirstColumn="0" w:firstRowLastColumn="0" w:lastRowFirstColumn="0" w:lastRowLastColumn="0"/>
            </w:pPr>
            <w:r>
              <w:t>N/A</w:t>
            </w:r>
          </w:p>
        </w:tc>
      </w:tr>
      <w:tr w:rsidR="002C7910" w:rsidRPr="008B0447" w14:paraId="1E57D420"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78744292" w14:textId="77777777" w:rsidR="002C7910" w:rsidRPr="002C7910" w:rsidRDefault="002C7910" w:rsidP="002C7910">
            <w:pPr>
              <w:pStyle w:val="TableBodyText"/>
              <w:rPr>
                <w:rStyle w:val="Bold"/>
              </w:rPr>
            </w:pPr>
            <w:r w:rsidRPr="002C7910">
              <w:rPr>
                <w:rStyle w:val="Bold"/>
              </w:rPr>
              <w:t>Principle:</w:t>
            </w:r>
          </w:p>
          <w:p w14:paraId="65ADD735" w14:textId="4DF62EF5" w:rsidR="002C7910" w:rsidRPr="008B0447" w:rsidRDefault="002C7910" w:rsidP="002C7910">
            <w:pPr>
              <w:pStyle w:val="TableBodyText"/>
            </w:pPr>
            <w:r w:rsidRPr="008B0447">
              <w:t>10. Businesses should work against corruption in all its forms, including extortion and bribery.</w:t>
            </w:r>
          </w:p>
        </w:tc>
        <w:tc>
          <w:tcPr>
            <w:tcW w:w="1834" w:type="dxa"/>
            <w:vAlign w:val="top"/>
          </w:tcPr>
          <w:p w14:paraId="5925E890" w14:textId="6350E3A9" w:rsidR="002C7910" w:rsidRPr="008B0447" w:rsidRDefault="002C7910" w:rsidP="002C7910">
            <w:pPr>
              <w:pStyle w:val="TableBodyText"/>
              <w:cnfStyle w:val="000000000000" w:firstRow="0" w:lastRow="0" w:firstColumn="0" w:lastColumn="0" w:oddVBand="0" w:evenVBand="0" w:oddHBand="0" w:evenHBand="0" w:firstRowFirstColumn="0" w:firstRowLastColumn="0" w:lastRowFirstColumn="0" w:lastRowLastColumn="0"/>
            </w:pPr>
            <w:r>
              <w:t>N/A</w:t>
            </w:r>
          </w:p>
        </w:tc>
      </w:tr>
      <w:tr w:rsidR="002C7910" w:rsidRPr="008B0447" w14:paraId="3A75EBE2"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245B717A" w14:textId="77777777" w:rsidR="002C7910" w:rsidRPr="002C7910" w:rsidRDefault="002C7910" w:rsidP="002C7910">
            <w:pPr>
              <w:pStyle w:val="TableBodyText"/>
              <w:rPr>
                <w:rStyle w:val="Bold"/>
              </w:rPr>
            </w:pPr>
            <w:r w:rsidRPr="002C7910">
              <w:rPr>
                <w:rStyle w:val="Bold"/>
              </w:rPr>
              <w:t>Description:</w:t>
            </w:r>
          </w:p>
          <w:p w14:paraId="2C6D1C21" w14:textId="34CFD642" w:rsidR="002C7910" w:rsidRPr="008B0447" w:rsidRDefault="002C7910" w:rsidP="002C7910">
            <w:pPr>
              <w:pStyle w:val="TableBodyText"/>
            </w:pPr>
            <w:r w:rsidRPr="008B0447">
              <w:t xml:space="preserve">We are committed to a high standard of governance, with the Melbourne Water Board having overall responsibility for corporate governance. We maintain a fraud and corruption framework, including ongoing education and awareness and avenues for reporting any allegations. We undertake detailed fraud and corruption risk assessments in line with our Enterprise Risk Management Framework, consistent with the requirements of the Victorian Government Risk Management Framework 2015. We have an extensive compliance management framework ensuring ongoing compliance with relevant laws and regulations including </w:t>
            </w:r>
            <w:r w:rsidRPr="008B0447">
              <w:rPr>
                <w:szCs w:val="18"/>
              </w:rPr>
              <w:t>the Independent Broad-based Anti-corruption Commission 2011</w:t>
            </w:r>
            <w:r w:rsidRPr="008B0447">
              <w:t xml:space="preserve"> and the Protected Disclosure Act 2012. We provide assurance over our control environment through a robust assurance management program.</w:t>
            </w:r>
          </w:p>
          <w:p w14:paraId="035658DA" w14:textId="7DA8051A" w:rsidR="002C7910" w:rsidRPr="008B0447" w:rsidRDefault="002C7910" w:rsidP="004E6904">
            <w:pPr>
              <w:pStyle w:val="TableBodyText"/>
              <w:keepNext/>
            </w:pPr>
            <w:r w:rsidRPr="008B0447">
              <w:t>This commitment is implemented through the following strategies and programs, detailed within this report:</w:t>
            </w:r>
          </w:p>
        </w:tc>
        <w:tc>
          <w:tcPr>
            <w:tcW w:w="1834" w:type="dxa"/>
            <w:vAlign w:val="top"/>
          </w:tcPr>
          <w:p w14:paraId="229B4A16" w14:textId="2405A33A" w:rsidR="002C7910" w:rsidRPr="008B0447" w:rsidRDefault="002C7910" w:rsidP="002C7910">
            <w:pPr>
              <w:pStyle w:val="TableBodyText"/>
              <w:cnfStyle w:val="000000000000" w:firstRow="0" w:lastRow="0" w:firstColumn="0" w:lastColumn="0" w:oddVBand="0" w:evenVBand="0" w:oddHBand="0" w:evenHBand="0" w:firstRowFirstColumn="0" w:firstRowLastColumn="0" w:lastRowFirstColumn="0" w:lastRowLastColumn="0"/>
            </w:pPr>
            <w:r>
              <w:t>N/A</w:t>
            </w:r>
          </w:p>
        </w:tc>
      </w:tr>
      <w:tr w:rsidR="002C7910" w:rsidRPr="008B0447" w14:paraId="320CB25A"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3BB29890" w14:textId="09C0FA28" w:rsidR="002C7910" w:rsidRPr="008B0447" w:rsidRDefault="002C7910" w:rsidP="002C7910">
            <w:pPr>
              <w:pStyle w:val="TableBullet"/>
            </w:pPr>
            <w:r w:rsidRPr="008B0447">
              <w:t>our corporate governance programs and policies</w:t>
            </w:r>
          </w:p>
        </w:tc>
        <w:tc>
          <w:tcPr>
            <w:tcW w:w="1834" w:type="dxa"/>
            <w:vAlign w:val="top"/>
          </w:tcPr>
          <w:p w14:paraId="4D9396CA" w14:textId="57B5481D" w:rsidR="002C7910" w:rsidRPr="008B0447" w:rsidRDefault="002C7910" w:rsidP="002C7910">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_Ref89810489 \h </w:instrText>
            </w:r>
            <w:r>
              <w:fldChar w:fldCharType="separate"/>
            </w:r>
            <w:r w:rsidR="00472151">
              <w:rPr>
                <w:noProof/>
              </w:rPr>
              <w:t>77</w:t>
            </w:r>
            <w:r>
              <w:fldChar w:fldCharType="end"/>
            </w:r>
            <w:r>
              <w:t>-</w:t>
            </w:r>
            <w:r w:rsidR="000F1B55">
              <w:fldChar w:fldCharType="begin"/>
            </w:r>
            <w:r w:rsidR="000F1B55">
              <w:instrText xml:space="preserve"> PAGEREF CorporateGovernanceend \h </w:instrText>
            </w:r>
            <w:r w:rsidR="000F1B55">
              <w:fldChar w:fldCharType="separate"/>
            </w:r>
            <w:r w:rsidR="00472151">
              <w:rPr>
                <w:noProof/>
              </w:rPr>
              <w:t>82</w:t>
            </w:r>
            <w:r w:rsidR="000F1B55">
              <w:fldChar w:fldCharType="end"/>
            </w:r>
          </w:p>
        </w:tc>
      </w:tr>
      <w:tr w:rsidR="002C7910" w:rsidRPr="008B0447" w14:paraId="78F8EF50"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46422666" w14:textId="11295B6D" w:rsidR="002C7910" w:rsidRPr="008B0447" w:rsidRDefault="002C7910" w:rsidP="002C7910">
            <w:pPr>
              <w:pStyle w:val="TableBullet"/>
            </w:pPr>
            <w:r w:rsidRPr="008B0447">
              <w:t>our risk management program and frameworks</w:t>
            </w:r>
          </w:p>
        </w:tc>
        <w:tc>
          <w:tcPr>
            <w:tcW w:w="1834" w:type="dxa"/>
            <w:vAlign w:val="top"/>
          </w:tcPr>
          <w:p w14:paraId="72C7E068" w14:textId="3BFADD73" w:rsidR="002C7910" w:rsidRPr="008B0447" w:rsidRDefault="000F1B55" w:rsidP="002C7910">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_Ref89720384 \h </w:instrText>
            </w:r>
            <w:r>
              <w:fldChar w:fldCharType="separate"/>
            </w:r>
            <w:r w:rsidR="00472151">
              <w:rPr>
                <w:noProof/>
              </w:rPr>
              <w:t>83</w:t>
            </w:r>
            <w:r>
              <w:fldChar w:fldCharType="end"/>
            </w:r>
            <w:r>
              <w:t>-</w:t>
            </w:r>
            <w:r>
              <w:fldChar w:fldCharType="begin"/>
            </w:r>
            <w:r>
              <w:instrText xml:space="preserve"> PAGEREF _Ref89810653 \h </w:instrText>
            </w:r>
            <w:r>
              <w:fldChar w:fldCharType="separate"/>
            </w:r>
            <w:r w:rsidR="00472151">
              <w:rPr>
                <w:noProof/>
              </w:rPr>
              <w:t>87</w:t>
            </w:r>
            <w:r>
              <w:fldChar w:fldCharType="end"/>
            </w:r>
          </w:p>
        </w:tc>
      </w:tr>
      <w:tr w:rsidR="002C7910" w:rsidRPr="008B0447" w14:paraId="134F1E5B"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6F8A86F0" w14:textId="177B6CFB" w:rsidR="002C7910" w:rsidRPr="008B0447" w:rsidRDefault="002C7910" w:rsidP="002C7910">
            <w:pPr>
              <w:pStyle w:val="TableBullet"/>
            </w:pPr>
            <w:r w:rsidRPr="008B0447">
              <w:t>our compliance in accordance with Acts of Parliament</w:t>
            </w:r>
          </w:p>
        </w:tc>
        <w:tc>
          <w:tcPr>
            <w:tcW w:w="1834" w:type="dxa"/>
            <w:vAlign w:val="top"/>
          </w:tcPr>
          <w:p w14:paraId="3067A5C4" w14:textId="53A978CC" w:rsidR="002C7910" w:rsidRPr="008B0447" w:rsidRDefault="000F1B55" w:rsidP="002C7910">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_Ref89810489 \h </w:instrText>
            </w:r>
            <w:r>
              <w:fldChar w:fldCharType="separate"/>
            </w:r>
            <w:r w:rsidR="00472151">
              <w:rPr>
                <w:noProof/>
              </w:rPr>
              <w:t>77</w:t>
            </w:r>
            <w:r>
              <w:fldChar w:fldCharType="end"/>
            </w:r>
            <w:r>
              <w:t xml:space="preserve">, </w:t>
            </w:r>
            <w:r>
              <w:fldChar w:fldCharType="begin"/>
            </w:r>
            <w:r>
              <w:instrText xml:space="preserve"> PAGEREF _Ref89810697 \h </w:instrText>
            </w:r>
            <w:r>
              <w:fldChar w:fldCharType="separate"/>
            </w:r>
            <w:r w:rsidR="00472151">
              <w:rPr>
                <w:noProof/>
              </w:rPr>
              <w:t>93</w:t>
            </w:r>
            <w:r>
              <w:fldChar w:fldCharType="end"/>
            </w:r>
            <w:r>
              <w:t>-</w:t>
            </w:r>
            <w:r>
              <w:fldChar w:fldCharType="begin"/>
            </w:r>
            <w:r>
              <w:instrText xml:space="preserve"> PAGEREF _Ref89810713 \h </w:instrText>
            </w:r>
            <w:r>
              <w:fldChar w:fldCharType="separate"/>
            </w:r>
            <w:r w:rsidR="00472151">
              <w:rPr>
                <w:noProof/>
              </w:rPr>
              <w:t>93</w:t>
            </w:r>
            <w:r>
              <w:fldChar w:fldCharType="end"/>
            </w:r>
            <w:r>
              <w:t>,</w:t>
            </w:r>
          </w:p>
        </w:tc>
      </w:tr>
      <w:tr w:rsidR="002C7910" w:rsidRPr="008B0447" w14:paraId="4AF8A630"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685ABC4E" w14:textId="2B7D0B32" w:rsidR="002C7910" w:rsidRPr="008B0447" w:rsidRDefault="002C7910" w:rsidP="002C7910">
            <w:pPr>
              <w:pStyle w:val="TableBullet"/>
            </w:pPr>
            <w:r w:rsidRPr="008B0447">
              <w:t>our Code of Conduct</w:t>
            </w:r>
          </w:p>
        </w:tc>
        <w:tc>
          <w:tcPr>
            <w:tcW w:w="1834" w:type="dxa"/>
            <w:vAlign w:val="top"/>
          </w:tcPr>
          <w:p w14:paraId="7BF6ED40" w14:textId="3BDC4AC3" w:rsidR="002C7910" w:rsidRPr="008B0447" w:rsidRDefault="00926282" w:rsidP="002C7910">
            <w:pPr>
              <w:pStyle w:val="TableBodyText"/>
              <w:cnfStyle w:val="000000000000" w:firstRow="0" w:lastRow="0" w:firstColumn="0" w:lastColumn="0" w:oddVBand="0" w:evenVBand="0" w:oddHBand="0" w:evenHBand="0" w:firstRowFirstColumn="0" w:firstRowLastColumn="0" w:lastRowFirstColumn="0" w:lastRowLastColumn="0"/>
            </w:pPr>
            <w:hyperlink r:id="rId41" w:history="1">
              <w:r w:rsidR="000F1B55" w:rsidRPr="000F1B55">
                <w:rPr>
                  <w:rStyle w:val="Hyperlink"/>
                </w:rPr>
                <w:t>Melbourne Water's website</w:t>
              </w:r>
            </w:hyperlink>
            <w:r w:rsidR="000F1B55">
              <w:rPr>
                <w:rStyle w:val="FootnoteReference"/>
              </w:rPr>
              <w:footnoteReference w:id="16"/>
            </w:r>
          </w:p>
        </w:tc>
      </w:tr>
      <w:tr w:rsidR="002C7910" w:rsidRPr="008B0447" w14:paraId="5CB372C0" w14:textId="77777777" w:rsidTr="002C7910">
        <w:tc>
          <w:tcPr>
            <w:cnfStyle w:val="001000000000" w:firstRow="0" w:lastRow="0" w:firstColumn="1" w:lastColumn="0" w:oddVBand="0" w:evenVBand="0" w:oddHBand="0" w:evenHBand="0" w:firstRowFirstColumn="0" w:firstRowLastColumn="0" w:lastRowFirstColumn="0" w:lastRowLastColumn="0"/>
            <w:tcW w:w="7797" w:type="dxa"/>
            <w:vAlign w:val="top"/>
          </w:tcPr>
          <w:p w14:paraId="10AF5AED" w14:textId="31D8B6CC" w:rsidR="002C7910" w:rsidRPr="008B0447" w:rsidRDefault="002C7910" w:rsidP="002C7910">
            <w:pPr>
              <w:pStyle w:val="TableBullet"/>
            </w:pPr>
            <w:r w:rsidRPr="008B0447">
              <w:t>our public interest policy and procedure.</w:t>
            </w:r>
          </w:p>
        </w:tc>
        <w:tc>
          <w:tcPr>
            <w:tcW w:w="1834" w:type="dxa"/>
            <w:vAlign w:val="top"/>
          </w:tcPr>
          <w:p w14:paraId="324002AD" w14:textId="413B560E" w:rsidR="002C7910" w:rsidRPr="008B0447" w:rsidRDefault="000F1B55" w:rsidP="002C7910">
            <w:pPr>
              <w:pStyle w:val="TableBodyText"/>
              <w:cnfStyle w:val="000000000000" w:firstRow="0" w:lastRow="0" w:firstColumn="0" w:lastColumn="0" w:oddVBand="0" w:evenVBand="0" w:oddHBand="0" w:evenHBand="0" w:firstRowFirstColumn="0" w:firstRowLastColumn="0" w:lastRowFirstColumn="0" w:lastRowLastColumn="0"/>
            </w:pPr>
            <w:r>
              <w:fldChar w:fldCharType="begin"/>
            </w:r>
            <w:r>
              <w:instrText xml:space="preserve"> PAGEREF _Ref89810713 \h </w:instrText>
            </w:r>
            <w:r>
              <w:fldChar w:fldCharType="separate"/>
            </w:r>
            <w:r w:rsidR="00472151">
              <w:rPr>
                <w:noProof/>
              </w:rPr>
              <w:t>93</w:t>
            </w:r>
            <w:r>
              <w:fldChar w:fldCharType="end"/>
            </w:r>
          </w:p>
        </w:tc>
      </w:tr>
    </w:tbl>
    <w:p w14:paraId="70B7B8E5" w14:textId="26BF45D4" w:rsidR="004D3985" w:rsidRPr="002F020F" w:rsidRDefault="003374AB" w:rsidP="00B1710D">
      <w:pPr>
        <w:pStyle w:val="Heading2"/>
        <w:pageBreakBefore/>
      </w:pPr>
      <w:bookmarkStart w:id="1490" w:name="AppendixG"/>
      <w:bookmarkStart w:id="1491" w:name="_Toc89723194"/>
      <w:bookmarkStart w:id="1492" w:name="_Toc89723261"/>
      <w:bookmarkStart w:id="1493" w:name="_Toc89723321"/>
      <w:bookmarkStart w:id="1494" w:name="_Ref89805749"/>
      <w:bookmarkStart w:id="1495" w:name="_Toc89860586"/>
      <w:bookmarkStart w:id="1496" w:name="_Toc89860730"/>
      <w:bookmarkStart w:id="1497" w:name="_Toc90326140"/>
      <w:bookmarkStart w:id="1498" w:name="_Toc93659546"/>
      <w:r w:rsidRPr="003374AB">
        <w:lastRenderedPageBreak/>
        <w:t xml:space="preserve">Appendix G </w:t>
      </w:r>
      <w:bookmarkEnd w:id="1490"/>
      <w:r w:rsidRPr="003374AB">
        <w:t>– Letter of Expectations</w:t>
      </w:r>
      <w:bookmarkEnd w:id="1491"/>
      <w:bookmarkEnd w:id="1492"/>
      <w:bookmarkEnd w:id="1493"/>
      <w:bookmarkEnd w:id="1494"/>
      <w:bookmarkEnd w:id="1495"/>
      <w:bookmarkEnd w:id="1496"/>
      <w:bookmarkEnd w:id="1497"/>
      <w:bookmarkEnd w:id="1498"/>
    </w:p>
    <w:p w14:paraId="6AF70A32" w14:textId="2653DD1F" w:rsidR="004D3985" w:rsidRDefault="003374AB" w:rsidP="003374AB">
      <w:pPr>
        <w:pStyle w:val="Heading3"/>
      </w:pPr>
      <w:bookmarkStart w:id="1499" w:name="_Toc89723195"/>
      <w:bookmarkStart w:id="1500" w:name="_Toc90326141"/>
      <w:bookmarkStart w:id="1501" w:name="_Toc93659547"/>
      <w:r>
        <w:t>Priority Area: Climate change</w:t>
      </w:r>
      <w:bookmarkEnd w:id="1499"/>
      <w:bookmarkEnd w:id="1500"/>
      <w:bookmarkEnd w:id="1501"/>
    </w:p>
    <w:tbl>
      <w:tblPr>
        <w:tblStyle w:val="Style1"/>
        <w:tblW w:w="5000" w:type="pct"/>
        <w:tblLook w:val="04A0" w:firstRow="1" w:lastRow="0" w:firstColumn="1" w:lastColumn="0" w:noHBand="0" w:noVBand="1"/>
      </w:tblPr>
      <w:tblGrid>
        <w:gridCol w:w="7797"/>
        <w:gridCol w:w="1834"/>
      </w:tblGrid>
      <w:tr w:rsidR="003E61DC" w14:paraId="31928B0A" w14:textId="77777777" w:rsidTr="00101F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bottom"/>
          </w:tcPr>
          <w:p w14:paraId="2BD0FFC4" w14:textId="0F4144C9" w:rsidR="003E61DC" w:rsidRPr="00EB1DF9" w:rsidRDefault="00272C64" w:rsidP="00272C64">
            <w:pPr>
              <w:pStyle w:val="TableBodyText"/>
              <w:rPr>
                <w:lang w:eastAsia="en-US"/>
              </w:rPr>
            </w:pPr>
            <w:bookmarkStart w:id="1502" w:name="ColumnTitle_130"/>
            <w:r w:rsidRPr="00EB1DF9">
              <w:rPr>
                <w:lang w:eastAsia="en-US"/>
              </w:rPr>
              <w:t>Principles and Description</w:t>
            </w:r>
          </w:p>
        </w:tc>
        <w:tc>
          <w:tcPr>
            <w:tcW w:w="952" w:type="pct"/>
            <w:tcBorders>
              <w:top w:val="single" w:sz="4" w:space="0" w:color="auto"/>
            </w:tcBorders>
            <w:vAlign w:val="bottom"/>
          </w:tcPr>
          <w:p w14:paraId="0BF0D7C6" w14:textId="77687DA5" w:rsidR="003E61DC" w:rsidRPr="00EB1DF9" w:rsidRDefault="00272C64" w:rsidP="00272C64">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EB1DF9">
              <w:rPr>
                <w:lang w:eastAsia="en-US"/>
              </w:rPr>
              <w:t>Page Reference</w:t>
            </w:r>
          </w:p>
        </w:tc>
      </w:tr>
      <w:bookmarkEnd w:id="1502"/>
      <w:tr w:rsidR="003E61DC" w14:paraId="5D906CA5" w14:textId="77777777" w:rsidTr="00101F84">
        <w:tc>
          <w:tcPr>
            <w:cnfStyle w:val="001000000000" w:firstRow="0" w:lastRow="0" w:firstColumn="1" w:lastColumn="0" w:oddVBand="0" w:evenVBand="0" w:oddHBand="0" w:evenHBand="0" w:firstRowFirstColumn="0" w:firstRowLastColumn="0" w:lastRowFirstColumn="0" w:lastRowLastColumn="0"/>
            <w:tcW w:w="4048" w:type="pct"/>
            <w:vAlign w:val="top"/>
          </w:tcPr>
          <w:p w14:paraId="563550F3" w14:textId="77777777" w:rsidR="00272C64" w:rsidRDefault="00272C64" w:rsidP="008B0447">
            <w:pPr>
              <w:pStyle w:val="TableBodyText"/>
              <w:rPr>
                <w:lang w:eastAsia="en-US"/>
              </w:rPr>
            </w:pPr>
            <w:r>
              <w:rPr>
                <w:lang w:eastAsia="en-US"/>
              </w:rPr>
              <w:t>E2</w:t>
            </w:r>
          </w:p>
          <w:p w14:paraId="5DECDCBE" w14:textId="018CED15" w:rsidR="003E61DC" w:rsidRDefault="00272C64" w:rsidP="008B0447">
            <w:pPr>
              <w:pStyle w:val="TableBodyText"/>
              <w:rPr>
                <w:lang w:eastAsia="en-US"/>
              </w:rPr>
            </w:pPr>
            <w:r>
              <w:rPr>
                <w:lang w:eastAsia="en-US"/>
              </w:rPr>
              <w:t>Emissions reduction</w:t>
            </w:r>
          </w:p>
        </w:tc>
        <w:tc>
          <w:tcPr>
            <w:tcW w:w="952" w:type="pct"/>
            <w:vAlign w:val="top"/>
          </w:tcPr>
          <w:p w14:paraId="62DD4441" w14:textId="6575CB37" w:rsidR="003E61DC" w:rsidRDefault="00EB1DF9"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fldChar w:fldCharType="begin"/>
            </w:r>
            <w:r>
              <w:rPr>
                <w:lang w:eastAsia="en-US"/>
              </w:rPr>
              <w:instrText xml:space="preserve"> PAGEREF _Ref89810850 \h </w:instrText>
            </w:r>
            <w:r>
              <w:rPr>
                <w:lang w:eastAsia="en-US"/>
              </w:rPr>
            </w:r>
            <w:r>
              <w:rPr>
                <w:lang w:eastAsia="en-US"/>
              </w:rPr>
              <w:fldChar w:fldCharType="separate"/>
            </w:r>
            <w:r w:rsidR="00472151">
              <w:rPr>
                <w:noProof/>
                <w:lang w:eastAsia="en-US"/>
              </w:rPr>
              <w:t>59</w:t>
            </w:r>
            <w:r>
              <w:rPr>
                <w:lang w:eastAsia="en-US"/>
              </w:rPr>
              <w:fldChar w:fldCharType="end"/>
            </w:r>
            <w:r>
              <w:rPr>
                <w:lang w:eastAsia="en-US"/>
              </w:rPr>
              <w:t>-</w:t>
            </w:r>
            <w:r>
              <w:rPr>
                <w:lang w:eastAsia="en-US"/>
              </w:rPr>
              <w:fldChar w:fldCharType="begin"/>
            </w:r>
            <w:r>
              <w:rPr>
                <w:lang w:eastAsia="en-US"/>
              </w:rPr>
              <w:instrText xml:space="preserve"> PAGEREF _Ref89810867 \h </w:instrText>
            </w:r>
            <w:r>
              <w:rPr>
                <w:lang w:eastAsia="en-US"/>
              </w:rPr>
            </w:r>
            <w:r>
              <w:rPr>
                <w:lang w:eastAsia="en-US"/>
              </w:rPr>
              <w:fldChar w:fldCharType="separate"/>
            </w:r>
            <w:r w:rsidR="00472151">
              <w:rPr>
                <w:noProof/>
                <w:lang w:eastAsia="en-US"/>
              </w:rPr>
              <w:t>61</w:t>
            </w:r>
            <w:r>
              <w:rPr>
                <w:lang w:eastAsia="en-US"/>
              </w:rPr>
              <w:fldChar w:fldCharType="end"/>
            </w:r>
          </w:p>
        </w:tc>
      </w:tr>
      <w:tr w:rsidR="00272C64" w14:paraId="0426B04F" w14:textId="77777777" w:rsidTr="00101F84">
        <w:tc>
          <w:tcPr>
            <w:cnfStyle w:val="001000000000" w:firstRow="0" w:lastRow="0" w:firstColumn="1" w:lastColumn="0" w:oddVBand="0" w:evenVBand="0" w:oddHBand="0" w:evenHBand="0" w:firstRowFirstColumn="0" w:firstRowLastColumn="0" w:lastRowFirstColumn="0" w:lastRowLastColumn="0"/>
            <w:tcW w:w="4048" w:type="pct"/>
            <w:tcBorders>
              <w:bottom w:val="single" w:sz="4" w:space="0" w:color="auto"/>
            </w:tcBorders>
            <w:vAlign w:val="top"/>
          </w:tcPr>
          <w:p w14:paraId="166FE1EC" w14:textId="77777777" w:rsidR="00272C64" w:rsidRDefault="00272C64" w:rsidP="008B0447">
            <w:pPr>
              <w:pStyle w:val="TableBodyText"/>
              <w:rPr>
                <w:lang w:eastAsia="en-US"/>
              </w:rPr>
            </w:pPr>
            <w:r>
              <w:rPr>
                <w:lang w:eastAsia="en-US"/>
              </w:rPr>
              <w:t>E3</w:t>
            </w:r>
          </w:p>
          <w:p w14:paraId="4035D3F9" w14:textId="5D3AE36A" w:rsidR="00272C64" w:rsidRDefault="00272C64" w:rsidP="008B0447">
            <w:pPr>
              <w:pStyle w:val="TableBodyText"/>
              <w:rPr>
                <w:lang w:eastAsia="en-US"/>
              </w:rPr>
            </w:pPr>
            <w:r>
              <w:rPr>
                <w:lang w:eastAsia="en-US"/>
              </w:rPr>
              <w:t>Climate adaptation</w:t>
            </w:r>
          </w:p>
        </w:tc>
        <w:tc>
          <w:tcPr>
            <w:tcW w:w="952" w:type="pct"/>
            <w:tcBorders>
              <w:bottom w:val="single" w:sz="4" w:space="0" w:color="auto"/>
            </w:tcBorders>
            <w:vAlign w:val="top"/>
          </w:tcPr>
          <w:p w14:paraId="6C11DBB5" w14:textId="7FEA5EEA" w:rsidR="00272C64" w:rsidRDefault="00101F84"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szCs w:val="18"/>
              </w:rPr>
              <w:fldChar w:fldCharType="begin"/>
            </w:r>
            <w:r>
              <w:rPr>
                <w:szCs w:val="18"/>
              </w:rPr>
              <w:instrText xml:space="preserve"> PAGEREF _Ref89809814 \h </w:instrText>
            </w:r>
            <w:r>
              <w:rPr>
                <w:szCs w:val="18"/>
              </w:rPr>
            </w:r>
            <w:r>
              <w:rPr>
                <w:szCs w:val="18"/>
              </w:rPr>
              <w:fldChar w:fldCharType="separate"/>
            </w:r>
            <w:r w:rsidR="00472151">
              <w:rPr>
                <w:noProof/>
                <w:szCs w:val="18"/>
              </w:rPr>
              <w:t>53</w:t>
            </w:r>
            <w:r>
              <w:rPr>
                <w:szCs w:val="18"/>
              </w:rPr>
              <w:fldChar w:fldCharType="end"/>
            </w:r>
            <w:r>
              <w:rPr>
                <w:szCs w:val="18"/>
              </w:rPr>
              <w:t>-</w:t>
            </w:r>
            <w:r>
              <w:rPr>
                <w:szCs w:val="18"/>
              </w:rPr>
              <w:fldChar w:fldCharType="begin"/>
            </w:r>
            <w:r>
              <w:rPr>
                <w:szCs w:val="18"/>
              </w:rPr>
              <w:instrText xml:space="preserve"> PAGEREF Climateandresiliencehighlights \h </w:instrText>
            </w:r>
            <w:r>
              <w:rPr>
                <w:szCs w:val="18"/>
              </w:rPr>
            </w:r>
            <w:r>
              <w:rPr>
                <w:szCs w:val="18"/>
              </w:rPr>
              <w:fldChar w:fldCharType="separate"/>
            </w:r>
            <w:r w:rsidR="00472151">
              <w:rPr>
                <w:noProof/>
                <w:szCs w:val="18"/>
              </w:rPr>
              <w:t>55</w:t>
            </w:r>
            <w:r>
              <w:rPr>
                <w:szCs w:val="18"/>
              </w:rPr>
              <w:fldChar w:fldCharType="end"/>
            </w:r>
          </w:p>
        </w:tc>
      </w:tr>
    </w:tbl>
    <w:p w14:paraId="7F8B79B4" w14:textId="2683FA67" w:rsidR="008909F0" w:rsidRDefault="008909F0" w:rsidP="008909F0">
      <w:pPr>
        <w:pStyle w:val="Heading3"/>
      </w:pPr>
      <w:bookmarkStart w:id="1503" w:name="_Toc89723196"/>
      <w:bookmarkStart w:id="1504" w:name="_Toc90326142"/>
      <w:bookmarkStart w:id="1505" w:name="_Toc93659548"/>
      <w:r>
        <w:t xml:space="preserve">Priority Area: </w:t>
      </w:r>
      <w:r w:rsidRPr="008909F0">
        <w:t>Customer and community outcomes</w:t>
      </w:r>
      <w:bookmarkEnd w:id="1503"/>
      <w:bookmarkEnd w:id="1504"/>
      <w:bookmarkEnd w:id="1505"/>
    </w:p>
    <w:tbl>
      <w:tblPr>
        <w:tblStyle w:val="Style1"/>
        <w:tblW w:w="5000" w:type="pct"/>
        <w:tblLook w:val="04A0" w:firstRow="1" w:lastRow="0" w:firstColumn="1" w:lastColumn="0" w:noHBand="0" w:noVBand="1"/>
      </w:tblPr>
      <w:tblGrid>
        <w:gridCol w:w="7797"/>
        <w:gridCol w:w="1834"/>
      </w:tblGrid>
      <w:tr w:rsidR="008909F0" w14:paraId="71B4B69D" w14:textId="77777777" w:rsidTr="00101F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bottom"/>
          </w:tcPr>
          <w:p w14:paraId="24C8E8C0" w14:textId="77777777" w:rsidR="008909F0" w:rsidRDefault="008909F0" w:rsidP="008B0447">
            <w:pPr>
              <w:pStyle w:val="TableBodyText"/>
              <w:rPr>
                <w:lang w:eastAsia="en-US"/>
              </w:rPr>
            </w:pPr>
            <w:bookmarkStart w:id="1506" w:name="ColumnTitle_131"/>
            <w:r w:rsidRPr="00272C64">
              <w:rPr>
                <w:lang w:eastAsia="en-US"/>
              </w:rPr>
              <w:t>Principles and Description</w:t>
            </w:r>
          </w:p>
        </w:tc>
        <w:tc>
          <w:tcPr>
            <w:tcW w:w="952" w:type="pct"/>
            <w:tcBorders>
              <w:top w:val="single" w:sz="4" w:space="0" w:color="auto"/>
            </w:tcBorders>
            <w:vAlign w:val="bottom"/>
          </w:tcPr>
          <w:p w14:paraId="4A95D90D" w14:textId="77777777" w:rsidR="008909F0" w:rsidRPr="00101F84" w:rsidRDefault="008909F0" w:rsidP="008B0447">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101F84">
              <w:rPr>
                <w:lang w:eastAsia="en-US"/>
              </w:rPr>
              <w:t>Page Reference</w:t>
            </w:r>
          </w:p>
        </w:tc>
      </w:tr>
      <w:bookmarkEnd w:id="1506"/>
      <w:tr w:rsidR="008909F0" w14:paraId="509FF5D7" w14:textId="77777777" w:rsidTr="00101F84">
        <w:tc>
          <w:tcPr>
            <w:cnfStyle w:val="001000000000" w:firstRow="0" w:lastRow="0" w:firstColumn="1" w:lastColumn="0" w:oddVBand="0" w:evenVBand="0" w:oddHBand="0" w:evenHBand="0" w:firstRowFirstColumn="0" w:firstRowLastColumn="0" w:lastRowFirstColumn="0" w:lastRowLastColumn="0"/>
            <w:tcW w:w="4048" w:type="pct"/>
            <w:vAlign w:val="top"/>
          </w:tcPr>
          <w:p w14:paraId="4ACBE392" w14:textId="77777777" w:rsidR="008909F0" w:rsidRDefault="008909F0" w:rsidP="008B0447">
            <w:pPr>
              <w:pStyle w:val="TableBodyText"/>
              <w:rPr>
                <w:lang w:eastAsia="en-US"/>
              </w:rPr>
            </w:pPr>
            <w:r>
              <w:rPr>
                <w:lang w:eastAsia="en-US"/>
              </w:rPr>
              <w:t>C1</w:t>
            </w:r>
          </w:p>
          <w:p w14:paraId="5DA8F249" w14:textId="2B27ACD8" w:rsidR="008909F0" w:rsidRDefault="008909F0" w:rsidP="008B0447">
            <w:pPr>
              <w:pStyle w:val="TableBodyText"/>
              <w:rPr>
                <w:lang w:eastAsia="en-US"/>
              </w:rPr>
            </w:pPr>
            <w:r>
              <w:rPr>
                <w:lang w:eastAsia="en-US"/>
              </w:rPr>
              <w:t>Customer satisfaction</w:t>
            </w:r>
          </w:p>
        </w:tc>
        <w:tc>
          <w:tcPr>
            <w:tcW w:w="952" w:type="pct"/>
            <w:vAlign w:val="top"/>
          </w:tcPr>
          <w:p w14:paraId="3563CC43" w14:textId="1C9EB278" w:rsidR="008909F0" w:rsidRDefault="00101F84"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fldChar w:fldCharType="begin"/>
            </w:r>
            <w:r>
              <w:rPr>
                <w:lang w:eastAsia="en-US"/>
              </w:rPr>
              <w:instrText xml:space="preserve"> PAGEREF _Ref89811046 \h </w:instrText>
            </w:r>
            <w:r>
              <w:rPr>
                <w:lang w:eastAsia="en-US"/>
              </w:rPr>
            </w:r>
            <w:r>
              <w:rPr>
                <w:lang w:eastAsia="en-US"/>
              </w:rPr>
              <w:fldChar w:fldCharType="separate"/>
            </w:r>
            <w:r w:rsidR="00472151">
              <w:rPr>
                <w:noProof/>
                <w:lang w:eastAsia="en-US"/>
              </w:rPr>
              <w:t>48</w:t>
            </w:r>
            <w:r>
              <w:rPr>
                <w:lang w:eastAsia="en-US"/>
              </w:rPr>
              <w:fldChar w:fldCharType="end"/>
            </w:r>
            <w:r>
              <w:rPr>
                <w:lang w:eastAsia="en-US"/>
              </w:rPr>
              <w:t xml:space="preserve">, </w:t>
            </w:r>
            <w:r>
              <w:rPr>
                <w:lang w:eastAsia="en-US"/>
              </w:rPr>
              <w:fldChar w:fldCharType="begin"/>
            </w:r>
            <w:r>
              <w:rPr>
                <w:lang w:eastAsia="en-US"/>
              </w:rPr>
              <w:instrText xml:space="preserve"> PAGEREF Watersewerageandotherservice \h </w:instrText>
            </w:r>
            <w:r>
              <w:rPr>
                <w:lang w:eastAsia="en-US"/>
              </w:rPr>
            </w:r>
            <w:r>
              <w:rPr>
                <w:lang w:eastAsia="en-US"/>
              </w:rPr>
              <w:fldChar w:fldCharType="separate"/>
            </w:r>
            <w:r w:rsidR="00472151">
              <w:rPr>
                <w:noProof/>
                <w:lang w:eastAsia="en-US"/>
              </w:rPr>
              <w:t>93</w:t>
            </w:r>
            <w:r>
              <w:rPr>
                <w:lang w:eastAsia="en-US"/>
              </w:rPr>
              <w:fldChar w:fldCharType="end"/>
            </w:r>
          </w:p>
        </w:tc>
      </w:tr>
      <w:tr w:rsidR="008909F0" w14:paraId="2D12DD55" w14:textId="77777777" w:rsidTr="00101F84">
        <w:tc>
          <w:tcPr>
            <w:cnfStyle w:val="001000000000" w:firstRow="0" w:lastRow="0" w:firstColumn="1" w:lastColumn="0" w:oddVBand="0" w:evenVBand="0" w:oddHBand="0" w:evenHBand="0" w:firstRowFirstColumn="0" w:firstRowLastColumn="0" w:lastRowFirstColumn="0" w:lastRowLastColumn="0"/>
            <w:tcW w:w="4048" w:type="pct"/>
            <w:tcBorders>
              <w:bottom w:val="single" w:sz="4" w:space="0" w:color="auto"/>
            </w:tcBorders>
            <w:vAlign w:val="top"/>
          </w:tcPr>
          <w:p w14:paraId="2C1E9CB5" w14:textId="77777777" w:rsidR="008909F0" w:rsidRDefault="008909F0" w:rsidP="008B0447">
            <w:pPr>
              <w:pStyle w:val="TableBodyText"/>
              <w:rPr>
                <w:lang w:eastAsia="en-US"/>
              </w:rPr>
            </w:pPr>
            <w:r>
              <w:rPr>
                <w:lang w:eastAsia="en-US"/>
              </w:rPr>
              <w:t>C2</w:t>
            </w:r>
          </w:p>
          <w:p w14:paraId="59F39214" w14:textId="2D6E951C" w:rsidR="008909F0" w:rsidRDefault="008909F0" w:rsidP="008B0447">
            <w:pPr>
              <w:pStyle w:val="TableBodyText"/>
              <w:rPr>
                <w:lang w:eastAsia="en-US"/>
              </w:rPr>
            </w:pPr>
            <w:r>
              <w:rPr>
                <w:lang w:eastAsia="en-US"/>
              </w:rPr>
              <w:t>Customer and community engagement</w:t>
            </w:r>
          </w:p>
        </w:tc>
        <w:tc>
          <w:tcPr>
            <w:tcW w:w="952" w:type="pct"/>
            <w:tcBorders>
              <w:bottom w:val="single" w:sz="4" w:space="0" w:color="auto"/>
            </w:tcBorders>
            <w:vAlign w:val="top"/>
          </w:tcPr>
          <w:p w14:paraId="7037F084" w14:textId="6CACD7C1" w:rsidR="008909F0" w:rsidRDefault="00101F84"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szCs w:val="18"/>
              </w:rPr>
              <w:fldChar w:fldCharType="begin"/>
            </w:r>
            <w:r>
              <w:rPr>
                <w:szCs w:val="18"/>
              </w:rPr>
              <w:instrText xml:space="preserve"> PAGEREF _Ref89718212 \h </w:instrText>
            </w:r>
            <w:r>
              <w:rPr>
                <w:szCs w:val="18"/>
              </w:rPr>
            </w:r>
            <w:r>
              <w:rPr>
                <w:szCs w:val="18"/>
              </w:rPr>
              <w:fldChar w:fldCharType="separate"/>
            </w:r>
            <w:r w:rsidR="00472151">
              <w:rPr>
                <w:noProof/>
                <w:szCs w:val="18"/>
              </w:rPr>
              <w:t>46</w:t>
            </w:r>
            <w:r>
              <w:rPr>
                <w:szCs w:val="18"/>
              </w:rPr>
              <w:fldChar w:fldCharType="end"/>
            </w:r>
            <w:r>
              <w:rPr>
                <w:szCs w:val="18"/>
              </w:rPr>
              <w:t>-</w:t>
            </w:r>
            <w:r>
              <w:rPr>
                <w:szCs w:val="18"/>
              </w:rPr>
              <w:fldChar w:fldCharType="begin"/>
            </w:r>
            <w:r>
              <w:rPr>
                <w:szCs w:val="18"/>
              </w:rPr>
              <w:instrText xml:space="preserve"> PAGEREF _Ref89809922 \h </w:instrText>
            </w:r>
            <w:r>
              <w:rPr>
                <w:szCs w:val="18"/>
              </w:rPr>
            </w:r>
            <w:r>
              <w:rPr>
                <w:szCs w:val="18"/>
              </w:rPr>
              <w:fldChar w:fldCharType="separate"/>
            </w:r>
            <w:r w:rsidR="00472151">
              <w:rPr>
                <w:noProof/>
                <w:szCs w:val="18"/>
              </w:rPr>
              <w:t>48</w:t>
            </w:r>
            <w:r>
              <w:rPr>
                <w:szCs w:val="18"/>
              </w:rPr>
              <w:fldChar w:fldCharType="end"/>
            </w:r>
          </w:p>
        </w:tc>
      </w:tr>
    </w:tbl>
    <w:p w14:paraId="7A56A674" w14:textId="6CBC8EAC" w:rsidR="003374AB" w:rsidRDefault="008909F0" w:rsidP="008909F0">
      <w:pPr>
        <w:pStyle w:val="Heading3"/>
      </w:pPr>
      <w:bookmarkStart w:id="1507" w:name="_Toc89723197"/>
      <w:bookmarkStart w:id="1508" w:name="_Toc90326143"/>
      <w:bookmarkStart w:id="1509" w:name="_Toc93659549"/>
      <w:r w:rsidRPr="008909F0">
        <w:t>Priority Area: Water for Aboriginal cultural, spiritual and economic values</w:t>
      </w:r>
      <w:bookmarkEnd w:id="1507"/>
      <w:bookmarkEnd w:id="1508"/>
      <w:bookmarkEnd w:id="1509"/>
    </w:p>
    <w:tbl>
      <w:tblPr>
        <w:tblStyle w:val="Style1"/>
        <w:tblW w:w="5000" w:type="pct"/>
        <w:tblLook w:val="04A0" w:firstRow="1" w:lastRow="0" w:firstColumn="1" w:lastColumn="0" w:noHBand="0" w:noVBand="1"/>
      </w:tblPr>
      <w:tblGrid>
        <w:gridCol w:w="7797"/>
        <w:gridCol w:w="1834"/>
      </w:tblGrid>
      <w:tr w:rsidR="008909F0" w14:paraId="3EDBDE26" w14:textId="77777777" w:rsidTr="00C14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bottom"/>
          </w:tcPr>
          <w:p w14:paraId="75EFC9EC" w14:textId="77777777" w:rsidR="008909F0" w:rsidRPr="00C145D6" w:rsidRDefault="008909F0" w:rsidP="00C778D6">
            <w:pPr>
              <w:pStyle w:val="TableBodyText"/>
              <w:rPr>
                <w:lang w:eastAsia="en-US"/>
              </w:rPr>
            </w:pPr>
            <w:bookmarkStart w:id="1510" w:name="ColumnTitle_132"/>
            <w:r w:rsidRPr="00C145D6">
              <w:rPr>
                <w:lang w:eastAsia="en-US"/>
              </w:rPr>
              <w:t>Principles and Description</w:t>
            </w:r>
          </w:p>
        </w:tc>
        <w:tc>
          <w:tcPr>
            <w:tcW w:w="952" w:type="pct"/>
            <w:tcBorders>
              <w:top w:val="single" w:sz="4" w:space="0" w:color="auto"/>
            </w:tcBorders>
            <w:vAlign w:val="bottom"/>
          </w:tcPr>
          <w:p w14:paraId="0B225321" w14:textId="77777777" w:rsidR="008909F0" w:rsidRPr="00C145D6" w:rsidRDefault="008909F0" w:rsidP="00C778D6">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C145D6">
              <w:rPr>
                <w:lang w:eastAsia="en-US"/>
              </w:rPr>
              <w:t>Page Reference</w:t>
            </w:r>
          </w:p>
        </w:tc>
      </w:tr>
      <w:bookmarkEnd w:id="1510"/>
      <w:tr w:rsidR="008909F0" w14:paraId="6FB0A7EE" w14:textId="77777777" w:rsidTr="00C145D6">
        <w:tc>
          <w:tcPr>
            <w:cnfStyle w:val="001000000000" w:firstRow="0" w:lastRow="0" w:firstColumn="1" w:lastColumn="0" w:oddVBand="0" w:evenVBand="0" w:oddHBand="0" w:evenHBand="0" w:firstRowFirstColumn="0" w:firstRowLastColumn="0" w:lastRowFirstColumn="0" w:lastRowLastColumn="0"/>
            <w:tcW w:w="4048" w:type="pct"/>
            <w:vAlign w:val="top"/>
          </w:tcPr>
          <w:p w14:paraId="036121C9" w14:textId="77777777" w:rsidR="00A7689D" w:rsidRDefault="00A7689D" w:rsidP="008B0447">
            <w:pPr>
              <w:pStyle w:val="TableBodyText"/>
              <w:rPr>
                <w:lang w:eastAsia="en-US"/>
              </w:rPr>
            </w:pPr>
            <w:r>
              <w:rPr>
                <w:lang w:eastAsia="en-US"/>
              </w:rPr>
              <w:t>AC1</w:t>
            </w:r>
          </w:p>
          <w:p w14:paraId="7F0E8F80" w14:textId="260BF824" w:rsidR="008909F0" w:rsidRDefault="00A7689D" w:rsidP="008B0447">
            <w:pPr>
              <w:pStyle w:val="TableBodyText"/>
              <w:rPr>
                <w:lang w:eastAsia="en-US"/>
              </w:rPr>
            </w:pPr>
            <w:r>
              <w:rPr>
                <w:lang w:eastAsia="en-US"/>
              </w:rPr>
              <w:t>Engagement of Aboriginal Communities</w:t>
            </w:r>
          </w:p>
        </w:tc>
        <w:tc>
          <w:tcPr>
            <w:tcW w:w="952" w:type="pct"/>
            <w:vAlign w:val="top"/>
          </w:tcPr>
          <w:p w14:paraId="6CA421C6" w14:textId="423345A4" w:rsidR="008909F0" w:rsidRDefault="00C145D6"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szCs w:val="18"/>
              </w:rPr>
              <w:fldChar w:fldCharType="begin"/>
            </w:r>
            <w:r>
              <w:rPr>
                <w:szCs w:val="18"/>
              </w:rPr>
              <w:instrText xml:space="preserve"> PAGEREF _Ref89808139 \h </w:instrText>
            </w:r>
            <w:r>
              <w:rPr>
                <w:szCs w:val="18"/>
              </w:rPr>
            </w:r>
            <w:r>
              <w:rPr>
                <w:szCs w:val="18"/>
              </w:rPr>
              <w:fldChar w:fldCharType="separate"/>
            </w:r>
            <w:r w:rsidR="00472151">
              <w:rPr>
                <w:noProof/>
                <w:szCs w:val="18"/>
              </w:rPr>
              <w:t>50</w:t>
            </w:r>
            <w:r>
              <w:rPr>
                <w:szCs w:val="18"/>
              </w:rPr>
              <w:fldChar w:fldCharType="end"/>
            </w:r>
            <w:r>
              <w:rPr>
                <w:szCs w:val="18"/>
              </w:rPr>
              <w:t>-</w:t>
            </w:r>
            <w:r>
              <w:rPr>
                <w:szCs w:val="18"/>
              </w:rPr>
              <w:fldChar w:fldCharType="begin"/>
            </w:r>
            <w:r>
              <w:rPr>
                <w:szCs w:val="18"/>
              </w:rPr>
              <w:instrText xml:space="preserve"> PAGEREF _Ref89808150 \h </w:instrText>
            </w:r>
            <w:r>
              <w:rPr>
                <w:szCs w:val="18"/>
              </w:rPr>
            </w:r>
            <w:r>
              <w:rPr>
                <w:szCs w:val="18"/>
              </w:rPr>
              <w:fldChar w:fldCharType="separate"/>
            </w:r>
            <w:r w:rsidR="00472151">
              <w:rPr>
                <w:noProof/>
                <w:szCs w:val="18"/>
              </w:rPr>
              <w:t>51</w:t>
            </w:r>
            <w:r>
              <w:rPr>
                <w:szCs w:val="18"/>
              </w:rPr>
              <w:fldChar w:fldCharType="end"/>
            </w:r>
          </w:p>
        </w:tc>
      </w:tr>
      <w:tr w:rsidR="008909F0" w14:paraId="506055A5" w14:textId="77777777" w:rsidTr="00C145D6">
        <w:tc>
          <w:tcPr>
            <w:cnfStyle w:val="001000000000" w:firstRow="0" w:lastRow="0" w:firstColumn="1" w:lastColumn="0" w:oddVBand="0" w:evenVBand="0" w:oddHBand="0" w:evenHBand="0" w:firstRowFirstColumn="0" w:firstRowLastColumn="0" w:lastRowFirstColumn="0" w:lastRowLastColumn="0"/>
            <w:tcW w:w="4048" w:type="pct"/>
            <w:vAlign w:val="top"/>
          </w:tcPr>
          <w:p w14:paraId="078BDCDF" w14:textId="77777777" w:rsidR="00A7689D" w:rsidRDefault="00A7689D" w:rsidP="008B0447">
            <w:pPr>
              <w:pStyle w:val="TableBodyText"/>
              <w:rPr>
                <w:lang w:eastAsia="en-US"/>
              </w:rPr>
            </w:pPr>
            <w:r>
              <w:rPr>
                <w:lang w:eastAsia="en-US"/>
              </w:rPr>
              <w:t xml:space="preserve">AC2 </w:t>
            </w:r>
          </w:p>
          <w:p w14:paraId="6A61B443" w14:textId="344779C7" w:rsidR="00A7689D" w:rsidRDefault="00A7689D" w:rsidP="008B0447">
            <w:pPr>
              <w:pStyle w:val="TableBodyText"/>
              <w:rPr>
                <w:lang w:eastAsia="en-US"/>
              </w:rPr>
            </w:pPr>
            <w:r>
              <w:rPr>
                <w:lang w:eastAsia="en-US"/>
              </w:rPr>
              <w:t>Engagement of Traditional Owners</w:t>
            </w:r>
          </w:p>
        </w:tc>
        <w:tc>
          <w:tcPr>
            <w:tcW w:w="952" w:type="pct"/>
            <w:vAlign w:val="top"/>
          </w:tcPr>
          <w:p w14:paraId="414D5FC8" w14:textId="21CBEC19" w:rsidR="008909F0" w:rsidRDefault="00C145D6"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szCs w:val="18"/>
              </w:rPr>
              <w:fldChar w:fldCharType="begin"/>
            </w:r>
            <w:r>
              <w:rPr>
                <w:szCs w:val="18"/>
              </w:rPr>
              <w:instrText xml:space="preserve"> PAGEREF _Ref89808139 \h </w:instrText>
            </w:r>
            <w:r>
              <w:rPr>
                <w:szCs w:val="18"/>
              </w:rPr>
            </w:r>
            <w:r>
              <w:rPr>
                <w:szCs w:val="18"/>
              </w:rPr>
              <w:fldChar w:fldCharType="separate"/>
            </w:r>
            <w:r w:rsidR="00472151">
              <w:rPr>
                <w:noProof/>
                <w:szCs w:val="18"/>
              </w:rPr>
              <w:t>50</w:t>
            </w:r>
            <w:r>
              <w:rPr>
                <w:szCs w:val="18"/>
              </w:rPr>
              <w:fldChar w:fldCharType="end"/>
            </w:r>
            <w:r>
              <w:rPr>
                <w:szCs w:val="18"/>
              </w:rPr>
              <w:t>-</w:t>
            </w:r>
            <w:r>
              <w:rPr>
                <w:szCs w:val="18"/>
              </w:rPr>
              <w:fldChar w:fldCharType="begin"/>
            </w:r>
            <w:r>
              <w:rPr>
                <w:szCs w:val="18"/>
              </w:rPr>
              <w:instrText xml:space="preserve"> PAGEREF _Ref89808150 \h </w:instrText>
            </w:r>
            <w:r>
              <w:rPr>
                <w:szCs w:val="18"/>
              </w:rPr>
            </w:r>
            <w:r>
              <w:rPr>
                <w:szCs w:val="18"/>
              </w:rPr>
              <w:fldChar w:fldCharType="separate"/>
            </w:r>
            <w:r w:rsidR="00472151">
              <w:rPr>
                <w:noProof/>
                <w:szCs w:val="18"/>
              </w:rPr>
              <w:t>51</w:t>
            </w:r>
            <w:r>
              <w:rPr>
                <w:szCs w:val="18"/>
              </w:rPr>
              <w:fldChar w:fldCharType="end"/>
            </w:r>
          </w:p>
        </w:tc>
      </w:tr>
      <w:tr w:rsidR="00A7689D" w14:paraId="06959243" w14:textId="77777777" w:rsidTr="00C145D6">
        <w:tc>
          <w:tcPr>
            <w:cnfStyle w:val="001000000000" w:firstRow="0" w:lastRow="0" w:firstColumn="1" w:lastColumn="0" w:oddVBand="0" w:evenVBand="0" w:oddHBand="0" w:evenHBand="0" w:firstRowFirstColumn="0" w:firstRowLastColumn="0" w:lastRowFirstColumn="0" w:lastRowLastColumn="0"/>
            <w:tcW w:w="4048" w:type="pct"/>
            <w:tcBorders>
              <w:bottom w:val="single" w:sz="4" w:space="0" w:color="auto"/>
            </w:tcBorders>
            <w:vAlign w:val="top"/>
          </w:tcPr>
          <w:p w14:paraId="35178C61" w14:textId="77777777" w:rsidR="00A7689D" w:rsidRDefault="00A7689D" w:rsidP="008B0447">
            <w:pPr>
              <w:pStyle w:val="TableBodyText"/>
              <w:rPr>
                <w:lang w:eastAsia="en-US"/>
              </w:rPr>
            </w:pPr>
            <w:r>
              <w:rPr>
                <w:lang w:eastAsia="en-US"/>
              </w:rPr>
              <w:t>AC3</w:t>
            </w:r>
          </w:p>
          <w:p w14:paraId="576BF35B" w14:textId="2F4379C8" w:rsidR="00A7689D" w:rsidRDefault="00A7689D" w:rsidP="008B0447">
            <w:pPr>
              <w:pStyle w:val="TableBodyText"/>
              <w:rPr>
                <w:lang w:eastAsia="en-US"/>
              </w:rPr>
            </w:pPr>
            <w:r>
              <w:rPr>
                <w:lang w:eastAsia="en-US"/>
              </w:rPr>
              <w:t>Reconciliation Action Plan</w:t>
            </w:r>
          </w:p>
        </w:tc>
        <w:tc>
          <w:tcPr>
            <w:tcW w:w="952" w:type="pct"/>
            <w:tcBorders>
              <w:bottom w:val="single" w:sz="4" w:space="0" w:color="auto"/>
            </w:tcBorders>
            <w:vAlign w:val="top"/>
          </w:tcPr>
          <w:p w14:paraId="6363CBFD" w14:textId="0DF517E1" w:rsidR="00A7689D" w:rsidRDefault="00C145D6"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szCs w:val="18"/>
              </w:rPr>
              <w:fldChar w:fldCharType="begin"/>
            </w:r>
            <w:r>
              <w:rPr>
                <w:szCs w:val="18"/>
              </w:rPr>
              <w:instrText xml:space="preserve"> PAGEREF _Ref89808150 \h </w:instrText>
            </w:r>
            <w:r>
              <w:rPr>
                <w:szCs w:val="18"/>
              </w:rPr>
            </w:r>
            <w:r>
              <w:rPr>
                <w:szCs w:val="18"/>
              </w:rPr>
              <w:fldChar w:fldCharType="separate"/>
            </w:r>
            <w:r w:rsidR="00472151">
              <w:rPr>
                <w:noProof/>
                <w:szCs w:val="18"/>
              </w:rPr>
              <w:t>51</w:t>
            </w:r>
            <w:r>
              <w:rPr>
                <w:szCs w:val="18"/>
              </w:rPr>
              <w:fldChar w:fldCharType="end"/>
            </w:r>
          </w:p>
        </w:tc>
      </w:tr>
    </w:tbl>
    <w:p w14:paraId="729F3BD8" w14:textId="59F343E6" w:rsidR="00A7689D" w:rsidRDefault="00A7689D" w:rsidP="00A7689D">
      <w:pPr>
        <w:pStyle w:val="Heading3"/>
      </w:pPr>
      <w:bookmarkStart w:id="1511" w:name="_Toc89723198"/>
      <w:bookmarkStart w:id="1512" w:name="_Toc90326144"/>
      <w:bookmarkStart w:id="1513" w:name="_Toc93659550"/>
      <w:r w:rsidRPr="008909F0">
        <w:t xml:space="preserve">Priority Area: </w:t>
      </w:r>
      <w:r>
        <w:t>R</w:t>
      </w:r>
      <w:r w:rsidRPr="00A7689D">
        <w:t>esilient and liveable cities and towns</w:t>
      </w:r>
      <w:bookmarkEnd w:id="1511"/>
      <w:bookmarkEnd w:id="1512"/>
      <w:bookmarkEnd w:id="1513"/>
    </w:p>
    <w:tbl>
      <w:tblPr>
        <w:tblStyle w:val="Style1"/>
        <w:tblW w:w="5000" w:type="pct"/>
        <w:tblLook w:val="04A0" w:firstRow="1" w:lastRow="0" w:firstColumn="1" w:lastColumn="0" w:noHBand="0" w:noVBand="1"/>
      </w:tblPr>
      <w:tblGrid>
        <w:gridCol w:w="7797"/>
        <w:gridCol w:w="1834"/>
      </w:tblGrid>
      <w:tr w:rsidR="00A7689D" w14:paraId="71D3A9E5" w14:textId="77777777" w:rsidTr="00C14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bottom"/>
          </w:tcPr>
          <w:p w14:paraId="61C7CE32" w14:textId="77777777" w:rsidR="00A7689D" w:rsidRPr="00C145D6" w:rsidRDefault="00A7689D" w:rsidP="00C778D6">
            <w:pPr>
              <w:pStyle w:val="TableBodyText"/>
              <w:rPr>
                <w:lang w:eastAsia="en-US"/>
              </w:rPr>
            </w:pPr>
            <w:bookmarkStart w:id="1514" w:name="ColumnTitle_133"/>
            <w:r w:rsidRPr="00C145D6">
              <w:rPr>
                <w:lang w:eastAsia="en-US"/>
              </w:rPr>
              <w:t>Principles and Description</w:t>
            </w:r>
          </w:p>
        </w:tc>
        <w:tc>
          <w:tcPr>
            <w:tcW w:w="952" w:type="pct"/>
            <w:tcBorders>
              <w:top w:val="single" w:sz="4" w:space="0" w:color="auto"/>
            </w:tcBorders>
            <w:vAlign w:val="bottom"/>
          </w:tcPr>
          <w:p w14:paraId="493E3067" w14:textId="77777777" w:rsidR="00A7689D" w:rsidRPr="00C145D6" w:rsidRDefault="00A7689D" w:rsidP="00C778D6">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C145D6">
              <w:rPr>
                <w:lang w:eastAsia="en-US"/>
              </w:rPr>
              <w:t>Page Reference</w:t>
            </w:r>
          </w:p>
        </w:tc>
      </w:tr>
      <w:bookmarkEnd w:id="1514"/>
      <w:tr w:rsidR="00A7689D" w14:paraId="56720ED3" w14:textId="77777777" w:rsidTr="00C145D6">
        <w:tc>
          <w:tcPr>
            <w:cnfStyle w:val="001000000000" w:firstRow="0" w:lastRow="0" w:firstColumn="1" w:lastColumn="0" w:oddVBand="0" w:evenVBand="0" w:oddHBand="0" w:evenHBand="0" w:firstRowFirstColumn="0" w:firstRowLastColumn="0" w:lastRowFirstColumn="0" w:lastRowLastColumn="0"/>
            <w:tcW w:w="4048" w:type="pct"/>
            <w:vAlign w:val="top"/>
          </w:tcPr>
          <w:p w14:paraId="374724C3" w14:textId="77777777" w:rsidR="00A7689D" w:rsidRDefault="00A7689D" w:rsidP="008B0447">
            <w:pPr>
              <w:pStyle w:val="TableBodyText"/>
              <w:rPr>
                <w:lang w:eastAsia="en-US"/>
              </w:rPr>
            </w:pPr>
            <w:r>
              <w:rPr>
                <w:lang w:eastAsia="en-US"/>
              </w:rPr>
              <w:t>L1</w:t>
            </w:r>
          </w:p>
          <w:p w14:paraId="38B1F02F" w14:textId="0BA3A879" w:rsidR="00A7689D" w:rsidRDefault="00A7689D" w:rsidP="008B0447">
            <w:pPr>
              <w:pStyle w:val="TableBodyText"/>
              <w:rPr>
                <w:lang w:eastAsia="en-US"/>
              </w:rPr>
            </w:pPr>
            <w:r>
              <w:rPr>
                <w:lang w:eastAsia="en-US"/>
              </w:rPr>
              <w:t>Integrated water management</w:t>
            </w:r>
          </w:p>
        </w:tc>
        <w:tc>
          <w:tcPr>
            <w:tcW w:w="952" w:type="pct"/>
            <w:vAlign w:val="top"/>
          </w:tcPr>
          <w:p w14:paraId="1D581032" w14:textId="50732FF2" w:rsidR="00A7689D" w:rsidRDefault="00C145D6"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fldChar w:fldCharType="begin"/>
            </w:r>
            <w:r>
              <w:rPr>
                <w:lang w:eastAsia="en-US"/>
              </w:rPr>
              <w:instrText xml:space="preserve"> PAGEREF _Ref89811295 \h </w:instrText>
            </w:r>
            <w:r>
              <w:rPr>
                <w:lang w:eastAsia="en-US"/>
              </w:rPr>
            </w:r>
            <w:r>
              <w:rPr>
                <w:lang w:eastAsia="en-US"/>
              </w:rPr>
              <w:fldChar w:fldCharType="separate"/>
            </w:r>
            <w:r w:rsidR="00472151">
              <w:rPr>
                <w:noProof/>
                <w:lang w:eastAsia="en-US"/>
              </w:rPr>
              <w:t>42</w:t>
            </w:r>
            <w:r>
              <w:rPr>
                <w:lang w:eastAsia="en-US"/>
              </w:rPr>
              <w:fldChar w:fldCharType="end"/>
            </w:r>
            <w:r>
              <w:rPr>
                <w:lang w:eastAsia="en-US"/>
              </w:rPr>
              <w:t>-</w:t>
            </w:r>
            <w:r>
              <w:rPr>
                <w:lang w:eastAsia="en-US"/>
              </w:rPr>
              <w:fldChar w:fldCharType="begin"/>
            </w:r>
            <w:r>
              <w:rPr>
                <w:lang w:eastAsia="en-US"/>
              </w:rPr>
              <w:instrText xml:space="preserve"> PAGEREF _Ref89811308 \h </w:instrText>
            </w:r>
            <w:r>
              <w:rPr>
                <w:lang w:eastAsia="en-US"/>
              </w:rPr>
            </w:r>
            <w:r>
              <w:rPr>
                <w:lang w:eastAsia="en-US"/>
              </w:rPr>
              <w:fldChar w:fldCharType="separate"/>
            </w:r>
            <w:r w:rsidR="00472151">
              <w:rPr>
                <w:noProof/>
                <w:lang w:eastAsia="en-US"/>
              </w:rPr>
              <w:t>44</w:t>
            </w:r>
            <w:r>
              <w:rPr>
                <w:lang w:eastAsia="en-US"/>
              </w:rPr>
              <w:fldChar w:fldCharType="end"/>
            </w:r>
          </w:p>
        </w:tc>
      </w:tr>
      <w:tr w:rsidR="00A7689D" w14:paraId="07279268" w14:textId="77777777" w:rsidTr="00C145D6">
        <w:tc>
          <w:tcPr>
            <w:cnfStyle w:val="001000000000" w:firstRow="0" w:lastRow="0" w:firstColumn="1" w:lastColumn="0" w:oddVBand="0" w:evenVBand="0" w:oddHBand="0" w:evenHBand="0" w:firstRowFirstColumn="0" w:firstRowLastColumn="0" w:lastRowFirstColumn="0" w:lastRowLastColumn="0"/>
            <w:tcW w:w="4048" w:type="pct"/>
            <w:tcBorders>
              <w:bottom w:val="single" w:sz="4" w:space="0" w:color="auto"/>
            </w:tcBorders>
            <w:vAlign w:val="top"/>
          </w:tcPr>
          <w:p w14:paraId="2082D26C" w14:textId="77777777" w:rsidR="00A7689D" w:rsidRDefault="00A7689D" w:rsidP="008B0447">
            <w:pPr>
              <w:pStyle w:val="TableBodyText"/>
              <w:rPr>
                <w:lang w:eastAsia="en-US"/>
              </w:rPr>
            </w:pPr>
            <w:r>
              <w:rPr>
                <w:lang w:eastAsia="en-US"/>
              </w:rPr>
              <w:t>L2</w:t>
            </w:r>
          </w:p>
          <w:p w14:paraId="1E52B766" w14:textId="55CF3002" w:rsidR="00A7689D" w:rsidRDefault="00A7689D" w:rsidP="008B0447">
            <w:pPr>
              <w:pStyle w:val="TableBodyText"/>
              <w:rPr>
                <w:lang w:eastAsia="en-US"/>
              </w:rPr>
            </w:pPr>
            <w:r>
              <w:rPr>
                <w:lang w:eastAsia="en-US"/>
              </w:rPr>
              <w:t>Water efficiency</w:t>
            </w:r>
          </w:p>
        </w:tc>
        <w:tc>
          <w:tcPr>
            <w:tcW w:w="952" w:type="pct"/>
            <w:tcBorders>
              <w:bottom w:val="single" w:sz="4" w:space="0" w:color="auto"/>
            </w:tcBorders>
            <w:vAlign w:val="top"/>
          </w:tcPr>
          <w:p w14:paraId="66528790" w14:textId="0EDEE658" w:rsidR="00A7689D" w:rsidRDefault="00C145D6"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fldChar w:fldCharType="begin"/>
            </w:r>
            <w:r>
              <w:rPr>
                <w:lang w:eastAsia="en-US"/>
              </w:rPr>
              <w:instrText xml:space="preserve"> PAGEREF _Ref89811341 \h </w:instrText>
            </w:r>
            <w:r>
              <w:rPr>
                <w:lang w:eastAsia="en-US"/>
              </w:rPr>
            </w:r>
            <w:r>
              <w:rPr>
                <w:lang w:eastAsia="en-US"/>
              </w:rPr>
              <w:fldChar w:fldCharType="separate"/>
            </w:r>
            <w:r w:rsidR="00472151">
              <w:rPr>
                <w:noProof/>
                <w:lang w:eastAsia="en-US"/>
              </w:rPr>
              <w:t>26</w:t>
            </w:r>
            <w:r>
              <w:rPr>
                <w:lang w:eastAsia="en-US"/>
              </w:rPr>
              <w:fldChar w:fldCharType="end"/>
            </w:r>
          </w:p>
        </w:tc>
      </w:tr>
    </w:tbl>
    <w:p w14:paraId="3590A35B" w14:textId="49AF202B" w:rsidR="00A7689D" w:rsidRDefault="00A7689D" w:rsidP="00A7689D">
      <w:pPr>
        <w:pStyle w:val="Heading3"/>
      </w:pPr>
      <w:bookmarkStart w:id="1515" w:name="_Toc89723199"/>
      <w:bookmarkStart w:id="1516" w:name="_Toc90326145"/>
      <w:bookmarkStart w:id="1517" w:name="_Toc93659551"/>
      <w:r w:rsidRPr="008909F0">
        <w:t xml:space="preserve">Priority Area: </w:t>
      </w:r>
      <w:r w:rsidRPr="00A7689D">
        <w:t>Recognising recreational values</w:t>
      </w:r>
      <w:bookmarkEnd w:id="1515"/>
      <w:bookmarkEnd w:id="1516"/>
      <w:bookmarkEnd w:id="1517"/>
    </w:p>
    <w:tbl>
      <w:tblPr>
        <w:tblStyle w:val="Style1"/>
        <w:tblW w:w="5000" w:type="pct"/>
        <w:tblLook w:val="04A0" w:firstRow="1" w:lastRow="0" w:firstColumn="1" w:lastColumn="0" w:noHBand="0" w:noVBand="1"/>
      </w:tblPr>
      <w:tblGrid>
        <w:gridCol w:w="7797"/>
        <w:gridCol w:w="1834"/>
      </w:tblGrid>
      <w:tr w:rsidR="00A7689D" w:rsidRPr="00C145D6" w14:paraId="1E15537A" w14:textId="77777777" w:rsidTr="00C145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bottom"/>
          </w:tcPr>
          <w:p w14:paraId="08D7B493" w14:textId="77777777" w:rsidR="00A7689D" w:rsidRPr="00C145D6" w:rsidRDefault="00A7689D" w:rsidP="00C778D6">
            <w:pPr>
              <w:pStyle w:val="TableBodyText"/>
              <w:rPr>
                <w:lang w:eastAsia="en-US"/>
              </w:rPr>
            </w:pPr>
            <w:bookmarkStart w:id="1518" w:name="ColumnTitle_134"/>
            <w:r w:rsidRPr="00C145D6">
              <w:rPr>
                <w:lang w:eastAsia="en-US"/>
              </w:rPr>
              <w:t>Principles and Description</w:t>
            </w:r>
          </w:p>
        </w:tc>
        <w:tc>
          <w:tcPr>
            <w:tcW w:w="952" w:type="pct"/>
            <w:tcBorders>
              <w:top w:val="single" w:sz="4" w:space="0" w:color="auto"/>
            </w:tcBorders>
            <w:vAlign w:val="bottom"/>
          </w:tcPr>
          <w:p w14:paraId="56372F10" w14:textId="77777777" w:rsidR="00A7689D" w:rsidRPr="00C145D6" w:rsidRDefault="00A7689D" w:rsidP="00C778D6">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C145D6">
              <w:rPr>
                <w:lang w:eastAsia="en-US"/>
              </w:rPr>
              <w:t>Page Reference</w:t>
            </w:r>
          </w:p>
        </w:tc>
      </w:tr>
      <w:bookmarkEnd w:id="1518"/>
      <w:tr w:rsidR="00A7689D" w:rsidRPr="00C145D6" w14:paraId="5D473B18" w14:textId="77777777" w:rsidTr="00C145D6">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bottom w:val="single" w:sz="4" w:space="0" w:color="auto"/>
            </w:tcBorders>
            <w:vAlign w:val="top"/>
          </w:tcPr>
          <w:p w14:paraId="41E43DF1" w14:textId="0390F812" w:rsidR="00A7689D" w:rsidRPr="00C145D6" w:rsidRDefault="00A7689D" w:rsidP="008B0447">
            <w:pPr>
              <w:pStyle w:val="TableBodyText"/>
              <w:rPr>
                <w:lang w:eastAsia="en-US"/>
              </w:rPr>
            </w:pPr>
            <w:r w:rsidRPr="00C145D6">
              <w:rPr>
                <w:lang w:eastAsia="en-US"/>
              </w:rPr>
              <w:t>Rec1</w:t>
            </w:r>
          </w:p>
          <w:p w14:paraId="5D3749CA" w14:textId="6C292D93" w:rsidR="00A7689D" w:rsidRPr="00C145D6" w:rsidRDefault="00A7689D" w:rsidP="008B0447">
            <w:pPr>
              <w:pStyle w:val="TableBodyText"/>
              <w:rPr>
                <w:lang w:eastAsia="en-US"/>
              </w:rPr>
            </w:pPr>
            <w:r w:rsidRPr="00C145D6">
              <w:rPr>
                <w:lang w:eastAsia="en-US"/>
              </w:rPr>
              <w:t>Recreational values</w:t>
            </w:r>
          </w:p>
        </w:tc>
        <w:tc>
          <w:tcPr>
            <w:tcW w:w="952" w:type="pct"/>
            <w:tcBorders>
              <w:top w:val="single" w:sz="4" w:space="0" w:color="auto"/>
              <w:bottom w:val="single" w:sz="4" w:space="0" w:color="auto"/>
            </w:tcBorders>
            <w:vAlign w:val="top"/>
          </w:tcPr>
          <w:p w14:paraId="2D16C318" w14:textId="0A2BE7DC" w:rsidR="00A7689D" w:rsidRPr="00C145D6" w:rsidRDefault="00082846"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fldChar w:fldCharType="begin"/>
            </w:r>
            <w:r>
              <w:rPr>
                <w:lang w:eastAsia="en-US"/>
              </w:rPr>
              <w:instrText xml:space="preserve"> PAGEREF _Ref89811395 \h </w:instrText>
            </w:r>
            <w:r>
              <w:rPr>
                <w:lang w:eastAsia="en-US"/>
              </w:rPr>
            </w:r>
            <w:r>
              <w:rPr>
                <w:lang w:eastAsia="en-US"/>
              </w:rPr>
              <w:fldChar w:fldCharType="separate"/>
            </w:r>
            <w:r w:rsidR="00472151">
              <w:rPr>
                <w:noProof/>
                <w:lang w:eastAsia="en-US"/>
              </w:rPr>
              <w:t>33</w:t>
            </w:r>
            <w:r>
              <w:rPr>
                <w:lang w:eastAsia="en-US"/>
              </w:rPr>
              <w:fldChar w:fldCharType="end"/>
            </w:r>
            <w:r>
              <w:rPr>
                <w:lang w:eastAsia="en-US"/>
              </w:rPr>
              <w:t xml:space="preserve">, </w:t>
            </w:r>
            <w:r>
              <w:rPr>
                <w:lang w:eastAsia="en-US"/>
              </w:rPr>
              <w:fldChar w:fldCharType="begin"/>
            </w:r>
            <w:r>
              <w:rPr>
                <w:lang w:eastAsia="en-US"/>
              </w:rPr>
              <w:instrText xml:space="preserve"> PAGEREF _Ref89718872 \h </w:instrText>
            </w:r>
            <w:r>
              <w:rPr>
                <w:lang w:eastAsia="en-US"/>
              </w:rPr>
            </w:r>
            <w:r>
              <w:rPr>
                <w:lang w:eastAsia="en-US"/>
              </w:rPr>
              <w:fldChar w:fldCharType="separate"/>
            </w:r>
            <w:r w:rsidR="00472151">
              <w:rPr>
                <w:noProof/>
                <w:lang w:eastAsia="en-US"/>
              </w:rPr>
              <w:t>35</w:t>
            </w:r>
            <w:r>
              <w:rPr>
                <w:lang w:eastAsia="en-US"/>
              </w:rPr>
              <w:fldChar w:fldCharType="end"/>
            </w:r>
            <w:r>
              <w:rPr>
                <w:lang w:eastAsia="en-US"/>
              </w:rPr>
              <w:t xml:space="preserve">, </w:t>
            </w:r>
            <w:r>
              <w:rPr>
                <w:lang w:eastAsia="en-US"/>
              </w:rPr>
              <w:fldChar w:fldCharType="begin"/>
            </w:r>
            <w:r>
              <w:rPr>
                <w:lang w:eastAsia="en-US"/>
              </w:rPr>
              <w:instrText xml:space="preserve"> PAGEREF _Ref89811425 \h </w:instrText>
            </w:r>
            <w:r>
              <w:rPr>
                <w:lang w:eastAsia="en-US"/>
              </w:rPr>
            </w:r>
            <w:r>
              <w:rPr>
                <w:lang w:eastAsia="en-US"/>
              </w:rPr>
              <w:fldChar w:fldCharType="separate"/>
            </w:r>
            <w:r w:rsidR="00472151">
              <w:rPr>
                <w:noProof/>
                <w:lang w:eastAsia="en-US"/>
              </w:rPr>
              <w:t>39</w:t>
            </w:r>
            <w:r>
              <w:rPr>
                <w:lang w:eastAsia="en-US"/>
              </w:rPr>
              <w:fldChar w:fldCharType="end"/>
            </w:r>
            <w:r>
              <w:rPr>
                <w:lang w:eastAsia="en-US"/>
              </w:rPr>
              <w:t xml:space="preserve">, </w:t>
            </w:r>
            <w:r>
              <w:rPr>
                <w:lang w:eastAsia="en-US"/>
              </w:rPr>
              <w:fldChar w:fldCharType="begin"/>
            </w:r>
            <w:r>
              <w:rPr>
                <w:lang w:eastAsia="en-US"/>
              </w:rPr>
              <w:instrText xml:space="preserve"> PAGEREF _Ref89811459 \h </w:instrText>
            </w:r>
            <w:r>
              <w:rPr>
                <w:lang w:eastAsia="en-US"/>
              </w:rPr>
            </w:r>
            <w:r>
              <w:rPr>
                <w:lang w:eastAsia="en-US"/>
              </w:rPr>
              <w:fldChar w:fldCharType="separate"/>
            </w:r>
            <w:r w:rsidR="00472151">
              <w:rPr>
                <w:noProof/>
                <w:lang w:eastAsia="en-US"/>
              </w:rPr>
              <w:t>44</w:t>
            </w:r>
            <w:r>
              <w:rPr>
                <w:lang w:eastAsia="en-US"/>
              </w:rPr>
              <w:fldChar w:fldCharType="end"/>
            </w:r>
            <w:r>
              <w:rPr>
                <w:lang w:eastAsia="en-US"/>
              </w:rPr>
              <w:t xml:space="preserve">, </w:t>
            </w:r>
            <w:r>
              <w:rPr>
                <w:lang w:eastAsia="en-US"/>
              </w:rPr>
              <w:fldChar w:fldCharType="begin"/>
            </w:r>
            <w:r>
              <w:rPr>
                <w:lang w:eastAsia="en-US"/>
              </w:rPr>
              <w:instrText xml:space="preserve"> PAGEREF _Ref89811467 \h </w:instrText>
            </w:r>
            <w:r>
              <w:rPr>
                <w:lang w:eastAsia="en-US"/>
              </w:rPr>
            </w:r>
            <w:r>
              <w:rPr>
                <w:lang w:eastAsia="en-US"/>
              </w:rPr>
              <w:fldChar w:fldCharType="separate"/>
            </w:r>
            <w:r w:rsidR="00472151">
              <w:rPr>
                <w:noProof/>
                <w:lang w:eastAsia="en-US"/>
              </w:rPr>
              <w:t>45</w:t>
            </w:r>
            <w:r>
              <w:rPr>
                <w:lang w:eastAsia="en-US"/>
              </w:rPr>
              <w:fldChar w:fldCharType="end"/>
            </w:r>
          </w:p>
        </w:tc>
      </w:tr>
    </w:tbl>
    <w:p w14:paraId="7DD658DC" w14:textId="566618B7" w:rsidR="00A7689D" w:rsidRPr="00C145D6" w:rsidRDefault="00A7689D" w:rsidP="00A7689D">
      <w:pPr>
        <w:pStyle w:val="Heading3"/>
      </w:pPr>
      <w:bookmarkStart w:id="1519" w:name="_Toc89723200"/>
      <w:bookmarkStart w:id="1520" w:name="_Toc90326146"/>
      <w:bookmarkStart w:id="1521" w:name="_Toc93659552"/>
      <w:r w:rsidRPr="00C145D6">
        <w:lastRenderedPageBreak/>
        <w:t>Priority Area: Leadership and culture</w:t>
      </w:r>
      <w:bookmarkEnd w:id="1519"/>
      <w:bookmarkEnd w:id="1520"/>
      <w:bookmarkEnd w:id="1521"/>
    </w:p>
    <w:tbl>
      <w:tblPr>
        <w:tblStyle w:val="Style1"/>
        <w:tblW w:w="5000" w:type="pct"/>
        <w:tblLook w:val="04A0" w:firstRow="1" w:lastRow="0" w:firstColumn="1" w:lastColumn="0" w:noHBand="0" w:noVBand="1"/>
      </w:tblPr>
      <w:tblGrid>
        <w:gridCol w:w="7797"/>
        <w:gridCol w:w="1834"/>
      </w:tblGrid>
      <w:tr w:rsidR="00A7689D" w:rsidRPr="00C145D6" w14:paraId="11E52934" w14:textId="77777777" w:rsidTr="000828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bottom"/>
          </w:tcPr>
          <w:p w14:paraId="231BEF4D" w14:textId="77777777" w:rsidR="00A7689D" w:rsidRPr="00C145D6" w:rsidRDefault="00A7689D" w:rsidP="00C778D6">
            <w:pPr>
              <w:pStyle w:val="TableBodyText"/>
              <w:rPr>
                <w:lang w:eastAsia="en-US"/>
              </w:rPr>
            </w:pPr>
            <w:bookmarkStart w:id="1522" w:name="ColumnTitle_135"/>
            <w:r w:rsidRPr="00C145D6">
              <w:rPr>
                <w:lang w:eastAsia="en-US"/>
              </w:rPr>
              <w:t>Principles and Description</w:t>
            </w:r>
          </w:p>
        </w:tc>
        <w:tc>
          <w:tcPr>
            <w:tcW w:w="952" w:type="pct"/>
            <w:tcBorders>
              <w:top w:val="single" w:sz="4" w:space="0" w:color="auto"/>
            </w:tcBorders>
            <w:vAlign w:val="bottom"/>
          </w:tcPr>
          <w:p w14:paraId="01B82EB9" w14:textId="77777777" w:rsidR="00A7689D" w:rsidRPr="00C145D6" w:rsidRDefault="00A7689D" w:rsidP="00C778D6">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C145D6">
              <w:rPr>
                <w:lang w:eastAsia="en-US"/>
              </w:rPr>
              <w:t>Page Reference</w:t>
            </w:r>
          </w:p>
        </w:tc>
      </w:tr>
      <w:bookmarkEnd w:id="1522"/>
      <w:tr w:rsidR="00A7689D" w:rsidRPr="00C145D6" w14:paraId="01D4361C" w14:textId="77777777" w:rsidTr="00082846">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top"/>
          </w:tcPr>
          <w:p w14:paraId="41E21C3C" w14:textId="77777777" w:rsidR="00A7689D" w:rsidRPr="00C145D6" w:rsidRDefault="00A7689D" w:rsidP="008B0447">
            <w:pPr>
              <w:pStyle w:val="TableBodyText"/>
              <w:rPr>
                <w:lang w:eastAsia="en-US"/>
              </w:rPr>
            </w:pPr>
            <w:r w:rsidRPr="00C145D6">
              <w:rPr>
                <w:lang w:eastAsia="en-US"/>
              </w:rPr>
              <w:t>G1</w:t>
            </w:r>
          </w:p>
          <w:p w14:paraId="52D70EC4" w14:textId="426CF10A" w:rsidR="00A7689D" w:rsidRPr="00C145D6" w:rsidRDefault="00A7689D" w:rsidP="008B0447">
            <w:pPr>
              <w:pStyle w:val="TableBodyText"/>
              <w:rPr>
                <w:lang w:eastAsia="en-US"/>
              </w:rPr>
            </w:pPr>
            <w:r w:rsidRPr="00C145D6">
              <w:rPr>
                <w:lang w:eastAsia="en-US"/>
              </w:rPr>
              <w:t>Diversity and inclusion</w:t>
            </w:r>
          </w:p>
        </w:tc>
        <w:tc>
          <w:tcPr>
            <w:tcW w:w="952" w:type="pct"/>
            <w:tcBorders>
              <w:top w:val="single" w:sz="4" w:space="0" w:color="auto"/>
            </w:tcBorders>
            <w:vAlign w:val="top"/>
          </w:tcPr>
          <w:p w14:paraId="1F5E5AF5" w14:textId="20E0E629" w:rsidR="00A7689D" w:rsidRPr="00C145D6" w:rsidRDefault="00082846"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fldChar w:fldCharType="begin"/>
            </w:r>
            <w:r>
              <w:rPr>
                <w:lang w:eastAsia="en-US"/>
              </w:rPr>
              <w:instrText xml:space="preserve"> PAGEREF _Ref89811508 \h </w:instrText>
            </w:r>
            <w:r>
              <w:rPr>
                <w:lang w:eastAsia="en-US"/>
              </w:rPr>
            </w:r>
            <w:r>
              <w:rPr>
                <w:lang w:eastAsia="en-US"/>
              </w:rPr>
              <w:fldChar w:fldCharType="separate"/>
            </w:r>
            <w:r w:rsidR="00472151">
              <w:rPr>
                <w:noProof/>
                <w:lang w:eastAsia="en-US"/>
              </w:rPr>
              <w:t>67</w:t>
            </w:r>
            <w:r>
              <w:rPr>
                <w:lang w:eastAsia="en-US"/>
              </w:rPr>
              <w:fldChar w:fldCharType="end"/>
            </w:r>
            <w:r>
              <w:rPr>
                <w:lang w:eastAsia="en-US"/>
              </w:rPr>
              <w:t>-</w:t>
            </w:r>
            <w:r w:rsidR="00FC0AE5">
              <w:rPr>
                <w:lang w:eastAsia="en-US"/>
              </w:rPr>
              <w:fldChar w:fldCharType="begin"/>
            </w:r>
            <w:r w:rsidR="00FC0AE5">
              <w:rPr>
                <w:lang w:eastAsia="en-US"/>
              </w:rPr>
              <w:instrText xml:space="preserve"> PAGEREF _Ref89811516 \h </w:instrText>
            </w:r>
            <w:r w:rsidR="00FC0AE5">
              <w:rPr>
                <w:lang w:eastAsia="en-US"/>
              </w:rPr>
            </w:r>
            <w:r w:rsidR="00FC0AE5">
              <w:rPr>
                <w:lang w:eastAsia="en-US"/>
              </w:rPr>
              <w:fldChar w:fldCharType="separate"/>
            </w:r>
            <w:r w:rsidR="00472151">
              <w:rPr>
                <w:noProof/>
                <w:lang w:eastAsia="en-US"/>
              </w:rPr>
              <w:t>68</w:t>
            </w:r>
            <w:r w:rsidR="00FC0AE5">
              <w:rPr>
                <w:lang w:eastAsia="en-US"/>
              </w:rPr>
              <w:fldChar w:fldCharType="end"/>
            </w:r>
          </w:p>
        </w:tc>
      </w:tr>
      <w:tr w:rsidR="00A7689D" w:rsidRPr="00C145D6" w14:paraId="4B6A7A1F" w14:textId="77777777" w:rsidTr="00082846">
        <w:tc>
          <w:tcPr>
            <w:cnfStyle w:val="001000000000" w:firstRow="0" w:lastRow="0" w:firstColumn="1" w:lastColumn="0" w:oddVBand="0" w:evenVBand="0" w:oddHBand="0" w:evenHBand="0" w:firstRowFirstColumn="0" w:firstRowLastColumn="0" w:lastRowFirstColumn="0" w:lastRowLastColumn="0"/>
            <w:tcW w:w="4048" w:type="pct"/>
            <w:tcBorders>
              <w:bottom w:val="single" w:sz="4" w:space="0" w:color="auto"/>
            </w:tcBorders>
            <w:vAlign w:val="top"/>
          </w:tcPr>
          <w:p w14:paraId="6867E63F" w14:textId="77777777" w:rsidR="00A7689D" w:rsidRPr="00C145D6" w:rsidRDefault="00A7689D" w:rsidP="008B0447">
            <w:pPr>
              <w:pStyle w:val="TableBodyText"/>
              <w:rPr>
                <w:lang w:eastAsia="en-US"/>
              </w:rPr>
            </w:pPr>
            <w:r w:rsidRPr="00C145D6">
              <w:rPr>
                <w:lang w:eastAsia="en-US"/>
              </w:rPr>
              <w:t>G3</w:t>
            </w:r>
          </w:p>
          <w:p w14:paraId="3878D021" w14:textId="74F8E204" w:rsidR="00A7689D" w:rsidRPr="00C145D6" w:rsidRDefault="00A7689D" w:rsidP="008B0447">
            <w:pPr>
              <w:pStyle w:val="TableBodyText"/>
              <w:rPr>
                <w:lang w:eastAsia="en-US"/>
              </w:rPr>
            </w:pPr>
            <w:r w:rsidRPr="00C145D6">
              <w:rPr>
                <w:lang w:eastAsia="en-US"/>
              </w:rPr>
              <w:t>Health and safety</w:t>
            </w:r>
          </w:p>
        </w:tc>
        <w:tc>
          <w:tcPr>
            <w:tcW w:w="952" w:type="pct"/>
            <w:tcBorders>
              <w:bottom w:val="single" w:sz="4" w:space="0" w:color="auto"/>
            </w:tcBorders>
            <w:vAlign w:val="top"/>
          </w:tcPr>
          <w:p w14:paraId="0DD54FFE" w14:textId="52A1A8F3" w:rsidR="00A7689D" w:rsidRPr="00C145D6" w:rsidRDefault="00FC0AE5"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fldChar w:fldCharType="begin"/>
            </w:r>
            <w:r>
              <w:rPr>
                <w:lang w:eastAsia="en-US"/>
              </w:rPr>
              <w:instrText xml:space="preserve"> PAGEREF _Ref89811544 \h </w:instrText>
            </w:r>
            <w:r>
              <w:rPr>
                <w:lang w:eastAsia="en-US"/>
              </w:rPr>
            </w:r>
            <w:r>
              <w:rPr>
                <w:lang w:eastAsia="en-US"/>
              </w:rPr>
              <w:fldChar w:fldCharType="separate"/>
            </w:r>
            <w:r w:rsidR="00472151">
              <w:rPr>
                <w:noProof/>
                <w:lang w:eastAsia="en-US"/>
              </w:rPr>
              <w:t>73</w:t>
            </w:r>
            <w:r>
              <w:rPr>
                <w:lang w:eastAsia="en-US"/>
              </w:rPr>
              <w:fldChar w:fldCharType="end"/>
            </w:r>
            <w:r>
              <w:rPr>
                <w:lang w:eastAsia="en-US"/>
              </w:rPr>
              <w:t>-</w:t>
            </w:r>
            <w:r>
              <w:rPr>
                <w:lang w:eastAsia="en-US"/>
              </w:rPr>
              <w:fldChar w:fldCharType="begin"/>
            </w:r>
            <w:r>
              <w:rPr>
                <w:lang w:eastAsia="en-US"/>
              </w:rPr>
              <w:instrText xml:space="preserve"> PAGEREF _Ref89811556 \h </w:instrText>
            </w:r>
            <w:r>
              <w:rPr>
                <w:lang w:eastAsia="en-US"/>
              </w:rPr>
            </w:r>
            <w:r>
              <w:rPr>
                <w:lang w:eastAsia="en-US"/>
              </w:rPr>
              <w:fldChar w:fldCharType="separate"/>
            </w:r>
            <w:r w:rsidR="00472151">
              <w:rPr>
                <w:noProof/>
                <w:lang w:eastAsia="en-US"/>
              </w:rPr>
              <w:t>74</w:t>
            </w:r>
            <w:r>
              <w:rPr>
                <w:lang w:eastAsia="en-US"/>
              </w:rPr>
              <w:fldChar w:fldCharType="end"/>
            </w:r>
          </w:p>
        </w:tc>
      </w:tr>
    </w:tbl>
    <w:p w14:paraId="08B305F2" w14:textId="51908F7C" w:rsidR="00A7689D" w:rsidRPr="00C145D6" w:rsidRDefault="00A7689D" w:rsidP="00A7689D">
      <w:pPr>
        <w:pStyle w:val="Heading3"/>
      </w:pPr>
      <w:bookmarkStart w:id="1523" w:name="_Toc89723201"/>
      <w:bookmarkStart w:id="1524" w:name="_Toc90326147"/>
      <w:bookmarkStart w:id="1525" w:name="_Toc93659553"/>
      <w:r w:rsidRPr="00C145D6">
        <w:t>Priority Area: Financial sustainability</w:t>
      </w:r>
      <w:bookmarkEnd w:id="1523"/>
      <w:bookmarkEnd w:id="1524"/>
      <w:bookmarkEnd w:id="1525"/>
    </w:p>
    <w:tbl>
      <w:tblPr>
        <w:tblStyle w:val="Style1"/>
        <w:tblW w:w="5000" w:type="pct"/>
        <w:tblLook w:val="04A0" w:firstRow="1" w:lastRow="0" w:firstColumn="1" w:lastColumn="0" w:noHBand="0" w:noVBand="1"/>
      </w:tblPr>
      <w:tblGrid>
        <w:gridCol w:w="7797"/>
        <w:gridCol w:w="1834"/>
      </w:tblGrid>
      <w:tr w:rsidR="00A7689D" w:rsidRPr="00C145D6" w14:paraId="79EFCEA4" w14:textId="77777777" w:rsidTr="00FC0A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bottom"/>
          </w:tcPr>
          <w:p w14:paraId="56F7CE62" w14:textId="77777777" w:rsidR="00A7689D" w:rsidRPr="00C145D6" w:rsidRDefault="00A7689D" w:rsidP="00C778D6">
            <w:pPr>
              <w:pStyle w:val="TableBodyText"/>
              <w:rPr>
                <w:lang w:eastAsia="en-US"/>
              </w:rPr>
            </w:pPr>
            <w:bookmarkStart w:id="1526" w:name="ColumnTitle_136"/>
            <w:r w:rsidRPr="00C145D6">
              <w:rPr>
                <w:lang w:eastAsia="en-US"/>
              </w:rPr>
              <w:t>Principles and Description</w:t>
            </w:r>
          </w:p>
        </w:tc>
        <w:tc>
          <w:tcPr>
            <w:tcW w:w="952" w:type="pct"/>
            <w:tcBorders>
              <w:top w:val="single" w:sz="4" w:space="0" w:color="auto"/>
            </w:tcBorders>
            <w:vAlign w:val="bottom"/>
          </w:tcPr>
          <w:p w14:paraId="7BB56BA7" w14:textId="77777777" w:rsidR="00A7689D" w:rsidRPr="00C145D6" w:rsidRDefault="00A7689D" w:rsidP="00C778D6">
            <w:pPr>
              <w:pStyle w:val="TableBodyText"/>
              <w:cnfStyle w:val="100000000000" w:firstRow="1" w:lastRow="0" w:firstColumn="0" w:lastColumn="0" w:oddVBand="0" w:evenVBand="0" w:oddHBand="0" w:evenHBand="0" w:firstRowFirstColumn="0" w:firstRowLastColumn="0" w:lastRowFirstColumn="0" w:lastRowLastColumn="0"/>
              <w:rPr>
                <w:lang w:eastAsia="en-US"/>
              </w:rPr>
            </w:pPr>
            <w:r w:rsidRPr="00C145D6">
              <w:rPr>
                <w:lang w:eastAsia="en-US"/>
              </w:rPr>
              <w:t>Page Reference</w:t>
            </w:r>
          </w:p>
        </w:tc>
      </w:tr>
      <w:bookmarkEnd w:id="1526"/>
      <w:tr w:rsidR="00A7689D" w14:paraId="30DC8056" w14:textId="77777777" w:rsidTr="00FC0AE5">
        <w:tc>
          <w:tcPr>
            <w:cnfStyle w:val="001000000000" w:firstRow="0" w:lastRow="0" w:firstColumn="1" w:lastColumn="0" w:oddVBand="0" w:evenVBand="0" w:oddHBand="0" w:evenHBand="0" w:firstRowFirstColumn="0" w:firstRowLastColumn="0" w:lastRowFirstColumn="0" w:lastRowLastColumn="0"/>
            <w:tcW w:w="4048" w:type="pct"/>
            <w:tcBorders>
              <w:top w:val="single" w:sz="4" w:space="0" w:color="auto"/>
            </w:tcBorders>
            <w:vAlign w:val="top"/>
          </w:tcPr>
          <w:p w14:paraId="3079C4B5" w14:textId="77777777" w:rsidR="00A7689D" w:rsidRPr="00C145D6" w:rsidRDefault="00A7689D" w:rsidP="008B0447">
            <w:pPr>
              <w:pStyle w:val="TableBodyText"/>
              <w:rPr>
                <w:lang w:eastAsia="en-US"/>
              </w:rPr>
            </w:pPr>
            <w:r w:rsidRPr="00C145D6">
              <w:rPr>
                <w:lang w:eastAsia="en-US"/>
              </w:rPr>
              <w:t>F1 interest cover</w:t>
            </w:r>
          </w:p>
          <w:p w14:paraId="4A7C2161" w14:textId="77777777" w:rsidR="00A7689D" w:rsidRPr="00C145D6" w:rsidRDefault="00A7689D" w:rsidP="008B0447">
            <w:pPr>
              <w:pStyle w:val="TableBodyText"/>
              <w:rPr>
                <w:lang w:eastAsia="en-US"/>
              </w:rPr>
            </w:pPr>
            <w:r w:rsidRPr="00C145D6">
              <w:rPr>
                <w:lang w:eastAsia="en-US"/>
              </w:rPr>
              <w:t>F2 gearing ratio</w:t>
            </w:r>
          </w:p>
          <w:p w14:paraId="171966F9" w14:textId="77777777" w:rsidR="00A7689D" w:rsidRPr="00C145D6" w:rsidRDefault="00A7689D" w:rsidP="008B0447">
            <w:pPr>
              <w:pStyle w:val="TableBodyText"/>
              <w:rPr>
                <w:lang w:eastAsia="en-US"/>
              </w:rPr>
            </w:pPr>
            <w:r w:rsidRPr="00C145D6">
              <w:rPr>
                <w:lang w:eastAsia="en-US"/>
              </w:rPr>
              <w:t>F3 internal financing ratio</w:t>
            </w:r>
          </w:p>
          <w:p w14:paraId="4490250A" w14:textId="77777777" w:rsidR="00A7689D" w:rsidRPr="00C145D6" w:rsidRDefault="00A7689D" w:rsidP="008B0447">
            <w:pPr>
              <w:pStyle w:val="TableBodyText"/>
              <w:rPr>
                <w:lang w:eastAsia="en-US"/>
              </w:rPr>
            </w:pPr>
            <w:r w:rsidRPr="00C145D6">
              <w:rPr>
                <w:lang w:eastAsia="en-US"/>
              </w:rPr>
              <w:t>F4 current ratio</w:t>
            </w:r>
          </w:p>
          <w:p w14:paraId="68E9CE84" w14:textId="77777777" w:rsidR="00A7689D" w:rsidRPr="00C145D6" w:rsidRDefault="00A7689D" w:rsidP="008B0447">
            <w:pPr>
              <w:pStyle w:val="TableBodyText"/>
              <w:rPr>
                <w:lang w:eastAsia="en-US"/>
              </w:rPr>
            </w:pPr>
            <w:r w:rsidRPr="00C145D6">
              <w:rPr>
                <w:lang w:eastAsia="en-US"/>
              </w:rPr>
              <w:t>F5 return on assets</w:t>
            </w:r>
          </w:p>
          <w:p w14:paraId="6CA48EA5" w14:textId="77777777" w:rsidR="00A7689D" w:rsidRPr="00C145D6" w:rsidRDefault="00A7689D" w:rsidP="008B0447">
            <w:pPr>
              <w:pStyle w:val="TableBodyText"/>
              <w:rPr>
                <w:lang w:eastAsia="en-US"/>
              </w:rPr>
            </w:pPr>
            <w:r w:rsidRPr="00C145D6">
              <w:rPr>
                <w:lang w:eastAsia="en-US"/>
              </w:rPr>
              <w:t>F6 return on equity</w:t>
            </w:r>
          </w:p>
          <w:p w14:paraId="030551CF" w14:textId="02FB746F" w:rsidR="00A7689D" w:rsidRDefault="00A7689D" w:rsidP="008B0447">
            <w:pPr>
              <w:pStyle w:val="TableBodyText"/>
              <w:rPr>
                <w:lang w:eastAsia="en-US"/>
              </w:rPr>
            </w:pPr>
            <w:r w:rsidRPr="00C145D6">
              <w:rPr>
                <w:lang w:eastAsia="en-US"/>
              </w:rPr>
              <w:t xml:space="preserve">F7 </w:t>
            </w:r>
            <w:r w:rsidR="00DC0A06">
              <w:rPr>
                <w:lang w:eastAsia="en-US"/>
              </w:rPr>
              <w:t>Earnings before interest, tax and depreciation/amortisation</w:t>
            </w:r>
            <w:r w:rsidRPr="00C145D6">
              <w:rPr>
                <w:lang w:eastAsia="en-US"/>
              </w:rPr>
              <w:t xml:space="preserve"> margin</w:t>
            </w:r>
          </w:p>
        </w:tc>
        <w:tc>
          <w:tcPr>
            <w:tcW w:w="952" w:type="pct"/>
            <w:tcBorders>
              <w:top w:val="single" w:sz="4" w:space="0" w:color="auto"/>
            </w:tcBorders>
            <w:vAlign w:val="top"/>
          </w:tcPr>
          <w:p w14:paraId="7E201BEE" w14:textId="5D743309" w:rsidR="00A7689D" w:rsidRDefault="00FC0AE5"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See Performance Report (</w:t>
            </w:r>
            <w:r>
              <w:rPr>
                <w:lang w:eastAsia="en-US"/>
              </w:rPr>
              <w:fldChar w:fldCharType="begin"/>
            </w:r>
            <w:r>
              <w:rPr>
                <w:lang w:eastAsia="en-US"/>
              </w:rPr>
              <w:instrText xml:space="preserve"> PAGEREF _Ref89811616 \h </w:instrText>
            </w:r>
            <w:r>
              <w:rPr>
                <w:lang w:eastAsia="en-US"/>
              </w:rPr>
            </w:r>
            <w:r>
              <w:rPr>
                <w:lang w:eastAsia="en-US"/>
              </w:rPr>
              <w:fldChar w:fldCharType="separate"/>
            </w:r>
            <w:r w:rsidR="00472151">
              <w:rPr>
                <w:noProof/>
                <w:lang w:eastAsia="en-US"/>
              </w:rPr>
              <w:t>93</w:t>
            </w:r>
            <w:r>
              <w:rPr>
                <w:lang w:eastAsia="en-US"/>
              </w:rPr>
              <w:fldChar w:fldCharType="end"/>
            </w:r>
            <w:r>
              <w:rPr>
                <w:lang w:eastAsia="en-US"/>
              </w:rPr>
              <w:t>)</w:t>
            </w:r>
          </w:p>
        </w:tc>
      </w:tr>
      <w:tr w:rsidR="00A7689D" w14:paraId="794266C7" w14:textId="77777777" w:rsidTr="00FC0AE5">
        <w:tc>
          <w:tcPr>
            <w:cnfStyle w:val="001000000000" w:firstRow="0" w:lastRow="0" w:firstColumn="1" w:lastColumn="0" w:oddVBand="0" w:evenVBand="0" w:oddHBand="0" w:evenHBand="0" w:firstRowFirstColumn="0" w:firstRowLastColumn="0" w:lastRowFirstColumn="0" w:lastRowLastColumn="0"/>
            <w:tcW w:w="4048" w:type="pct"/>
            <w:tcBorders>
              <w:bottom w:val="single" w:sz="4" w:space="0" w:color="auto"/>
            </w:tcBorders>
            <w:vAlign w:val="top"/>
          </w:tcPr>
          <w:p w14:paraId="6A88BDC9" w14:textId="0D1E8EDA" w:rsidR="00A7689D" w:rsidRDefault="00A7689D" w:rsidP="008B0447">
            <w:pPr>
              <w:pStyle w:val="TableBodyText"/>
              <w:rPr>
                <w:lang w:eastAsia="en-US"/>
              </w:rPr>
            </w:pPr>
            <w:r>
              <w:rPr>
                <w:lang w:eastAsia="en-US"/>
              </w:rPr>
              <w:t>F8 credit rating</w:t>
            </w:r>
          </w:p>
        </w:tc>
        <w:tc>
          <w:tcPr>
            <w:tcW w:w="952" w:type="pct"/>
            <w:tcBorders>
              <w:bottom w:val="single" w:sz="4" w:space="0" w:color="auto"/>
            </w:tcBorders>
            <w:vAlign w:val="top"/>
          </w:tcPr>
          <w:p w14:paraId="1AE5B44B" w14:textId="5031D69F" w:rsidR="00A7689D" w:rsidRDefault="00FC0AE5" w:rsidP="008B0447">
            <w:pPr>
              <w:pStyle w:val="TableBodyText"/>
              <w:cnfStyle w:val="000000000000" w:firstRow="0" w:lastRow="0" w:firstColumn="0" w:lastColumn="0" w:oddVBand="0" w:evenVBand="0" w:oddHBand="0" w:evenHBand="0" w:firstRowFirstColumn="0" w:firstRowLastColumn="0" w:lastRowFirstColumn="0" w:lastRowLastColumn="0"/>
              <w:rPr>
                <w:lang w:eastAsia="en-US"/>
              </w:rPr>
            </w:pPr>
            <w:r>
              <w:rPr>
                <w:lang w:eastAsia="en-US"/>
              </w:rPr>
              <w:t>n</w:t>
            </w:r>
            <w:r w:rsidR="00A7689D">
              <w:rPr>
                <w:lang w:eastAsia="en-US"/>
              </w:rPr>
              <w:t>ot required</w:t>
            </w:r>
          </w:p>
        </w:tc>
      </w:tr>
    </w:tbl>
    <w:p w14:paraId="723B3990" w14:textId="77777777" w:rsidR="00A7689D" w:rsidRDefault="00A7689D" w:rsidP="00A7689D">
      <w:pPr>
        <w:pageBreakBefore/>
        <w:rPr>
          <w:lang w:eastAsia="en-US"/>
        </w:rPr>
      </w:pPr>
      <w:r>
        <w:rPr>
          <w:lang w:eastAsia="en-US"/>
        </w:rPr>
        <w:lastRenderedPageBreak/>
        <w:t>ISSN: 1838-3718 (Print)</w:t>
      </w:r>
    </w:p>
    <w:p w14:paraId="651C3090" w14:textId="77777777" w:rsidR="00A7689D" w:rsidRDefault="00A7689D" w:rsidP="00A7689D">
      <w:pPr>
        <w:rPr>
          <w:lang w:eastAsia="en-US"/>
        </w:rPr>
      </w:pPr>
      <w:r>
        <w:rPr>
          <w:lang w:eastAsia="en-US"/>
        </w:rPr>
        <w:t>ISSN: 1838-3734 (Online)</w:t>
      </w:r>
    </w:p>
    <w:p w14:paraId="5FB40883" w14:textId="050BE3AD" w:rsidR="00A7689D" w:rsidRDefault="00A7689D" w:rsidP="00A7689D">
      <w:pPr>
        <w:pStyle w:val="BodyText"/>
        <w:rPr>
          <w:lang w:eastAsia="en-US"/>
        </w:rPr>
      </w:pPr>
      <w:r>
        <w:rPr>
          <w:lang w:eastAsia="en-US"/>
        </w:rPr>
        <w:t>© Copyright September 2021 Melbourne Water Corporation. All rights reserved. No part of this document may be reproduced, stored in a retrieval system, photocopied or otherwise dealt with without prior written permission of Melbourne Water Corporation.</w:t>
      </w:r>
    </w:p>
    <w:p w14:paraId="4C0D5C59" w14:textId="0E5417CF" w:rsidR="004D3985" w:rsidRDefault="00A7689D" w:rsidP="00A7689D">
      <w:pPr>
        <w:pStyle w:val="BodyText"/>
        <w:rPr>
          <w:lang w:eastAsia="en-US"/>
        </w:rPr>
      </w:pPr>
      <w:r>
        <w:rPr>
          <w:lang w:eastAsia="en-US"/>
        </w:rPr>
        <w:t>Disclaimer: This publication may be of assistance to you but Melbourne Water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bookmarkEnd w:id="23"/>
    </w:p>
    <w:sectPr w:rsidR="004D3985" w:rsidSect="00CF70F9">
      <w:endnotePr>
        <w:numFmt w:val="decimal"/>
      </w:endnotePr>
      <w:pgSz w:w="11900" w:h="16840"/>
      <w:pgMar w:top="1134" w:right="851" w:bottom="1134" w:left="1418" w:header="709" w:footer="709" w:gutter="0"/>
      <w:cols w:space="28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3267A" w14:textId="77777777" w:rsidR="00D058FE" w:rsidRDefault="00D058FE" w:rsidP="00BC719D">
      <w:r>
        <w:separator/>
      </w:r>
    </w:p>
    <w:p w14:paraId="60B7D748" w14:textId="77777777" w:rsidR="00D058FE" w:rsidRDefault="00D058FE"/>
    <w:p w14:paraId="07CAD182" w14:textId="77777777" w:rsidR="00CD4CB2" w:rsidRDefault="00CD4CB2"/>
  </w:endnote>
  <w:endnote w:type="continuationSeparator" w:id="0">
    <w:p w14:paraId="0437F116" w14:textId="77777777" w:rsidR="00D058FE" w:rsidRDefault="00D058FE" w:rsidP="00EA2130">
      <w:r>
        <w:continuationSeparator/>
      </w:r>
    </w:p>
    <w:p w14:paraId="712890A9" w14:textId="77777777" w:rsidR="00D058FE" w:rsidRDefault="00D058FE"/>
    <w:p w14:paraId="3C42A206" w14:textId="77777777" w:rsidR="00CD4CB2" w:rsidRDefault="00CD4CB2"/>
  </w:endnote>
  <w:endnote w:type="continuationNotice" w:id="1">
    <w:p w14:paraId="258CA199" w14:textId="77777777" w:rsidR="00AE3594" w:rsidRDefault="00AE35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8E43" w14:textId="77777777" w:rsidR="006E6386" w:rsidRPr="00090557" w:rsidRDefault="006E6386" w:rsidP="00090557">
    <w:pPr>
      <w:pStyle w:val="Footer"/>
    </w:pPr>
    <w:r>
      <w:rPr>
        <w:noProof w:val="0"/>
      </w:rPr>
      <w:fldChar w:fldCharType="begin"/>
    </w:r>
    <w:r>
      <w:instrText xml:space="preserve"> PAGE   \* MERGEFORMAT </w:instrText>
    </w:r>
    <w:r>
      <w:rPr>
        <w:noProof w:val="0"/>
      </w:rPr>
      <w:fldChar w:fldCharType="separate"/>
    </w:r>
    <w:r w:rsidR="00710AFB">
      <w:t>89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D8C45" w14:textId="77777777" w:rsidR="00D058FE" w:rsidRPr="00B75A8E" w:rsidRDefault="00D058FE" w:rsidP="00B75A8E">
      <w:r>
        <w:separator/>
      </w:r>
    </w:p>
    <w:p w14:paraId="23FAEAF7" w14:textId="77777777" w:rsidR="00D058FE" w:rsidRDefault="00D058FE"/>
    <w:p w14:paraId="6C14CC89" w14:textId="77777777" w:rsidR="00CD4CB2" w:rsidRDefault="00CD4CB2"/>
  </w:footnote>
  <w:footnote w:type="continuationSeparator" w:id="0">
    <w:p w14:paraId="5957D047" w14:textId="77777777" w:rsidR="00D058FE" w:rsidRDefault="00D058FE" w:rsidP="00EA2130">
      <w:r>
        <w:continuationSeparator/>
      </w:r>
    </w:p>
    <w:p w14:paraId="18DE1607" w14:textId="77777777" w:rsidR="00D058FE" w:rsidRDefault="00D058FE"/>
    <w:p w14:paraId="1AFFC30B" w14:textId="77777777" w:rsidR="00CD4CB2" w:rsidRDefault="00CD4CB2"/>
  </w:footnote>
  <w:footnote w:type="continuationNotice" w:id="1">
    <w:p w14:paraId="672E4681" w14:textId="77777777" w:rsidR="00AE3594" w:rsidRDefault="00AE3594">
      <w:pPr>
        <w:spacing w:line="240" w:lineRule="auto"/>
      </w:pPr>
    </w:p>
  </w:footnote>
  <w:footnote w:id="2">
    <w:p w14:paraId="7DB084D0" w14:textId="17C77212" w:rsidR="00056F67" w:rsidRPr="00056F67" w:rsidRDefault="00056F67">
      <w:pPr>
        <w:pStyle w:val="FootnoteText"/>
        <w:rPr>
          <w:lang w:val="en-US"/>
        </w:rPr>
      </w:pPr>
      <w:r>
        <w:rPr>
          <w:rStyle w:val="FootnoteReference"/>
        </w:rPr>
        <w:footnoteRef/>
      </w:r>
      <w:r>
        <w:t xml:space="preserve"> </w:t>
      </w:r>
      <w:r w:rsidRPr="00056F67">
        <w:t>https://www.melbournewater.com.au/</w:t>
      </w:r>
    </w:p>
  </w:footnote>
  <w:footnote w:id="3">
    <w:p w14:paraId="28A3D73B" w14:textId="0A80B588" w:rsidR="00325446" w:rsidRPr="00325446" w:rsidRDefault="00325446">
      <w:pPr>
        <w:pStyle w:val="FootnoteText"/>
        <w:rPr>
          <w:lang w:val="en-US"/>
        </w:rPr>
      </w:pPr>
      <w:r>
        <w:rPr>
          <w:rStyle w:val="FootnoteReference"/>
        </w:rPr>
        <w:footnoteRef/>
      </w:r>
      <w:r>
        <w:t xml:space="preserve"> </w:t>
      </w:r>
      <w:r w:rsidRPr="00325446">
        <w:t>https://healthywaterways.com.au/</w:t>
      </w:r>
    </w:p>
  </w:footnote>
  <w:footnote w:id="4">
    <w:p w14:paraId="54C53DCE" w14:textId="77777777" w:rsidR="0069449F" w:rsidRPr="004C0CAC" w:rsidRDefault="0069449F" w:rsidP="0069449F">
      <w:pPr>
        <w:pStyle w:val="FootnoteText"/>
        <w:rPr>
          <w:lang w:val="en-US"/>
        </w:rPr>
      </w:pPr>
      <w:r>
        <w:rPr>
          <w:rStyle w:val="FootnoteReference"/>
        </w:rPr>
        <w:footnoteRef/>
      </w:r>
      <w:r>
        <w:t xml:space="preserve"> </w:t>
      </w:r>
      <w:r>
        <w:rPr>
          <w:lang w:eastAsia="en-US"/>
        </w:rPr>
        <w:t>This estimate uses actual water consumption for the first three quarters of 2020-21 and estimated water use for the April-June 2021 period. This approach is necessary due to the quarterly billing cycle for retail water customers, meaning that the actual data is not complete until October. Given the COVID-19 pandemic, there is significant uncertainty in the estimated water use in the April-June period related to changes in behaviour, including work-from-home directives.</w:t>
      </w:r>
    </w:p>
  </w:footnote>
  <w:footnote w:id="5">
    <w:p w14:paraId="0198DA09" w14:textId="3B08DD4A" w:rsidR="00D363B3" w:rsidRPr="00D363B3" w:rsidRDefault="00D363B3">
      <w:pPr>
        <w:pStyle w:val="FootnoteText"/>
        <w:rPr>
          <w:lang w:val="en-US"/>
        </w:rPr>
      </w:pPr>
      <w:r>
        <w:rPr>
          <w:rStyle w:val="FootnoteReference"/>
        </w:rPr>
        <w:footnoteRef/>
      </w:r>
      <w:r>
        <w:t xml:space="preserve"> </w:t>
      </w:r>
      <w:r w:rsidRPr="00D363B3">
        <w:t>https://healthywaterways.com.au/</w:t>
      </w:r>
    </w:p>
  </w:footnote>
  <w:footnote w:id="6">
    <w:p w14:paraId="3527A349" w14:textId="0B8340B3" w:rsidR="00D363B3" w:rsidRPr="00D363B3" w:rsidRDefault="00D363B3">
      <w:pPr>
        <w:pStyle w:val="FootnoteText"/>
        <w:rPr>
          <w:lang w:val="en-US"/>
        </w:rPr>
      </w:pPr>
      <w:r>
        <w:rPr>
          <w:rStyle w:val="FootnoteReference"/>
        </w:rPr>
        <w:footnoteRef/>
      </w:r>
      <w:r>
        <w:t xml:space="preserve"> </w:t>
      </w:r>
      <w:r w:rsidRPr="00D363B3">
        <w:t>https://www.legislation.vic.gov.au/</w:t>
      </w:r>
    </w:p>
  </w:footnote>
  <w:footnote w:id="7">
    <w:p w14:paraId="7DB463CB" w14:textId="7DAA713A" w:rsidR="00D363B3" w:rsidRPr="00D363B3" w:rsidRDefault="00D363B3">
      <w:pPr>
        <w:pStyle w:val="FootnoteText"/>
        <w:rPr>
          <w:lang w:val="en-US"/>
        </w:rPr>
      </w:pPr>
      <w:r>
        <w:rPr>
          <w:rStyle w:val="FootnoteReference"/>
        </w:rPr>
        <w:footnoteRef/>
      </w:r>
      <w:r>
        <w:t xml:space="preserve"> </w:t>
      </w:r>
      <w:r w:rsidRPr="00D363B3">
        <w:t>https://www.melbournewater.com.au/</w:t>
      </w:r>
    </w:p>
  </w:footnote>
  <w:footnote w:id="8">
    <w:p w14:paraId="3FA511F1" w14:textId="007AA473" w:rsidR="00370DFE" w:rsidRPr="00370DFE" w:rsidRDefault="00370DFE">
      <w:pPr>
        <w:pStyle w:val="FootnoteText"/>
        <w:rPr>
          <w:lang w:val="en-US"/>
        </w:rPr>
      </w:pPr>
      <w:r>
        <w:rPr>
          <w:rStyle w:val="FootnoteReference"/>
        </w:rPr>
        <w:footnoteRef/>
      </w:r>
      <w:r>
        <w:t xml:space="preserve"> </w:t>
      </w:r>
      <w:r w:rsidRPr="00370DFE">
        <w:t>https://www.melbournewater.com.au/</w:t>
      </w:r>
    </w:p>
  </w:footnote>
  <w:footnote w:id="9">
    <w:p w14:paraId="0B477EF7" w14:textId="33E50978" w:rsidR="009A6582" w:rsidRPr="009A6582" w:rsidRDefault="009A6582">
      <w:pPr>
        <w:pStyle w:val="FootnoteText"/>
        <w:rPr>
          <w:lang w:val="en-US"/>
        </w:rPr>
      </w:pPr>
      <w:r>
        <w:rPr>
          <w:rStyle w:val="FootnoteReference"/>
        </w:rPr>
        <w:footnoteRef/>
      </w:r>
      <w:r>
        <w:t xml:space="preserve"> </w:t>
      </w:r>
      <w:r w:rsidRPr="009A6582">
        <w:t>https://www.melbournewater.com.au/</w:t>
      </w:r>
    </w:p>
  </w:footnote>
  <w:footnote w:id="10">
    <w:p w14:paraId="2CA8E411" w14:textId="47AE9503" w:rsidR="00D363B3" w:rsidRPr="00D363B3" w:rsidRDefault="00D363B3">
      <w:pPr>
        <w:pStyle w:val="FootnoteText"/>
        <w:rPr>
          <w:lang w:val="en-US"/>
        </w:rPr>
      </w:pPr>
      <w:r>
        <w:rPr>
          <w:rStyle w:val="FootnoteReference"/>
        </w:rPr>
        <w:footnoteRef/>
      </w:r>
      <w:r>
        <w:t xml:space="preserve"> </w:t>
      </w:r>
      <w:r w:rsidRPr="00D363B3">
        <w:t>https://www.ibac.vic.gov.au/</w:t>
      </w:r>
    </w:p>
  </w:footnote>
  <w:footnote w:id="11">
    <w:p w14:paraId="5695DD26" w14:textId="5A1BE991" w:rsidR="000D5CF0" w:rsidRPr="000D5CF0" w:rsidRDefault="000D5CF0">
      <w:pPr>
        <w:pStyle w:val="FootnoteText"/>
        <w:rPr>
          <w:lang w:val="en-US"/>
        </w:rPr>
      </w:pPr>
      <w:r>
        <w:rPr>
          <w:rStyle w:val="FootnoteReference"/>
        </w:rPr>
        <w:footnoteRef/>
      </w:r>
      <w:r>
        <w:t xml:space="preserve"> </w:t>
      </w:r>
      <w:r w:rsidRPr="000D5CF0">
        <w:t>https://www.melbournewater.com.au/water-data-and-education/waterway-diversions/water-use-compliance</w:t>
      </w:r>
    </w:p>
  </w:footnote>
  <w:footnote w:id="12">
    <w:p w14:paraId="302C7640" w14:textId="4AFD4A93" w:rsidR="00AD7993" w:rsidRPr="00AD7993" w:rsidRDefault="00AD7993">
      <w:pPr>
        <w:pStyle w:val="FootnoteText"/>
        <w:rPr>
          <w:lang w:val="en-US"/>
        </w:rPr>
      </w:pPr>
      <w:r>
        <w:rPr>
          <w:rStyle w:val="FootnoteReference"/>
        </w:rPr>
        <w:footnoteRef/>
      </w:r>
      <w:r>
        <w:t xml:space="preserve"> </w:t>
      </w:r>
      <w:r w:rsidRPr="00AD7993">
        <w:t>https://www.melbournewater.com.au/water-data-and-education/waterway-diversions/metering-pump-and-offtake-guidelines</w:t>
      </w:r>
    </w:p>
  </w:footnote>
  <w:footnote w:id="13">
    <w:p w14:paraId="7F23D150" w14:textId="52F6292B" w:rsidR="002904C2" w:rsidRPr="002904C2" w:rsidRDefault="002904C2" w:rsidP="002904C2">
      <w:pPr>
        <w:pStyle w:val="FootnoteText"/>
        <w:rPr>
          <w:lang w:val="en-US"/>
        </w:rPr>
      </w:pPr>
      <w:r>
        <w:rPr>
          <w:rStyle w:val="FootnoteReference"/>
        </w:rPr>
        <w:footnoteRef/>
      </w:r>
      <w:r>
        <w:t xml:space="preserve"> To be upgraded to AS4747 compliant meters as per our capital program by 2025</w:t>
      </w:r>
    </w:p>
  </w:footnote>
  <w:footnote w:id="14">
    <w:p w14:paraId="4A492F5C" w14:textId="346FFF16" w:rsidR="00317C92" w:rsidRPr="00317C92" w:rsidRDefault="00317C92">
      <w:pPr>
        <w:pStyle w:val="FootnoteText"/>
        <w:rPr>
          <w:lang w:val="en-US"/>
        </w:rPr>
      </w:pPr>
      <w:r>
        <w:rPr>
          <w:rStyle w:val="FootnoteReference"/>
        </w:rPr>
        <w:footnoteRef/>
      </w:r>
      <w:r>
        <w:t xml:space="preserve"> </w:t>
      </w:r>
      <w:r w:rsidRPr="00317C92">
        <w:t>https://www.melbournewater.com.au/water-data-and-education/waterway-diversions/water-use-compliance</w:t>
      </w:r>
    </w:p>
  </w:footnote>
  <w:footnote w:id="15">
    <w:p w14:paraId="384FF106" w14:textId="13FBFDA4" w:rsidR="00317C92" w:rsidRPr="00317C92" w:rsidRDefault="00317C92">
      <w:pPr>
        <w:pStyle w:val="FootnoteText"/>
        <w:rPr>
          <w:lang w:val="en-US"/>
        </w:rPr>
      </w:pPr>
      <w:r>
        <w:rPr>
          <w:rStyle w:val="FootnoteReference"/>
        </w:rPr>
        <w:footnoteRef/>
      </w:r>
      <w:r>
        <w:t xml:space="preserve"> </w:t>
      </w:r>
      <w:r w:rsidRPr="00317C92">
        <w:t>https://www.melbournewater.com.au/water-data-and-education/waterway-diversions/restriction-and-ban-status</w:t>
      </w:r>
    </w:p>
  </w:footnote>
  <w:footnote w:id="16">
    <w:p w14:paraId="53F8A824" w14:textId="0BDB21BD" w:rsidR="000F1B55" w:rsidRPr="000F1B55" w:rsidRDefault="000F1B55">
      <w:pPr>
        <w:pStyle w:val="FootnoteText"/>
        <w:rPr>
          <w:lang w:val="en-US"/>
        </w:rPr>
      </w:pPr>
      <w:r>
        <w:rPr>
          <w:rStyle w:val="FootnoteReference"/>
        </w:rPr>
        <w:footnoteRef/>
      </w:r>
      <w:r>
        <w:t xml:space="preserve"> </w:t>
      </w:r>
      <w:r w:rsidRPr="000F1B55">
        <w:t>https://www.melbournewater.com.au/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D51CC"/>
    <w:multiLevelType w:val="multilevel"/>
    <w:tmpl w:val="73AC20B6"/>
    <w:styleLink w:val="ListBullets"/>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tabs>
          <w:tab w:val="num" w:pos="717"/>
        </w:tabs>
        <w:ind w:left="714" w:hanging="357"/>
      </w:pPr>
      <w:rPr>
        <w:rFonts w:ascii="Courier New" w:hAnsi="Courier New" w:hint="default"/>
      </w:rPr>
    </w:lvl>
    <w:lvl w:ilvl="2">
      <w:start w:val="1"/>
      <w:numFmt w:val="bullet"/>
      <w:pStyle w:val="ListBullet3"/>
      <w:lvlText w:val=""/>
      <w:lvlJc w:val="left"/>
      <w:pPr>
        <w:tabs>
          <w:tab w:val="num" w:pos="1074"/>
        </w:tabs>
        <w:ind w:left="1071" w:hanging="357"/>
      </w:pPr>
      <w:rPr>
        <w:rFonts w:ascii="Symbol" w:hAnsi="Symbol" w:hint="default"/>
      </w:rPr>
    </w:lvl>
    <w:lvl w:ilvl="3">
      <w:start w:val="1"/>
      <w:numFmt w:val="bullet"/>
      <w:pStyle w:val="ListBullet4"/>
      <w:lvlText w:val="o"/>
      <w:lvlJc w:val="left"/>
      <w:pPr>
        <w:tabs>
          <w:tab w:val="num" w:pos="1431"/>
        </w:tabs>
        <w:ind w:left="1428" w:hanging="357"/>
      </w:pPr>
      <w:rPr>
        <w:rFonts w:ascii="Courier New" w:hAnsi="Courier New" w:hint="default"/>
      </w:rPr>
    </w:lvl>
    <w:lvl w:ilvl="4">
      <w:start w:val="1"/>
      <w:numFmt w:val="bullet"/>
      <w:pStyle w:val="ListBullet5"/>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1" w15:restartNumberingAfterBreak="0">
    <w:nsid w:val="0E964D11"/>
    <w:multiLevelType w:val="multilevel"/>
    <w:tmpl w:val="37F4DD8E"/>
    <w:lvl w:ilvl="0">
      <w:start w:val="1"/>
      <w:numFmt w:val="decimal"/>
      <w:pStyle w:val="Table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707F6C"/>
    <w:multiLevelType w:val="hybridMultilevel"/>
    <w:tmpl w:val="6D720A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8D1A98C0">
      <w:start w:val="1"/>
      <w:numFmt w:val="decimal"/>
      <w:pStyle w:val="PullBoxNumber"/>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3" w15:restartNumberingAfterBreak="0">
    <w:nsid w:val="25AA25E9"/>
    <w:multiLevelType w:val="multilevel"/>
    <w:tmpl w:val="16506B6C"/>
    <w:styleLink w:val="ListNumbers"/>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964"/>
        </w:tabs>
        <w:ind w:left="964" w:hanging="607"/>
      </w:pPr>
      <w:rPr>
        <w:rFonts w:hint="default"/>
      </w:rPr>
    </w:lvl>
    <w:lvl w:ilvl="2">
      <w:start w:val="1"/>
      <w:numFmt w:val="decimal"/>
      <w:lvlText w:val="%1.%2.%3"/>
      <w:lvlJc w:val="left"/>
      <w:pPr>
        <w:tabs>
          <w:tab w:val="num" w:pos="1731"/>
        </w:tabs>
        <w:ind w:left="1731" w:hanging="767"/>
      </w:pPr>
      <w:rPr>
        <w:rFonts w:hint="default"/>
      </w:rPr>
    </w:lvl>
    <w:lvl w:ilvl="3">
      <w:start w:val="1"/>
      <w:numFmt w:val="decimal"/>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4" w15:restartNumberingAfterBreak="0">
    <w:nsid w:val="36CB565A"/>
    <w:multiLevelType w:val="multilevel"/>
    <w:tmpl w:val="60DA1578"/>
    <w:name w:val="Headings"/>
    <w:lvl w:ilvl="0">
      <w:start w:val="1"/>
      <w:numFmt w:val="decimal"/>
      <w:suff w:val="nothing"/>
      <w:lvlText w:val="%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8D25FB"/>
    <w:multiLevelType w:val="multilevel"/>
    <w:tmpl w:val="84982CE0"/>
    <w:lvl w:ilvl="0">
      <w:start w:val="1"/>
      <w:numFmt w:val="bullet"/>
      <w:pStyle w:val="TableBullet"/>
      <w:lvlText w:val="–"/>
      <w:lvlJc w:val="left"/>
      <w:pPr>
        <w:ind w:left="170" w:hanging="170"/>
      </w:pPr>
      <w:rPr>
        <w:rFonts w:ascii="Calibri" w:hAnsi="Calibri" w:hint="default"/>
      </w:rPr>
    </w:lvl>
    <w:lvl w:ilvl="1">
      <w:start w:val="1"/>
      <w:numFmt w:val="bullet"/>
      <w:pStyle w:val="TableBullet2"/>
      <w:lvlText w:val="–"/>
      <w:lvlJc w:val="left"/>
      <w:pPr>
        <w:ind w:left="340" w:hanging="170"/>
      </w:pPr>
      <w:rPr>
        <w:rFonts w:ascii="Arial" w:hAnsi="Arial" w:hint="default"/>
      </w:rPr>
    </w:lvl>
    <w:lvl w:ilvl="2">
      <w:start w:val="1"/>
      <w:numFmt w:val="bullet"/>
      <w:lvlText w:val=""/>
      <w:lvlJc w:val="left"/>
      <w:pPr>
        <w:tabs>
          <w:tab w:val="num" w:pos="1074"/>
        </w:tabs>
        <w:ind w:left="1071" w:hanging="357"/>
      </w:pPr>
      <w:rPr>
        <w:rFonts w:ascii="Symbol" w:hAnsi="Symbol" w:hint="default"/>
      </w:rPr>
    </w:lvl>
    <w:lvl w:ilvl="3">
      <w:start w:val="1"/>
      <w:numFmt w:val="bullet"/>
      <w:lvlText w:val="o"/>
      <w:lvlJc w:val="left"/>
      <w:pPr>
        <w:tabs>
          <w:tab w:val="num" w:pos="1431"/>
        </w:tabs>
        <w:ind w:left="1428" w:hanging="357"/>
      </w:pPr>
      <w:rPr>
        <w:rFonts w:ascii="Courier New" w:hAnsi="Courier New" w:hint="default"/>
      </w:rPr>
    </w:lvl>
    <w:lvl w:ilvl="4">
      <w:start w:val="1"/>
      <w:numFmt w:val="bullet"/>
      <w:lvlText w:val=""/>
      <w:lvlJc w:val="left"/>
      <w:pPr>
        <w:tabs>
          <w:tab w:val="num" w:pos="1788"/>
        </w:tabs>
        <w:ind w:left="1785" w:hanging="357"/>
      </w:pPr>
      <w:rPr>
        <w:rFonts w:ascii="Symbol" w:hAnsi="Symbol" w:hint="default"/>
      </w:rPr>
    </w:lvl>
    <w:lvl w:ilvl="5">
      <w:start w:val="1"/>
      <w:numFmt w:val="none"/>
      <w:lvlText w:val=""/>
      <w:lvlJc w:val="left"/>
      <w:pPr>
        <w:tabs>
          <w:tab w:val="num" w:pos="2145"/>
        </w:tabs>
        <w:ind w:left="2142" w:hanging="357"/>
      </w:pPr>
      <w:rPr>
        <w:rFonts w:hint="default"/>
      </w:rPr>
    </w:lvl>
    <w:lvl w:ilvl="6">
      <w:start w:val="1"/>
      <w:numFmt w:val="none"/>
      <w:lvlText w:val=""/>
      <w:lvlJc w:val="left"/>
      <w:pPr>
        <w:tabs>
          <w:tab w:val="num" w:pos="2502"/>
        </w:tabs>
        <w:ind w:left="2499" w:hanging="357"/>
      </w:pPr>
      <w:rPr>
        <w:rFonts w:hint="default"/>
      </w:rPr>
    </w:lvl>
    <w:lvl w:ilvl="7">
      <w:start w:val="1"/>
      <w:numFmt w:val="none"/>
      <w:lvlText w:val=""/>
      <w:lvlJc w:val="left"/>
      <w:pPr>
        <w:tabs>
          <w:tab w:val="num" w:pos="2859"/>
        </w:tabs>
        <w:ind w:left="2856" w:hanging="357"/>
      </w:pPr>
      <w:rPr>
        <w:rFonts w:hint="default"/>
      </w:rPr>
    </w:lvl>
    <w:lvl w:ilvl="8">
      <w:start w:val="1"/>
      <w:numFmt w:val="none"/>
      <w:lvlText w:val=""/>
      <w:lvlJc w:val="left"/>
      <w:pPr>
        <w:tabs>
          <w:tab w:val="num" w:pos="3216"/>
        </w:tabs>
        <w:ind w:left="3213" w:hanging="357"/>
      </w:pPr>
      <w:rPr>
        <w:rFonts w:hint="default"/>
      </w:rPr>
    </w:lvl>
  </w:abstractNum>
  <w:abstractNum w:abstractNumId="6" w15:restartNumberingAfterBreak="0">
    <w:nsid w:val="38C10957"/>
    <w:multiLevelType w:val="multilevel"/>
    <w:tmpl w:val="16506B6C"/>
    <w:lvl w:ilvl="0">
      <w:start w:val="1"/>
      <w:numFmt w:val="decimal"/>
      <w:pStyle w:val="ListNumber"/>
      <w:lvlText w:val="%1."/>
      <w:lvlJc w:val="left"/>
      <w:pPr>
        <w:tabs>
          <w:tab w:val="num" w:pos="357"/>
        </w:tabs>
        <w:ind w:left="357" w:hanging="357"/>
      </w:pPr>
      <w:rPr>
        <w:rFonts w:hint="default"/>
      </w:rPr>
    </w:lvl>
    <w:lvl w:ilvl="1">
      <w:start w:val="1"/>
      <w:numFmt w:val="decimal"/>
      <w:pStyle w:val="ListNumber2"/>
      <w:lvlText w:val="%1.%2."/>
      <w:lvlJc w:val="left"/>
      <w:pPr>
        <w:tabs>
          <w:tab w:val="num" w:pos="964"/>
        </w:tabs>
        <w:ind w:left="964" w:hanging="607"/>
      </w:pPr>
      <w:rPr>
        <w:rFonts w:hint="default"/>
      </w:rPr>
    </w:lvl>
    <w:lvl w:ilvl="2">
      <w:start w:val="1"/>
      <w:numFmt w:val="decimal"/>
      <w:pStyle w:val="ListNumber3"/>
      <w:lvlText w:val="%1.%2.%3"/>
      <w:lvlJc w:val="left"/>
      <w:pPr>
        <w:tabs>
          <w:tab w:val="num" w:pos="1731"/>
        </w:tabs>
        <w:ind w:left="1731" w:hanging="767"/>
      </w:pPr>
      <w:rPr>
        <w:rFonts w:hint="default"/>
      </w:rPr>
    </w:lvl>
    <w:lvl w:ilvl="3">
      <w:start w:val="1"/>
      <w:numFmt w:val="decimal"/>
      <w:pStyle w:val="ListNumber4"/>
      <w:lvlText w:val="%1.%2.%3.%4."/>
      <w:lvlJc w:val="left"/>
      <w:pPr>
        <w:tabs>
          <w:tab w:val="num" w:pos="2722"/>
        </w:tabs>
        <w:ind w:left="2722" w:hanging="993"/>
      </w:pPr>
      <w:rPr>
        <w:rFonts w:hint="default"/>
      </w:rPr>
    </w:lvl>
    <w:lvl w:ilvl="4">
      <w:start w:val="1"/>
      <w:numFmt w:val="none"/>
      <w:lvlRestart w:val="0"/>
      <w:lvlText w:val=""/>
      <w:lvlJc w:val="left"/>
      <w:pPr>
        <w:tabs>
          <w:tab w:val="num" w:pos="1785"/>
        </w:tabs>
        <w:ind w:left="1785" w:hanging="357"/>
      </w:pPr>
      <w:rPr>
        <w:rFonts w:hint="default"/>
      </w:rPr>
    </w:lvl>
    <w:lvl w:ilvl="5">
      <w:start w:val="1"/>
      <w:numFmt w:val="none"/>
      <w:lvlRestart w:val="0"/>
      <w:lvlText w:val=""/>
      <w:lvlJc w:val="left"/>
      <w:pPr>
        <w:tabs>
          <w:tab w:val="num" w:pos="2142"/>
        </w:tabs>
        <w:ind w:left="2142" w:hanging="357"/>
      </w:pPr>
      <w:rPr>
        <w:rFonts w:hint="default"/>
      </w:rPr>
    </w:lvl>
    <w:lvl w:ilvl="6">
      <w:start w:val="1"/>
      <w:numFmt w:val="none"/>
      <w:lvlRestart w:val="0"/>
      <w:lvlText w:val=""/>
      <w:lvlJc w:val="left"/>
      <w:pPr>
        <w:tabs>
          <w:tab w:val="num" w:pos="2499"/>
        </w:tabs>
        <w:ind w:left="2499" w:hanging="357"/>
      </w:pPr>
      <w:rPr>
        <w:rFonts w:hint="default"/>
      </w:rPr>
    </w:lvl>
    <w:lvl w:ilvl="7">
      <w:start w:val="1"/>
      <w:numFmt w:val="none"/>
      <w:lvlRestart w:val="0"/>
      <w:lvlText w:val=""/>
      <w:lvlJc w:val="left"/>
      <w:pPr>
        <w:tabs>
          <w:tab w:val="num" w:pos="2856"/>
        </w:tabs>
        <w:ind w:left="2856" w:hanging="357"/>
      </w:pPr>
      <w:rPr>
        <w:rFonts w:hint="default"/>
      </w:rPr>
    </w:lvl>
    <w:lvl w:ilvl="8">
      <w:start w:val="1"/>
      <w:numFmt w:val="none"/>
      <w:lvlRestart w:val="0"/>
      <w:lvlText w:val=""/>
      <w:lvlJc w:val="left"/>
      <w:pPr>
        <w:tabs>
          <w:tab w:val="num" w:pos="3213"/>
        </w:tabs>
        <w:ind w:left="3213" w:hanging="357"/>
      </w:pPr>
      <w:rPr>
        <w:rFonts w:hint="default"/>
      </w:rPr>
    </w:lvl>
  </w:abstractNum>
  <w:abstractNum w:abstractNumId="7" w15:restartNumberingAfterBreak="0">
    <w:nsid w:val="3A591B9A"/>
    <w:multiLevelType w:val="hybridMultilevel"/>
    <w:tmpl w:val="813AF6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2B419CC"/>
    <w:multiLevelType w:val="hybridMultilevel"/>
    <w:tmpl w:val="024C75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63B5E48"/>
    <w:multiLevelType w:val="hybridMultilevel"/>
    <w:tmpl w:val="ED9AEA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0C69B8"/>
    <w:multiLevelType w:val="hybridMultilevel"/>
    <w:tmpl w:val="BFDCDB84"/>
    <w:lvl w:ilvl="0" w:tplc="1A163360">
      <w:start w:val="1"/>
      <w:numFmt w:val="bullet"/>
      <w:pStyle w:val="PullBoxBullet"/>
      <w:lvlText w:val=""/>
      <w:lvlJc w:val="left"/>
      <w:pPr>
        <w:ind w:left="890" w:hanging="360"/>
      </w:pPr>
      <w:rPr>
        <w:rFonts w:ascii="Symbol" w:hAnsi="Symbol" w:hint="default"/>
      </w:rPr>
    </w:lvl>
    <w:lvl w:ilvl="1" w:tplc="0C090003">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abstractNumId w:val="0"/>
    <w:lvlOverride w:ilvl="0">
      <w:lvl w:ilvl="0">
        <w:start w:val="1"/>
        <w:numFmt w:val="bullet"/>
        <w:pStyle w:val="ListBullet"/>
        <w:lvlText w:val=""/>
        <w:lvlJc w:val="left"/>
        <w:pPr>
          <w:ind w:left="357" w:hanging="357"/>
        </w:pPr>
        <w:rPr>
          <w:rFonts w:ascii="Symbol" w:hAnsi="Symbol" w:hint="default"/>
        </w:rPr>
      </w:lvl>
    </w:lvlOverride>
    <w:lvlOverride w:ilvl="1">
      <w:lvl w:ilvl="1">
        <w:start w:val="1"/>
        <w:numFmt w:val="bullet"/>
        <w:pStyle w:val="ListBullet2"/>
        <w:lvlText w:val="o"/>
        <w:lvlJc w:val="left"/>
        <w:pPr>
          <w:tabs>
            <w:tab w:val="num" w:pos="717"/>
          </w:tabs>
          <w:ind w:left="714" w:hanging="357"/>
        </w:pPr>
        <w:rPr>
          <w:rFonts w:ascii="Courier New" w:hAnsi="Courier New" w:hint="default"/>
        </w:rPr>
      </w:lvl>
    </w:lvlOverride>
  </w:num>
  <w:num w:numId="2">
    <w:abstractNumId w:val="3"/>
  </w:num>
  <w:num w:numId="3">
    <w:abstractNumId w:val="6"/>
  </w:num>
  <w:num w:numId="4">
    <w:abstractNumId w:val="2"/>
  </w:num>
  <w:num w:numId="5">
    <w:abstractNumId w:val="10"/>
  </w:num>
  <w:num w:numId="6">
    <w:abstractNumId w:val="5"/>
  </w:num>
  <w:num w:numId="7">
    <w:abstractNumId w:val="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1"/>
  </w:num>
  <w:num w:numId="14">
    <w:abstractNumId w:val="9"/>
  </w:num>
  <w:num w:numId="15">
    <w:abstractNumId w:val="6"/>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4915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EA"/>
    <w:rsid w:val="00000370"/>
    <w:rsid w:val="00001520"/>
    <w:rsid w:val="000025B2"/>
    <w:rsid w:val="000043E2"/>
    <w:rsid w:val="00004893"/>
    <w:rsid w:val="00004C2B"/>
    <w:rsid w:val="00004CE5"/>
    <w:rsid w:val="00004E98"/>
    <w:rsid w:val="00004F3F"/>
    <w:rsid w:val="00005D4D"/>
    <w:rsid w:val="00005E4B"/>
    <w:rsid w:val="0000731D"/>
    <w:rsid w:val="00007AE1"/>
    <w:rsid w:val="00007B2A"/>
    <w:rsid w:val="00010A6D"/>
    <w:rsid w:val="0001128B"/>
    <w:rsid w:val="00011A4A"/>
    <w:rsid w:val="000142F8"/>
    <w:rsid w:val="000144F5"/>
    <w:rsid w:val="00015815"/>
    <w:rsid w:val="0001756E"/>
    <w:rsid w:val="000203E2"/>
    <w:rsid w:val="00022807"/>
    <w:rsid w:val="00023256"/>
    <w:rsid w:val="00024621"/>
    <w:rsid w:val="00024E34"/>
    <w:rsid w:val="00026155"/>
    <w:rsid w:val="000261A5"/>
    <w:rsid w:val="000265A6"/>
    <w:rsid w:val="000274CC"/>
    <w:rsid w:val="000314C4"/>
    <w:rsid w:val="000331C0"/>
    <w:rsid w:val="0003656F"/>
    <w:rsid w:val="000375E5"/>
    <w:rsid w:val="00037A24"/>
    <w:rsid w:val="00037A39"/>
    <w:rsid w:val="0004105E"/>
    <w:rsid w:val="000422D0"/>
    <w:rsid w:val="00042507"/>
    <w:rsid w:val="00042CD5"/>
    <w:rsid w:val="00042FE1"/>
    <w:rsid w:val="000437C5"/>
    <w:rsid w:val="0004452C"/>
    <w:rsid w:val="00044EDC"/>
    <w:rsid w:val="00045CC5"/>
    <w:rsid w:val="0004697A"/>
    <w:rsid w:val="00046A32"/>
    <w:rsid w:val="000474AE"/>
    <w:rsid w:val="00047720"/>
    <w:rsid w:val="000511F4"/>
    <w:rsid w:val="0005602D"/>
    <w:rsid w:val="00056547"/>
    <w:rsid w:val="0005664E"/>
    <w:rsid w:val="00056740"/>
    <w:rsid w:val="00056870"/>
    <w:rsid w:val="00056F67"/>
    <w:rsid w:val="00057D0A"/>
    <w:rsid w:val="0006039D"/>
    <w:rsid w:val="0006081F"/>
    <w:rsid w:val="00060F0B"/>
    <w:rsid w:val="00062DB2"/>
    <w:rsid w:val="0006443E"/>
    <w:rsid w:val="000645C9"/>
    <w:rsid w:val="000649DA"/>
    <w:rsid w:val="00064C0F"/>
    <w:rsid w:val="00066EEE"/>
    <w:rsid w:val="00070208"/>
    <w:rsid w:val="00071857"/>
    <w:rsid w:val="00071C96"/>
    <w:rsid w:val="00072143"/>
    <w:rsid w:val="000721EC"/>
    <w:rsid w:val="00072210"/>
    <w:rsid w:val="0007289C"/>
    <w:rsid w:val="00074D1A"/>
    <w:rsid w:val="000751DE"/>
    <w:rsid w:val="000766A9"/>
    <w:rsid w:val="00076CA7"/>
    <w:rsid w:val="000772A5"/>
    <w:rsid w:val="000773F7"/>
    <w:rsid w:val="000806DD"/>
    <w:rsid w:val="000815B1"/>
    <w:rsid w:val="00081980"/>
    <w:rsid w:val="00081E99"/>
    <w:rsid w:val="0008250D"/>
    <w:rsid w:val="00082648"/>
    <w:rsid w:val="000827C5"/>
    <w:rsid w:val="00082846"/>
    <w:rsid w:val="00082A06"/>
    <w:rsid w:val="00082AA0"/>
    <w:rsid w:val="000839A8"/>
    <w:rsid w:val="00084A59"/>
    <w:rsid w:val="00085FC6"/>
    <w:rsid w:val="00086266"/>
    <w:rsid w:val="000866D9"/>
    <w:rsid w:val="00090557"/>
    <w:rsid w:val="00090DC2"/>
    <w:rsid w:val="00091284"/>
    <w:rsid w:val="0009255F"/>
    <w:rsid w:val="00095575"/>
    <w:rsid w:val="000956D9"/>
    <w:rsid w:val="00096532"/>
    <w:rsid w:val="00096743"/>
    <w:rsid w:val="00097892"/>
    <w:rsid w:val="000979E2"/>
    <w:rsid w:val="00097FA2"/>
    <w:rsid w:val="000A015B"/>
    <w:rsid w:val="000A0429"/>
    <w:rsid w:val="000A04C8"/>
    <w:rsid w:val="000A0B7F"/>
    <w:rsid w:val="000A2BDA"/>
    <w:rsid w:val="000A5983"/>
    <w:rsid w:val="000A65CC"/>
    <w:rsid w:val="000A7024"/>
    <w:rsid w:val="000A7301"/>
    <w:rsid w:val="000A7743"/>
    <w:rsid w:val="000B0F2F"/>
    <w:rsid w:val="000B199E"/>
    <w:rsid w:val="000B1B76"/>
    <w:rsid w:val="000B1C57"/>
    <w:rsid w:val="000B1EBD"/>
    <w:rsid w:val="000B28DF"/>
    <w:rsid w:val="000B2D79"/>
    <w:rsid w:val="000B44C4"/>
    <w:rsid w:val="000B44E8"/>
    <w:rsid w:val="000B54BB"/>
    <w:rsid w:val="000B5EAA"/>
    <w:rsid w:val="000B6DF9"/>
    <w:rsid w:val="000B7C6D"/>
    <w:rsid w:val="000C01A1"/>
    <w:rsid w:val="000C2764"/>
    <w:rsid w:val="000C2EE6"/>
    <w:rsid w:val="000C436B"/>
    <w:rsid w:val="000C5685"/>
    <w:rsid w:val="000D1C31"/>
    <w:rsid w:val="000D2B07"/>
    <w:rsid w:val="000D4C48"/>
    <w:rsid w:val="000D57BA"/>
    <w:rsid w:val="000D5B72"/>
    <w:rsid w:val="000D5CF0"/>
    <w:rsid w:val="000E04DE"/>
    <w:rsid w:val="000E1A79"/>
    <w:rsid w:val="000E26CA"/>
    <w:rsid w:val="000E2F42"/>
    <w:rsid w:val="000E2F5C"/>
    <w:rsid w:val="000E48AD"/>
    <w:rsid w:val="000E7677"/>
    <w:rsid w:val="000F037B"/>
    <w:rsid w:val="000F03FF"/>
    <w:rsid w:val="000F0683"/>
    <w:rsid w:val="000F1B55"/>
    <w:rsid w:val="000F2E97"/>
    <w:rsid w:val="000F3C61"/>
    <w:rsid w:val="000F3DDE"/>
    <w:rsid w:val="000F46E7"/>
    <w:rsid w:val="000F549E"/>
    <w:rsid w:val="000F6626"/>
    <w:rsid w:val="000F67B6"/>
    <w:rsid w:val="000F67C0"/>
    <w:rsid w:val="000F7777"/>
    <w:rsid w:val="000F799D"/>
    <w:rsid w:val="000F7D11"/>
    <w:rsid w:val="00101240"/>
    <w:rsid w:val="00101F84"/>
    <w:rsid w:val="00102DBB"/>
    <w:rsid w:val="00103E41"/>
    <w:rsid w:val="001040D6"/>
    <w:rsid w:val="0010453B"/>
    <w:rsid w:val="001050E7"/>
    <w:rsid w:val="00106486"/>
    <w:rsid w:val="001064AA"/>
    <w:rsid w:val="0010793A"/>
    <w:rsid w:val="0011125B"/>
    <w:rsid w:val="00111DC9"/>
    <w:rsid w:val="00114DCF"/>
    <w:rsid w:val="0011520C"/>
    <w:rsid w:val="001167D5"/>
    <w:rsid w:val="001170D9"/>
    <w:rsid w:val="00117E99"/>
    <w:rsid w:val="00122232"/>
    <w:rsid w:val="00122E25"/>
    <w:rsid w:val="001231AD"/>
    <w:rsid w:val="0012356B"/>
    <w:rsid w:val="00124DE7"/>
    <w:rsid w:val="00124F58"/>
    <w:rsid w:val="001261B4"/>
    <w:rsid w:val="0012633C"/>
    <w:rsid w:val="00127783"/>
    <w:rsid w:val="00130270"/>
    <w:rsid w:val="001304B3"/>
    <w:rsid w:val="001304D3"/>
    <w:rsid w:val="00130CCA"/>
    <w:rsid w:val="00131A38"/>
    <w:rsid w:val="00132278"/>
    <w:rsid w:val="00133255"/>
    <w:rsid w:val="0013406B"/>
    <w:rsid w:val="0013514C"/>
    <w:rsid w:val="0013585E"/>
    <w:rsid w:val="00136CC4"/>
    <w:rsid w:val="00140412"/>
    <w:rsid w:val="00140618"/>
    <w:rsid w:val="0014069C"/>
    <w:rsid w:val="001406C3"/>
    <w:rsid w:val="00142717"/>
    <w:rsid w:val="001451F8"/>
    <w:rsid w:val="001465AA"/>
    <w:rsid w:val="00147B6A"/>
    <w:rsid w:val="00147BAA"/>
    <w:rsid w:val="00147C6E"/>
    <w:rsid w:val="00150950"/>
    <w:rsid w:val="00151A6A"/>
    <w:rsid w:val="00152138"/>
    <w:rsid w:val="00152FC8"/>
    <w:rsid w:val="00154D14"/>
    <w:rsid w:val="00157AB3"/>
    <w:rsid w:val="0016030F"/>
    <w:rsid w:val="00164198"/>
    <w:rsid w:val="00171F06"/>
    <w:rsid w:val="001726DE"/>
    <w:rsid w:val="001743AC"/>
    <w:rsid w:val="0017497F"/>
    <w:rsid w:val="00174E16"/>
    <w:rsid w:val="001762EA"/>
    <w:rsid w:val="001763DB"/>
    <w:rsid w:val="001765EC"/>
    <w:rsid w:val="00177B5A"/>
    <w:rsid w:val="00180F9D"/>
    <w:rsid w:val="001813CF"/>
    <w:rsid w:val="001829A5"/>
    <w:rsid w:val="00183448"/>
    <w:rsid w:val="00183AEE"/>
    <w:rsid w:val="00185234"/>
    <w:rsid w:val="00185CEF"/>
    <w:rsid w:val="001864FC"/>
    <w:rsid w:val="00186611"/>
    <w:rsid w:val="00186FAD"/>
    <w:rsid w:val="001875A1"/>
    <w:rsid w:val="00187D19"/>
    <w:rsid w:val="00190B0E"/>
    <w:rsid w:val="001913F1"/>
    <w:rsid w:val="0019284F"/>
    <w:rsid w:val="0019385B"/>
    <w:rsid w:val="00194743"/>
    <w:rsid w:val="00194CBC"/>
    <w:rsid w:val="00194E07"/>
    <w:rsid w:val="00195042"/>
    <w:rsid w:val="0019542E"/>
    <w:rsid w:val="001955D3"/>
    <w:rsid w:val="0019618E"/>
    <w:rsid w:val="0019648F"/>
    <w:rsid w:val="001967E7"/>
    <w:rsid w:val="00197A59"/>
    <w:rsid w:val="00197CFF"/>
    <w:rsid w:val="001A049B"/>
    <w:rsid w:val="001A057B"/>
    <w:rsid w:val="001A1874"/>
    <w:rsid w:val="001A1945"/>
    <w:rsid w:val="001A1B3E"/>
    <w:rsid w:val="001A4BB2"/>
    <w:rsid w:val="001A4EDF"/>
    <w:rsid w:val="001A64D1"/>
    <w:rsid w:val="001B0295"/>
    <w:rsid w:val="001B137C"/>
    <w:rsid w:val="001B238F"/>
    <w:rsid w:val="001B428C"/>
    <w:rsid w:val="001B5CE2"/>
    <w:rsid w:val="001B6182"/>
    <w:rsid w:val="001B6CA0"/>
    <w:rsid w:val="001B7880"/>
    <w:rsid w:val="001C1EBF"/>
    <w:rsid w:val="001C1FAE"/>
    <w:rsid w:val="001C4F1D"/>
    <w:rsid w:val="001C5541"/>
    <w:rsid w:val="001C5B45"/>
    <w:rsid w:val="001C74ED"/>
    <w:rsid w:val="001D02CA"/>
    <w:rsid w:val="001D0AE5"/>
    <w:rsid w:val="001D13A8"/>
    <w:rsid w:val="001D2D74"/>
    <w:rsid w:val="001D36AC"/>
    <w:rsid w:val="001D4861"/>
    <w:rsid w:val="001D59CD"/>
    <w:rsid w:val="001D6A4C"/>
    <w:rsid w:val="001D7A09"/>
    <w:rsid w:val="001E00D7"/>
    <w:rsid w:val="001E0875"/>
    <w:rsid w:val="001E12AC"/>
    <w:rsid w:val="001E1332"/>
    <w:rsid w:val="001E1A59"/>
    <w:rsid w:val="001E1EB7"/>
    <w:rsid w:val="001E3E10"/>
    <w:rsid w:val="001E4761"/>
    <w:rsid w:val="001E4787"/>
    <w:rsid w:val="001E486C"/>
    <w:rsid w:val="001E49B5"/>
    <w:rsid w:val="001E5344"/>
    <w:rsid w:val="001E54DC"/>
    <w:rsid w:val="001E5756"/>
    <w:rsid w:val="001E5ED4"/>
    <w:rsid w:val="001E64BC"/>
    <w:rsid w:val="001E6582"/>
    <w:rsid w:val="001E702A"/>
    <w:rsid w:val="001E7E4D"/>
    <w:rsid w:val="001F069E"/>
    <w:rsid w:val="001F3778"/>
    <w:rsid w:val="001F3C76"/>
    <w:rsid w:val="001F3CFA"/>
    <w:rsid w:val="001F46B4"/>
    <w:rsid w:val="001F4833"/>
    <w:rsid w:val="001F525A"/>
    <w:rsid w:val="001F554D"/>
    <w:rsid w:val="001F63E8"/>
    <w:rsid w:val="001F66C7"/>
    <w:rsid w:val="001F69E8"/>
    <w:rsid w:val="001F6A8B"/>
    <w:rsid w:val="001F6CBB"/>
    <w:rsid w:val="00200513"/>
    <w:rsid w:val="00200FC2"/>
    <w:rsid w:val="00201A9C"/>
    <w:rsid w:val="00202A14"/>
    <w:rsid w:val="00203819"/>
    <w:rsid w:val="00203B5D"/>
    <w:rsid w:val="002042AB"/>
    <w:rsid w:val="00204EC8"/>
    <w:rsid w:val="002052FF"/>
    <w:rsid w:val="002058A0"/>
    <w:rsid w:val="00205C10"/>
    <w:rsid w:val="0020600A"/>
    <w:rsid w:val="00206C08"/>
    <w:rsid w:val="00207556"/>
    <w:rsid w:val="00207641"/>
    <w:rsid w:val="00211BE8"/>
    <w:rsid w:val="0021202B"/>
    <w:rsid w:val="00213F8F"/>
    <w:rsid w:val="00215B49"/>
    <w:rsid w:val="00215D62"/>
    <w:rsid w:val="00217613"/>
    <w:rsid w:val="002211FF"/>
    <w:rsid w:val="0022375D"/>
    <w:rsid w:val="00223BF2"/>
    <w:rsid w:val="00225559"/>
    <w:rsid w:val="002269E0"/>
    <w:rsid w:val="00226E08"/>
    <w:rsid w:val="00226E71"/>
    <w:rsid w:val="002301C0"/>
    <w:rsid w:val="00231084"/>
    <w:rsid w:val="00231219"/>
    <w:rsid w:val="0023174E"/>
    <w:rsid w:val="00231C21"/>
    <w:rsid w:val="00233AD8"/>
    <w:rsid w:val="00234180"/>
    <w:rsid w:val="00234701"/>
    <w:rsid w:val="00234C36"/>
    <w:rsid w:val="00237018"/>
    <w:rsid w:val="002411D2"/>
    <w:rsid w:val="002415B4"/>
    <w:rsid w:val="00241CC6"/>
    <w:rsid w:val="00241CE0"/>
    <w:rsid w:val="00241E41"/>
    <w:rsid w:val="00242107"/>
    <w:rsid w:val="002436A6"/>
    <w:rsid w:val="002438B7"/>
    <w:rsid w:val="0024420B"/>
    <w:rsid w:val="00244A46"/>
    <w:rsid w:val="00245640"/>
    <w:rsid w:val="00245EB4"/>
    <w:rsid w:val="0024773F"/>
    <w:rsid w:val="00251443"/>
    <w:rsid w:val="002525C8"/>
    <w:rsid w:val="00253CED"/>
    <w:rsid w:val="0025564C"/>
    <w:rsid w:val="00255DA6"/>
    <w:rsid w:val="002562FC"/>
    <w:rsid w:val="002563B0"/>
    <w:rsid w:val="002566CD"/>
    <w:rsid w:val="00257C0E"/>
    <w:rsid w:val="00260C86"/>
    <w:rsid w:val="00261882"/>
    <w:rsid w:val="0026189E"/>
    <w:rsid w:val="00262738"/>
    <w:rsid w:val="00262985"/>
    <w:rsid w:val="00263CD7"/>
    <w:rsid w:val="0026452B"/>
    <w:rsid w:val="002648C3"/>
    <w:rsid w:val="00264EBE"/>
    <w:rsid w:val="0026549B"/>
    <w:rsid w:val="0027014B"/>
    <w:rsid w:val="002715CB"/>
    <w:rsid w:val="00272C64"/>
    <w:rsid w:val="002740C3"/>
    <w:rsid w:val="00274408"/>
    <w:rsid w:val="00274497"/>
    <w:rsid w:val="00274F0D"/>
    <w:rsid w:val="00275960"/>
    <w:rsid w:val="00276B00"/>
    <w:rsid w:val="00277123"/>
    <w:rsid w:val="0027765D"/>
    <w:rsid w:val="002817D0"/>
    <w:rsid w:val="00282CEF"/>
    <w:rsid w:val="00283BAA"/>
    <w:rsid w:val="00284953"/>
    <w:rsid w:val="002851AC"/>
    <w:rsid w:val="00286036"/>
    <w:rsid w:val="00287C46"/>
    <w:rsid w:val="00287F5A"/>
    <w:rsid w:val="002904C2"/>
    <w:rsid w:val="002919F1"/>
    <w:rsid w:val="00292930"/>
    <w:rsid w:val="00292BD0"/>
    <w:rsid w:val="002935CD"/>
    <w:rsid w:val="00294353"/>
    <w:rsid w:val="002947C3"/>
    <w:rsid w:val="00295DD1"/>
    <w:rsid w:val="002966AA"/>
    <w:rsid w:val="00296848"/>
    <w:rsid w:val="00297095"/>
    <w:rsid w:val="002A0FC8"/>
    <w:rsid w:val="002A1EF1"/>
    <w:rsid w:val="002A2819"/>
    <w:rsid w:val="002A3ED8"/>
    <w:rsid w:val="002A412C"/>
    <w:rsid w:val="002A4213"/>
    <w:rsid w:val="002A47BE"/>
    <w:rsid w:val="002A489A"/>
    <w:rsid w:val="002A535A"/>
    <w:rsid w:val="002A591A"/>
    <w:rsid w:val="002A6425"/>
    <w:rsid w:val="002A6552"/>
    <w:rsid w:val="002A7587"/>
    <w:rsid w:val="002A7930"/>
    <w:rsid w:val="002A7CC0"/>
    <w:rsid w:val="002B0B65"/>
    <w:rsid w:val="002B207F"/>
    <w:rsid w:val="002B2206"/>
    <w:rsid w:val="002B25DA"/>
    <w:rsid w:val="002B45CB"/>
    <w:rsid w:val="002B48AF"/>
    <w:rsid w:val="002B4A4E"/>
    <w:rsid w:val="002B4C5B"/>
    <w:rsid w:val="002B5334"/>
    <w:rsid w:val="002B5BE2"/>
    <w:rsid w:val="002B60F7"/>
    <w:rsid w:val="002B6589"/>
    <w:rsid w:val="002B662E"/>
    <w:rsid w:val="002B67F4"/>
    <w:rsid w:val="002C002F"/>
    <w:rsid w:val="002C1E65"/>
    <w:rsid w:val="002C22E0"/>
    <w:rsid w:val="002C400A"/>
    <w:rsid w:val="002C55C3"/>
    <w:rsid w:val="002C657D"/>
    <w:rsid w:val="002C717E"/>
    <w:rsid w:val="002C78E5"/>
    <w:rsid w:val="002C7910"/>
    <w:rsid w:val="002D0BDE"/>
    <w:rsid w:val="002D1D33"/>
    <w:rsid w:val="002D2A92"/>
    <w:rsid w:val="002D2C34"/>
    <w:rsid w:val="002D395A"/>
    <w:rsid w:val="002D5EBD"/>
    <w:rsid w:val="002D61AE"/>
    <w:rsid w:val="002D61C9"/>
    <w:rsid w:val="002D6204"/>
    <w:rsid w:val="002D642F"/>
    <w:rsid w:val="002D68ED"/>
    <w:rsid w:val="002D6E73"/>
    <w:rsid w:val="002D7376"/>
    <w:rsid w:val="002E008B"/>
    <w:rsid w:val="002E0108"/>
    <w:rsid w:val="002E0975"/>
    <w:rsid w:val="002E1755"/>
    <w:rsid w:val="002E317E"/>
    <w:rsid w:val="002E4153"/>
    <w:rsid w:val="002E55B1"/>
    <w:rsid w:val="002E5CB2"/>
    <w:rsid w:val="002E61AC"/>
    <w:rsid w:val="002E6F99"/>
    <w:rsid w:val="002E7276"/>
    <w:rsid w:val="002E7ABF"/>
    <w:rsid w:val="002F020F"/>
    <w:rsid w:val="002F325E"/>
    <w:rsid w:val="002F3B7F"/>
    <w:rsid w:val="002F3CD1"/>
    <w:rsid w:val="002F462F"/>
    <w:rsid w:val="002F47B6"/>
    <w:rsid w:val="002F4C86"/>
    <w:rsid w:val="002F4DF6"/>
    <w:rsid w:val="002F603A"/>
    <w:rsid w:val="002F6A88"/>
    <w:rsid w:val="002F7A85"/>
    <w:rsid w:val="00300324"/>
    <w:rsid w:val="0030196D"/>
    <w:rsid w:val="00301F3E"/>
    <w:rsid w:val="003042D6"/>
    <w:rsid w:val="00304E0B"/>
    <w:rsid w:val="003052DB"/>
    <w:rsid w:val="00305B08"/>
    <w:rsid w:val="00305D69"/>
    <w:rsid w:val="00312E84"/>
    <w:rsid w:val="003131A3"/>
    <w:rsid w:val="0031331B"/>
    <w:rsid w:val="00313EF1"/>
    <w:rsid w:val="00314038"/>
    <w:rsid w:val="003153D0"/>
    <w:rsid w:val="0031549B"/>
    <w:rsid w:val="00316785"/>
    <w:rsid w:val="003170EB"/>
    <w:rsid w:val="00317C92"/>
    <w:rsid w:val="003200D5"/>
    <w:rsid w:val="00320536"/>
    <w:rsid w:val="00321D5D"/>
    <w:rsid w:val="003220B8"/>
    <w:rsid w:val="003221B7"/>
    <w:rsid w:val="003223A4"/>
    <w:rsid w:val="00322C1C"/>
    <w:rsid w:val="003235B9"/>
    <w:rsid w:val="003238AD"/>
    <w:rsid w:val="003252DF"/>
    <w:rsid w:val="00325446"/>
    <w:rsid w:val="00326F9E"/>
    <w:rsid w:val="003274C1"/>
    <w:rsid w:val="00331A8F"/>
    <w:rsid w:val="0033207C"/>
    <w:rsid w:val="003340B0"/>
    <w:rsid w:val="00334477"/>
    <w:rsid w:val="00335EA5"/>
    <w:rsid w:val="00336631"/>
    <w:rsid w:val="003374AB"/>
    <w:rsid w:val="0034029E"/>
    <w:rsid w:val="0034076F"/>
    <w:rsid w:val="00340D67"/>
    <w:rsid w:val="00341BB3"/>
    <w:rsid w:val="00341C55"/>
    <w:rsid w:val="00342D4B"/>
    <w:rsid w:val="00344E0A"/>
    <w:rsid w:val="00345013"/>
    <w:rsid w:val="0034551D"/>
    <w:rsid w:val="003455F1"/>
    <w:rsid w:val="0034567D"/>
    <w:rsid w:val="00346E02"/>
    <w:rsid w:val="00347655"/>
    <w:rsid w:val="00347AF6"/>
    <w:rsid w:val="00350BE1"/>
    <w:rsid w:val="00351B93"/>
    <w:rsid w:val="003523C3"/>
    <w:rsid w:val="003527FB"/>
    <w:rsid w:val="003558C7"/>
    <w:rsid w:val="00355DF1"/>
    <w:rsid w:val="00355E53"/>
    <w:rsid w:val="00361E41"/>
    <w:rsid w:val="00361F82"/>
    <w:rsid w:val="00362750"/>
    <w:rsid w:val="00362D3D"/>
    <w:rsid w:val="0036419A"/>
    <w:rsid w:val="003645FE"/>
    <w:rsid w:val="0036541B"/>
    <w:rsid w:val="003666FF"/>
    <w:rsid w:val="00366F48"/>
    <w:rsid w:val="00367450"/>
    <w:rsid w:val="00367ABA"/>
    <w:rsid w:val="00370DB1"/>
    <w:rsid w:val="00370DFE"/>
    <w:rsid w:val="00371137"/>
    <w:rsid w:val="003742AD"/>
    <w:rsid w:val="00375A97"/>
    <w:rsid w:val="00375E06"/>
    <w:rsid w:val="00376F2D"/>
    <w:rsid w:val="00377520"/>
    <w:rsid w:val="00377B69"/>
    <w:rsid w:val="003812F2"/>
    <w:rsid w:val="003815D9"/>
    <w:rsid w:val="00381FD7"/>
    <w:rsid w:val="003835DF"/>
    <w:rsid w:val="00384672"/>
    <w:rsid w:val="003851DC"/>
    <w:rsid w:val="003858A3"/>
    <w:rsid w:val="003869F3"/>
    <w:rsid w:val="003879E9"/>
    <w:rsid w:val="00387FAD"/>
    <w:rsid w:val="0039076F"/>
    <w:rsid w:val="0039175C"/>
    <w:rsid w:val="00391A1F"/>
    <w:rsid w:val="00392688"/>
    <w:rsid w:val="00392831"/>
    <w:rsid w:val="00392D72"/>
    <w:rsid w:val="003940AD"/>
    <w:rsid w:val="003954CC"/>
    <w:rsid w:val="00396C53"/>
    <w:rsid w:val="0039769A"/>
    <w:rsid w:val="00397AD6"/>
    <w:rsid w:val="003A1E9B"/>
    <w:rsid w:val="003A22D1"/>
    <w:rsid w:val="003A22ED"/>
    <w:rsid w:val="003A2707"/>
    <w:rsid w:val="003A29D0"/>
    <w:rsid w:val="003A46F8"/>
    <w:rsid w:val="003A4A90"/>
    <w:rsid w:val="003A5F7C"/>
    <w:rsid w:val="003A665E"/>
    <w:rsid w:val="003A6956"/>
    <w:rsid w:val="003B0873"/>
    <w:rsid w:val="003B25B9"/>
    <w:rsid w:val="003B2899"/>
    <w:rsid w:val="003B41FB"/>
    <w:rsid w:val="003B56A2"/>
    <w:rsid w:val="003B64DE"/>
    <w:rsid w:val="003B6B1C"/>
    <w:rsid w:val="003B7E42"/>
    <w:rsid w:val="003C069D"/>
    <w:rsid w:val="003C0D0C"/>
    <w:rsid w:val="003C1173"/>
    <w:rsid w:val="003C2A80"/>
    <w:rsid w:val="003C3262"/>
    <w:rsid w:val="003C3A75"/>
    <w:rsid w:val="003C3D62"/>
    <w:rsid w:val="003C46AE"/>
    <w:rsid w:val="003C52C2"/>
    <w:rsid w:val="003C624C"/>
    <w:rsid w:val="003C771B"/>
    <w:rsid w:val="003D082B"/>
    <w:rsid w:val="003D1253"/>
    <w:rsid w:val="003D1606"/>
    <w:rsid w:val="003D19EB"/>
    <w:rsid w:val="003D2F80"/>
    <w:rsid w:val="003D63A8"/>
    <w:rsid w:val="003D64CB"/>
    <w:rsid w:val="003D75B5"/>
    <w:rsid w:val="003E32FF"/>
    <w:rsid w:val="003E3739"/>
    <w:rsid w:val="003E3A9F"/>
    <w:rsid w:val="003E43B4"/>
    <w:rsid w:val="003E54E5"/>
    <w:rsid w:val="003E54F3"/>
    <w:rsid w:val="003E61DC"/>
    <w:rsid w:val="003E6E9D"/>
    <w:rsid w:val="003F0691"/>
    <w:rsid w:val="003F09FF"/>
    <w:rsid w:val="003F0DDA"/>
    <w:rsid w:val="003F18B5"/>
    <w:rsid w:val="003F48F3"/>
    <w:rsid w:val="003F4A13"/>
    <w:rsid w:val="003F556A"/>
    <w:rsid w:val="003F59C6"/>
    <w:rsid w:val="003F7698"/>
    <w:rsid w:val="004005AD"/>
    <w:rsid w:val="004006DB"/>
    <w:rsid w:val="0040174E"/>
    <w:rsid w:val="00401F23"/>
    <w:rsid w:val="004033CA"/>
    <w:rsid w:val="0040364A"/>
    <w:rsid w:val="004051D6"/>
    <w:rsid w:val="00405D1D"/>
    <w:rsid w:val="004067CE"/>
    <w:rsid w:val="0040699D"/>
    <w:rsid w:val="00407214"/>
    <w:rsid w:val="0040724C"/>
    <w:rsid w:val="00407429"/>
    <w:rsid w:val="004100FF"/>
    <w:rsid w:val="0041036C"/>
    <w:rsid w:val="00412051"/>
    <w:rsid w:val="00413101"/>
    <w:rsid w:val="00413909"/>
    <w:rsid w:val="00413F5C"/>
    <w:rsid w:val="0041505F"/>
    <w:rsid w:val="00415C8D"/>
    <w:rsid w:val="0041687E"/>
    <w:rsid w:val="004172B1"/>
    <w:rsid w:val="004173D9"/>
    <w:rsid w:val="00417BB4"/>
    <w:rsid w:val="00417F99"/>
    <w:rsid w:val="00421D8E"/>
    <w:rsid w:val="00422609"/>
    <w:rsid w:val="004234FA"/>
    <w:rsid w:val="004237CA"/>
    <w:rsid w:val="004248AA"/>
    <w:rsid w:val="00425770"/>
    <w:rsid w:val="004259EB"/>
    <w:rsid w:val="00426584"/>
    <w:rsid w:val="004266BB"/>
    <w:rsid w:val="00426ADF"/>
    <w:rsid w:val="0042796D"/>
    <w:rsid w:val="004314A9"/>
    <w:rsid w:val="004316BB"/>
    <w:rsid w:val="00431933"/>
    <w:rsid w:val="00431D45"/>
    <w:rsid w:val="00432053"/>
    <w:rsid w:val="004321BD"/>
    <w:rsid w:val="00433CBE"/>
    <w:rsid w:val="004347FB"/>
    <w:rsid w:val="00435AB2"/>
    <w:rsid w:val="004371F0"/>
    <w:rsid w:val="00437E2E"/>
    <w:rsid w:val="00441A71"/>
    <w:rsid w:val="00441C3A"/>
    <w:rsid w:val="004424A5"/>
    <w:rsid w:val="00442706"/>
    <w:rsid w:val="00442E94"/>
    <w:rsid w:val="004446AD"/>
    <w:rsid w:val="00444C86"/>
    <w:rsid w:val="00444D5A"/>
    <w:rsid w:val="00444EBF"/>
    <w:rsid w:val="00445A2E"/>
    <w:rsid w:val="004468A5"/>
    <w:rsid w:val="004502E0"/>
    <w:rsid w:val="00450381"/>
    <w:rsid w:val="004505C1"/>
    <w:rsid w:val="00450B13"/>
    <w:rsid w:val="00450B5D"/>
    <w:rsid w:val="00450B9C"/>
    <w:rsid w:val="00451249"/>
    <w:rsid w:val="0045224D"/>
    <w:rsid w:val="00452DD1"/>
    <w:rsid w:val="00453CE3"/>
    <w:rsid w:val="004544D6"/>
    <w:rsid w:val="0045582A"/>
    <w:rsid w:val="00455A6E"/>
    <w:rsid w:val="00455ECF"/>
    <w:rsid w:val="004564F4"/>
    <w:rsid w:val="0045681D"/>
    <w:rsid w:val="00457042"/>
    <w:rsid w:val="00460045"/>
    <w:rsid w:val="00460333"/>
    <w:rsid w:val="00461F5F"/>
    <w:rsid w:val="00463C24"/>
    <w:rsid w:val="004646A5"/>
    <w:rsid w:val="00465284"/>
    <w:rsid w:val="004660EA"/>
    <w:rsid w:val="00466E55"/>
    <w:rsid w:val="00470041"/>
    <w:rsid w:val="0047032F"/>
    <w:rsid w:val="0047059B"/>
    <w:rsid w:val="00470CBE"/>
    <w:rsid w:val="00470F0A"/>
    <w:rsid w:val="00471085"/>
    <w:rsid w:val="00471CDC"/>
    <w:rsid w:val="00472151"/>
    <w:rsid w:val="00472D47"/>
    <w:rsid w:val="004735D6"/>
    <w:rsid w:val="004736EF"/>
    <w:rsid w:val="00474A86"/>
    <w:rsid w:val="00475F1C"/>
    <w:rsid w:val="00475F2C"/>
    <w:rsid w:val="00476877"/>
    <w:rsid w:val="004768E7"/>
    <w:rsid w:val="00476FC4"/>
    <w:rsid w:val="004770A8"/>
    <w:rsid w:val="0047742E"/>
    <w:rsid w:val="00480696"/>
    <w:rsid w:val="00480731"/>
    <w:rsid w:val="00480980"/>
    <w:rsid w:val="00483EE2"/>
    <w:rsid w:val="00484420"/>
    <w:rsid w:val="004845B5"/>
    <w:rsid w:val="004850AE"/>
    <w:rsid w:val="00485952"/>
    <w:rsid w:val="00486015"/>
    <w:rsid w:val="004873D1"/>
    <w:rsid w:val="00487C05"/>
    <w:rsid w:val="00490330"/>
    <w:rsid w:val="0049063A"/>
    <w:rsid w:val="004909BB"/>
    <w:rsid w:val="00491BE2"/>
    <w:rsid w:val="00492CD0"/>
    <w:rsid w:val="00492DD5"/>
    <w:rsid w:val="00493A7B"/>
    <w:rsid w:val="00493E0A"/>
    <w:rsid w:val="00494A2D"/>
    <w:rsid w:val="004970AE"/>
    <w:rsid w:val="0049778C"/>
    <w:rsid w:val="004A0804"/>
    <w:rsid w:val="004A131D"/>
    <w:rsid w:val="004A1468"/>
    <w:rsid w:val="004A20DA"/>
    <w:rsid w:val="004A26CE"/>
    <w:rsid w:val="004A43F1"/>
    <w:rsid w:val="004A44EA"/>
    <w:rsid w:val="004A661C"/>
    <w:rsid w:val="004A69C6"/>
    <w:rsid w:val="004A6A68"/>
    <w:rsid w:val="004A7D44"/>
    <w:rsid w:val="004B048B"/>
    <w:rsid w:val="004B133F"/>
    <w:rsid w:val="004B37FF"/>
    <w:rsid w:val="004B5B8D"/>
    <w:rsid w:val="004B649A"/>
    <w:rsid w:val="004B69CD"/>
    <w:rsid w:val="004C037B"/>
    <w:rsid w:val="004C0CAC"/>
    <w:rsid w:val="004C1078"/>
    <w:rsid w:val="004C26E1"/>
    <w:rsid w:val="004C2B7C"/>
    <w:rsid w:val="004C32B3"/>
    <w:rsid w:val="004C350D"/>
    <w:rsid w:val="004C3E86"/>
    <w:rsid w:val="004C4C4A"/>
    <w:rsid w:val="004C5AEA"/>
    <w:rsid w:val="004C627C"/>
    <w:rsid w:val="004C682B"/>
    <w:rsid w:val="004C7D41"/>
    <w:rsid w:val="004D00DD"/>
    <w:rsid w:val="004D034D"/>
    <w:rsid w:val="004D1858"/>
    <w:rsid w:val="004D1A6A"/>
    <w:rsid w:val="004D1E4E"/>
    <w:rsid w:val="004D3985"/>
    <w:rsid w:val="004D4562"/>
    <w:rsid w:val="004D4AD6"/>
    <w:rsid w:val="004D6521"/>
    <w:rsid w:val="004D79F1"/>
    <w:rsid w:val="004E1CD3"/>
    <w:rsid w:val="004E1ECE"/>
    <w:rsid w:val="004E3A22"/>
    <w:rsid w:val="004E41DE"/>
    <w:rsid w:val="004E6425"/>
    <w:rsid w:val="004E6904"/>
    <w:rsid w:val="004E7F1A"/>
    <w:rsid w:val="004F0931"/>
    <w:rsid w:val="004F2CB0"/>
    <w:rsid w:val="004F3B1D"/>
    <w:rsid w:val="004F54F5"/>
    <w:rsid w:val="004F579C"/>
    <w:rsid w:val="004F61E3"/>
    <w:rsid w:val="004F67FC"/>
    <w:rsid w:val="00500F00"/>
    <w:rsid w:val="0050166A"/>
    <w:rsid w:val="00502594"/>
    <w:rsid w:val="00503107"/>
    <w:rsid w:val="0050520D"/>
    <w:rsid w:val="00506A4F"/>
    <w:rsid w:val="00506A67"/>
    <w:rsid w:val="00510F61"/>
    <w:rsid w:val="0052009F"/>
    <w:rsid w:val="005202E4"/>
    <w:rsid w:val="00520431"/>
    <w:rsid w:val="005206AE"/>
    <w:rsid w:val="005207A3"/>
    <w:rsid w:val="00520B70"/>
    <w:rsid w:val="0052161D"/>
    <w:rsid w:val="00523088"/>
    <w:rsid w:val="00523C7C"/>
    <w:rsid w:val="00523DAB"/>
    <w:rsid w:val="00525D44"/>
    <w:rsid w:val="0052636C"/>
    <w:rsid w:val="005274C2"/>
    <w:rsid w:val="00527734"/>
    <w:rsid w:val="005318B5"/>
    <w:rsid w:val="00532A9A"/>
    <w:rsid w:val="00535159"/>
    <w:rsid w:val="0053666A"/>
    <w:rsid w:val="00536F0E"/>
    <w:rsid w:val="00537CF6"/>
    <w:rsid w:val="00537FE4"/>
    <w:rsid w:val="00540095"/>
    <w:rsid w:val="0054024B"/>
    <w:rsid w:val="005402F3"/>
    <w:rsid w:val="00541809"/>
    <w:rsid w:val="00541945"/>
    <w:rsid w:val="005431CB"/>
    <w:rsid w:val="00543300"/>
    <w:rsid w:val="00544322"/>
    <w:rsid w:val="00544823"/>
    <w:rsid w:val="00545342"/>
    <w:rsid w:val="00545582"/>
    <w:rsid w:val="00545B81"/>
    <w:rsid w:val="0054694A"/>
    <w:rsid w:val="00550B97"/>
    <w:rsid w:val="00552455"/>
    <w:rsid w:val="00552AD0"/>
    <w:rsid w:val="00554ADD"/>
    <w:rsid w:val="00554EF6"/>
    <w:rsid w:val="0055539A"/>
    <w:rsid w:val="00555733"/>
    <w:rsid w:val="00560254"/>
    <w:rsid w:val="00560C7A"/>
    <w:rsid w:val="00561B8A"/>
    <w:rsid w:val="005620A0"/>
    <w:rsid w:val="00562E22"/>
    <w:rsid w:val="00563F4B"/>
    <w:rsid w:val="0056634E"/>
    <w:rsid w:val="005669D2"/>
    <w:rsid w:val="005713BF"/>
    <w:rsid w:val="00572566"/>
    <w:rsid w:val="0057264C"/>
    <w:rsid w:val="00572F65"/>
    <w:rsid w:val="00573007"/>
    <w:rsid w:val="00574314"/>
    <w:rsid w:val="0057531B"/>
    <w:rsid w:val="00575C96"/>
    <w:rsid w:val="0057614A"/>
    <w:rsid w:val="00577A39"/>
    <w:rsid w:val="00577D02"/>
    <w:rsid w:val="00580A3E"/>
    <w:rsid w:val="005812D6"/>
    <w:rsid w:val="005814F5"/>
    <w:rsid w:val="0058177C"/>
    <w:rsid w:val="005851EA"/>
    <w:rsid w:val="005853A1"/>
    <w:rsid w:val="00586C05"/>
    <w:rsid w:val="00586D59"/>
    <w:rsid w:val="0058778E"/>
    <w:rsid w:val="00594119"/>
    <w:rsid w:val="00594E20"/>
    <w:rsid w:val="00596526"/>
    <w:rsid w:val="00596594"/>
    <w:rsid w:val="0059753C"/>
    <w:rsid w:val="005A014A"/>
    <w:rsid w:val="005A4CEC"/>
    <w:rsid w:val="005A7F6A"/>
    <w:rsid w:val="005B084E"/>
    <w:rsid w:val="005B11E2"/>
    <w:rsid w:val="005B11FB"/>
    <w:rsid w:val="005B1723"/>
    <w:rsid w:val="005B19E5"/>
    <w:rsid w:val="005B1C02"/>
    <w:rsid w:val="005B2E08"/>
    <w:rsid w:val="005B3379"/>
    <w:rsid w:val="005B405D"/>
    <w:rsid w:val="005B5A9B"/>
    <w:rsid w:val="005B5FA2"/>
    <w:rsid w:val="005B681A"/>
    <w:rsid w:val="005B7AAE"/>
    <w:rsid w:val="005C05CB"/>
    <w:rsid w:val="005C1587"/>
    <w:rsid w:val="005C1934"/>
    <w:rsid w:val="005C2BAF"/>
    <w:rsid w:val="005C3187"/>
    <w:rsid w:val="005C434E"/>
    <w:rsid w:val="005C4CEE"/>
    <w:rsid w:val="005C5A81"/>
    <w:rsid w:val="005C7060"/>
    <w:rsid w:val="005C7C96"/>
    <w:rsid w:val="005D13BF"/>
    <w:rsid w:val="005D174E"/>
    <w:rsid w:val="005D30BA"/>
    <w:rsid w:val="005D3B5C"/>
    <w:rsid w:val="005D3EB7"/>
    <w:rsid w:val="005D4929"/>
    <w:rsid w:val="005D49D5"/>
    <w:rsid w:val="005D4E86"/>
    <w:rsid w:val="005D587F"/>
    <w:rsid w:val="005D77A8"/>
    <w:rsid w:val="005E0747"/>
    <w:rsid w:val="005E078B"/>
    <w:rsid w:val="005E1150"/>
    <w:rsid w:val="005E212F"/>
    <w:rsid w:val="005E34BB"/>
    <w:rsid w:val="005E3834"/>
    <w:rsid w:val="005E3CDB"/>
    <w:rsid w:val="005E4284"/>
    <w:rsid w:val="005E50EE"/>
    <w:rsid w:val="005E613B"/>
    <w:rsid w:val="005E652B"/>
    <w:rsid w:val="005E6746"/>
    <w:rsid w:val="005F12FA"/>
    <w:rsid w:val="005F1419"/>
    <w:rsid w:val="005F1EAD"/>
    <w:rsid w:val="005F2B52"/>
    <w:rsid w:val="005F4391"/>
    <w:rsid w:val="005F4BD0"/>
    <w:rsid w:val="005F5452"/>
    <w:rsid w:val="005F573D"/>
    <w:rsid w:val="005F5B35"/>
    <w:rsid w:val="005F73AA"/>
    <w:rsid w:val="00600011"/>
    <w:rsid w:val="006009A5"/>
    <w:rsid w:val="00601A7F"/>
    <w:rsid w:val="00601B10"/>
    <w:rsid w:val="00601C34"/>
    <w:rsid w:val="00602FDD"/>
    <w:rsid w:val="006035FB"/>
    <w:rsid w:val="00604096"/>
    <w:rsid w:val="00604FF2"/>
    <w:rsid w:val="00605186"/>
    <w:rsid w:val="00605914"/>
    <w:rsid w:val="00606DDC"/>
    <w:rsid w:val="006111CE"/>
    <w:rsid w:val="00611841"/>
    <w:rsid w:val="00612C15"/>
    <w:rsid w:val="0061396C"/>
    <w:rsid w:val="00613E93"/>
    <w:rsid w:val="00614E0C"/>
    <w:rsid w:val="0061504F"/>
    <w:rsid w:val="00616BFA"/>
    <w:rsid w:val="00617766"/>
    <w:rsid w:val="006213E5"/>
    <w:rsid w:val="006219F0"/>
    <w:rsid w:val="00622742"/>
    <w:rsid w:val="00623735"/>
    <w:rsid w:val="006238E8"/>
    <w:rsid w:val="00624472"/>
    <w:rsid w:val="00624A17"/>
    <w:rsid w:val="00625A50"/>
    <w:rsid w:val="006318BE"/>
    <w:rsid w:val="006327C8"/>
    <w:rsid w:val="0063365E"/>
    <w:rsid w:val="006343DA"/>
    <w:rsid w:val="0063472B"/>
    <w:rsid w:val="00634C9F"/>
    <w:rsid w:val="00634CF5"/>
    <w:rsid w:val="00635979"/>
    <w:rsid w:val="00635B8E"/>
    <w:rsid w:val="00635C83"/>
    <w:rsid w:val="00636345"/>
    <w:rsid w:val="00636DB9"/>
    <w:rsid w:val="00637658"/>
    <w:rsid w:val="0063779A"/>
    <w:rsid w:val="00637B55"/>
    <w:rsid w:val="00637CE4"/>
    <w:rsid w:val="00641625"/>
    <w:rsid w:val="0064237B"/>
    <w:rsid w:val="00643070"/>
    <w:rsid w:val="0064324D"/>
    <w:rsid w:val="006432EC"/>
    <w:rsid w:val="006443C7"/>
    <w:rsid w:val="00644B21"/>
    <w:rsid w:val="0064656C"/>
    <w:rsid w:val="00646735"/>
    <w:rsid w:val="00646880"/>
    <w:rsid w:val="00646A73"/>
    <w:rsid w:val="00646E9B"/>
    <w:rsid w:val="00647C12"/>
    <w:rsid w:val="00650AA1"/>
    <w:rsid w:val="00650CC7"/>
    <w:rsid w:val="00653FB7"/>
    <w:rsid w:val="00654663"/>
    <w:rsid w:val="0065666C"/>
    <w:rsid w:val="00657CF5"/>
    <w:rsid w:val="0066238F"/>
    <w:rsid w:val="00663024"/>
    <w:rsid w:val="00663E11"/>
    <w:rsid w:val="00664083"/>
    <w:rsid w:val="006652EB"/>
    <w:rsid w:val="00665C1F"/>
    <w:rsid w:val="006675B5"/>
    <w:rsid w:val="00667AC4"/>
    <w:rsid w:val="00670268"/>
    <w:rsid w:val="00671227"/>
    <w:rsid w:val="006715F2"/>
    <w:rsid w:val="00672392"/>
    <w:rsid w:val="0067316B"/>
    <w:rsid w:val="00673304"/>
    <w:rsid w:val="0067488D"/>
    <w:rsid w:val="00674F7F"/>
    <w:rsid w:val="00675B24"/>
    <w:rsid w:val="00675B7B"/>
    <w:rsid w:val="00676180"/>
    <w:rsid w:val="006769CD"/>
    <w:rsid w:val="006777C8"/>
    <w:rsid w:val="00682913"/>
    <w:rsid w:val="00682C72"/>
    <w:rsid w:val="00683DC2"/>
    <w:rsid w:val="00683F55"/>
    <w:rsid w:val="00685C5A"/>
    <w:rsid w:val="00686048"/>
    <w:rsid w:val="00686ADF"/>
    <w:rsid w:val="00687D4A"/>
    <w:rsid w:val="00690619"/>
    <w:rsid w:val="00692CC9"/>
    <w:rsid w:val="00693408"/>
    <w:rsid w:val="0069449F"/>
    <w:rsid w:val="00694510"/>
    <w:rsid w:val="006945F4"/>
    <w:rsid w:val="006973D0"/>
    <w:rsid w:val="006A0AAC"/>
    <w:rsid w:val="006A0F72"/>
    <w:rsid w:val="006A188F"/>
    <w:rsid w:val="006A28EA"/>
    <w:rsid w:val="006A28F1"/>
    <w:rsid w:val="006A2F63"/>
    <w:rsid w:val="006A322B"/>
    <w:rsid w:val="006A360A"/>
    <w:rsid w:val="006A3718"/>
    <w:rsid w:val="006A3C8B"/>
    <w:rsid w:val="006A441F"/>
    <w:rsid w:val="006A4985"/>
    <w:rsid w:val="006A6439"/>
    <w:rsid w:val="006B2667"/>
    <w:rsid w:val="006B293B"/>
    <w:rsid w:val="006B2F41"/>
    <w:rsid w:val="006B5D29"/>
    <w:rsid w:val="006B6026"/>
    <w:rsid w:val="006B6588"/>
    <w:rsid w:val="006B6C32"/>
    <w:rsid w:val="006B7011"/>
    <w:rsid w:val="006C078C"/>
    <w:rsid w:val="006C2E4C"/>
    <w:rsid w:val="006C37B7"/>
    <w:rsid w:val="006C50AC"/>
    <w:rsid w:val="006C512A"/>
    <w:rsid w:val="006C51CB"/>
    <w:rsid w:val="006C5552"/>
    <w:rsid w:val="006C56DF"/>
    <w:rsid w:val="006C7F7B"/>
    <w:rsid w:val="006D0171"/>
    <w:rsid w:val="006D01CB"/>
    <w:rsid w:val="006D03ED"/>
    <w:rsid w:val="006D07A8"/>
    <w:rsid w:val="006D1B1E"/>
    <w:rsid w:val="006D1F35"/>
    <w:rsid w:val="006D239B"/>
    <w:rsid w:val="006D5485"/>
    <w:rsid w:val="006D5FC5"/>
    <w:rsid w:val="006D7CA4"/>
    <w:rsid w:val="006D7CAA"/>
    <w:rsid w:val="006E0915"/>
    <w:rsid w:val="006E27D3"/>
    <w:rsid w:val="006E2A8E"/>
    <w:rsid w:val="006E3ECD"/>
    <w:rsid w:val="006E4222"/>
    <w:rsid w:val="006E51B7"/>
    <w:rsid w:val="006E6386"/>
    <w:rsid w:val="006E65D8"/>
    <w:rsid w:val="006E77C0"/>
    <w:rsid w:val="006F074C"/>
    <w:rsid w:val="006F16E7"/>
    <w:rsid w:val="006F2B61"/>
    <w:rsid w:val="006F3353"/>
    <w:rsid w:val="006F3C1C"/>
    <w:rsid w:val="006F48AF"/>
    <w:rsid w:val="006F579F"/>
    <w:rsid w:val="006F5D39"/>
    <w:rsid w:val="006F6AD2"/>
    <w:rsid w:val="006F6DDE"/>
    <w:rsid w:val="006F7456"/>
    <w:rsid w:val="006F7CCE"/>
    <w:rsid w:val="00702510"/>
    <w:rsid w:val="0070395C"/>
    <w:rsid w:val="0070419E"/>
    <w:rsid w:val="00706B0A"/>
    <w:rsid w:val="0071078C"/>
    <w:rsid w:val="00710AFB"/>
    <w:rsid w:val="00711878"/>
    <w:rsid w:val="00712400"/>
    <w:rsid w:val="00712950"/>
    <w:rsid w:val="00713923"/>
    <w:rsid w:val="0071571C"/>
    <w:rsid w:val="00715B3E"/>
    <w:rsid w:val="00715D41"/>
    <w:rsid w:val="007163BF"/>
    <w:rsid w:val="00722ABD"/>
    <w:rsid w:val="00722E01"/>
    <w:rsid w:val="0072317B"/>
    <w:rsid w:val="00723A7F"/>
    <w:rsid w:val="00723DCC"/>
    <w:rsid w:val="00724571"/>
    <w:rsid w:val="00726A50"/>
    <w:rsid w:val="00726F23"/>
    <w:rsid w:val="00727976"/>
    <w:rsid w:val="00727EB6"/>
    <w:rsid w:val="00730356"/>
    <w:rsid w:val="00730714"/>
    <w:rsid w:val="00731249"/>
    <w:rsid w:val="00731F03"/>
    <w:rsid w:val="0073214A"/>
    <w:rsid w:val="007321DA"/>
    <w:rsid w:val="0073401D"/>
    <w:rsid w:val="0073410C"/>
    <w:rsid w:val="00734B52"/>
    <w:rsid w:val="00735911"/>
    <w:rsid w:val="00735F7D"/>
    <w:rsid w:val="007361D8"/>
    <w:rsid w:val="00736BD1"/>
    <w:rsid w:val="00736DC0"/>
    <w:rsid w:val="007378D6"/>
    <w:rsid w:val="00737A99"/>
    <w:rsid w:val="007400D1"/>
    <w:rsid w:val="007409F0"/>
    <w:rsid w:val="00740B9B"/>
    <w:rsid w:val="00741563"/>
    <w:rsid w:val="007422B4"/>
    <w:rsid w:val="00742853"/>
    <w:rsid w:val="007441E2"/>
    <w:rsid w:val="0074463D"/>
    <w:rsid w:val="00745675"/>
    <w:rsid w:val="007456A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6044D"/>
    <w:rsid w:val="00760AFD"/>
    <w:rsid w:val="00761695"/>
    <w:rsid w:val="007617C6"/>
    <w:rsid w:val="00761BBB"/>
    <w:rsid w:val="00763146"/>
    <w:rsid w:val="00763E4C"/>
    <w:rsid w:val="0076641A"/>
    <w:rsid w:val="00766D2E"/>
    <w:rsid w:val="0076797F"/>
    <w:rsid w:val="00770015"/>
    <w:rsid w:val="00771A31"/>
    <w:rsid w:val="0077215D"/>
    <w:rsid w:val="00773840"/>
    <w:rsid w:val="0077450D"/>
    <w:rsid w:val="007745B1"/>
    <w:rsid w:val="00774CB3"/>
    <w:rsid w:val="0077544D"/>
    <w:rsid w:val="00775630"/>
    <w:rsid w:val="007762D5"/>
    <w:rsid w:val="0077793D"/>
    <w:rsid w:val="00777F37"/>
    <w:rsid w:val="00780976"/>
    <w:rsid w:val="0078131A"/>
    <w:rsid w:val="00782E37"/>
    <w:rsid w:val="00784646"/>
    <w:rsid w:val="00784BA2"/>
    <w:rsid w:val="00785285"/>
    <w:rsid w:val="007865F1"/>
    <w:rsid w:val="00786E54"/>
    <w:rsid w:val="00787F5F"/>
    <w:rsid w:val="00790D33"/>
    <w:rsid w:val="0079114E"/>
    <w:rsid w:val="007916E0"/>
    <w:rsid w:val="007924FA"/>
    <w:rsid w:val="00792615"/>
    <w:rsid w:val="00792EF8"/>
    <w:rsid w:val="0079314C"/>
    <w:rsid w:val="00794C93"/>
    <w:rsid w:val="00796434"/>
    <w:rsid w:val="007A06D3"/>
    <w:rsid w:val="007A0AA6"/>
    <w:rsid w:val="007A0D87"/>
    <w:rsid w:val="007A174B"/>
    <w:rsid w:val="007A1F9B"/>
    <w:rsid w:val="007A2D36"/>
    <w:rsid w:val="007A35F8"/>
    <w:rsid w:val="007A4AB9"/>
    <w:rsid w:val="007A594E"/>
    <w:rsid w:val="007A5E86"/>
    <w:rsid w:val="007B182F"/>
    <w:rsid w:val="007B1BA4"/>
    <w:rsid w:val="007B1EF1"/>
    <w:rsid w:val="007B39DB"/>
    <w:rsid w:val="007B5667"/>
    <w:rsid w:val="007B5CC6"/>
    <w:rsid w:val="007B7514"/>
    <w:rsid w:val="007B7B7A"/>
    <w:rsid w:val="007C16EA"/>
    <w:rsid w:val="007C2ECE"/>
    <w:rsid w:val="007C3017"/>
    <w:rsid w:val="007C3173"/>
    <w:rsid w:val="007C347F"/>
    <w:rsid w:val="007C35BA"/>
    <w:rsid w:val="007C3E1B"/>
    <w:rsid w:val="007C52C7"/>
    <w:rsid w:val="007C59D6"/>
    <w:rsid w:val="007C6616"/>
    <w:rsid w:val="007C7FE1"/>
    <w:rsid w:val="007D0954"/>
    <w:rsid w:val="007D0B49"/>
    <w:rsid w:val="007D1379"/>
    <w:rsid w:val="007D2122"/>
    <w:rsid w:val="007D5134"/>
    <w:rsid w:val="007D55D0"/>
    <w:rsid w:val="007D62B9"/>
    <w:rsid w:val="007D7B78"/>
    <w:rsid w:val="007E0A0D"/>
    <w:rsid w:val="007E0ECD"/>
    <w:rsid w:val="007E0FB4"/>
    <w:rsid w:val="007E15C9"/>
    <w:rsid w:val="007E1EE3"/>
    <w:rsid w:val="007E27A6"/>
    <w:rsid w:val="007E3B4B"/>
    <w:rsid w:val="007E42F0"/>
    <w:rsid w:val="007E4B8B"/>
    <w:rsid w:val="007E516D"/>
    <w:rsid w:val="007E5199"/>
    <w:rsid w:val="007E639A"/>
    <w:rsid w:val="007E689B"/>
    <w:rsid w:val="007E7276"/>
    <w:rsid w:val="007E7528"/>
    <w:rsid w:val="007E762E"/>
    <w:rsid w:val="007F0661"/>
    <w:rsid w:val="007F1620"/>
    <w:rsid w:val="007F3377"/>
    <w:rsid w:val="007F36B2"/>
    <w:rsid w:val="007F4000"/>
    <w:rsid w:val="007F42A8"/>
    <w:rsid w:val="007F42E0"/>
    <w:rsid w:val="007F638D"/>
    <w:rsid w:val="007F63BE"/>
    <w:rsid w:val="007F6B78"/>
    <w:rsid w:val="007F6EE4"/>
    <w:rsid w:val="0080044D"/>
    <w:rsid w:val="00801282"/>
    <w:rsid w:val="00801C7D"/>
    <w:rsid w:val="00803DA6"/>
    <w:rsid w:val="0080519A"/>
    <w:rsid w:val="00805285"/>
    <w:rsid w:val="008054C5"/>
    <w:rsid w:val="00806F0F"/>
    <w:rsid w:val="00807157"/>
    <w:rsid w:val="00807B28"/>
    <w:rsid w:val="00807F70"/>
    <w:rsid w:val="0081026F"/>
    <w:rsid w:val="00811407"/>
    <w:rsid w:val="00811AEC"/>
    <w:rsid w:val="00811B75"/>
    <w:rsid w:val="0081270B"/>
    <w:rsid w:val="00813624"/>
    <w:rsid w:val="00813BD2"/>
    <w:rsid w:val="00814122"/>
    <w:rsid w:val="00814FF4"/>
    <w:rsid w:val="00815C4B"/>
    <w:rsid w:val="008167E8"/>
    <w:rsid w:val="00816CB1"/>
    <w:rsid w:val="00816EA1"/>
    <w:rsid w:val="008211DC"/>
    <w:rsid w:val="00821CE9"/>
    <w:rsid w:val="00822EED"/>
    <w:rsid w:val="00823C1F"/>
    <w:rsid w:val="0082465C"/>
    <w:rsid w:val="00824818"/>
    <w:rsid w:val="008260FC"/>
    <w:rsid w:val="00831224"/>
    <w:rsid w:val="008312D6"/>
    <w:rsid w:val="00831870"/>
    <w:rsid w:val="008338D0"/>
    <w:rsid w:val="008339B0"/>
    <w:rsid w:val="00834181"/>
    <w:rsid w:val="00834314"/>
    <w:rsid w:val="0083562C"/>
    <w:rsid w:val="0083589F"/>
    <w:rsid w:val="00836F56"/>
    <w:rsid w:val="00842943"/>
    <w:rsid w:val="00843610"/>
    <w:rsid w:val="008455E7"/>
    <w:rsid w:val="00845BF3"/>
    <w:rsid w:val="0084658F"/>
    <w:rsid w:val="00847301"/>
    <w:rsid w:val="0084783D"/>
    <w:rsid w:val="00850D66"/>
    <w:rsid w:val="00851CD0"/>
    <w:rsid w:val="00852119"/>
    <w:rsid w:val="00852B0E"/>
    <w:rsid w:val="00852C21"/>
    <w:rsid w:val="00855889"/>
    <w:rsid w:val="00855D11"/>
    <w:rsid w:val="00855D9E"/>
    <w:rsid w:val="00855F84"/>
    <w:rsid w:val="008562BA"/>
    <w:rsid w:val="00856528"/>
    <w:rsid w:val="008574B7"/>
    <w:rsid w:val="00857563"/>
    <w:rsid w:val="00857702"/>
    <w:rsid w:val="0086052B"/>
    <w:rsid w:val="00861FF1"/>
    <w:rsid w:val="008620F4"/>
    <w:rsid w:val="008623BE"/>
    <w:rsid w:val="008652A1"/>
    <w:rsid w:val="00865986"/>
    <w:rsid w:val="00870408"/>
    <w:rsid w:val="008708E6"/>
    <w:rsid w:val="00870E39"/>
    <w:rsid w:val="00871CDE"/>
    <w:rsid w:val="00873AEB"/>
    <w:rsid w:val="0087424E"/>
    <w:rsid w:val="008754FC"/>
    <w:rsid w:val="00876CC3"/>
    <w:rsid w:val="00880AC9"/>
    <w:rsid w:val="00880B76"/>
    <w:rsid w:val="00881A08"/>
    <w:rsid w:val="00881C97"/>
    <w:rsid w:val="00886795"/>
    <w:rsid w:val="00887731"/>
    <w:rsid w:val="0089035B"/>
    <w:rsid w:val="00890680"/>
    <w:rsid w:val="008909F0"/>
    <w:rsid w:val="00891721"/>
    <w:rsid w:val="00892725"/>
    <w:rsid w:val="008932B0"/>
    <w:rsid w:val="00893ACF"/>
    <w:rsid w:val="00893B68"/>
    <w:rsid w:val="008A04AA"/>
    <w:rsid w:val="008A07A8"/>
    <w:rsid w:val="008A13D8"/>
    <w:rsid w:val="008A15A6"/>
    <w:rsid w:val="008A1615"/>
    <w:rsid w:val="008A19C6"/>
    <w:rsid w:val="008A3005"/>
    <w:rsid w:val="008A3555"/>
    <w:rsid w:val="008A45D4"/>
    <w:rsid w:val="008A49B3"/>
    <w:rsid w:val="008A4A22"/>
    <w:rsid w:val="008A5709"/>
    <w:rsid w:val="008A72FB"/>
    <w:rsid w:val="008B0447"/>
    <w:rsid w:val="008B0AF1"/>
    <w:rsid w:val="008B213F"/>
    <w:rsid w:val="008B2B6E"/>
    <w:rsid w:val="008B2E8C"/>
    <w:rsid w:val="008B3B33"/>
    <w:rsid w:val="008B5C04"/>
    <w:rsid w:val="008B6352"/>
    <w:rsid w:val="008B6572"/>
    <w:rsid w:val="008B6A72"/>
    <w:rsid w:val="008C0D31"/>
    <w:rsid w:val="008C1714"/>
    <w:rsid w:val="008C1A6F"/>
    <w:rsid w:val="008C1BCB"/>
    <w:rsid w:val="008C1D9C"/>
    <w:rsid w:val="008C446F"/>
    <w:rsid w:val="008C4F4E"/>
    <w:rsid w:val="008C6437"/>
    <w:rsid w:val="008C6784"/>
    <w:rsid w:val="008D1AA0"/>
    <w:rsid w:val="008D22CF"/>
    <w:rsid w:val="008D2DDA"/>
    <w:rsid w:val="008D388A"/>
    <w:rsid w:val="008D4AC5"/>
    <w:rsid w:val="008D6C74"/>
    <w:rsid w:val="008E11E9"/>
    <w:rsid w:val="008E1C95"/>
    <w:rsid w:val="008E2476"/>
    <w:rsid w:val="008E393C"/>
    <w:rsid w:val="008E3CEA"/>
    <w:rsid w:val="008E7F6D"/>
    <w:rsid w:val="008F0BCE"/>
    <w:rsid w:val="008F3C5A"/>
    <w:rsid w:val="008F5851"/>
    <w:rsid w:val="008F6ED9"/>
    <w:rsid w:val="00900FE3"/>
    <w:rsid w:val="00902599"/>
    <w:rsid w:val="00904E7C"/>
    <w:rsid w:val="009050C6"/>
    <w:rsid w:val="009061CD"/>
    <w:rsid w:val="0091187B"/>
    <w:rsid w:val="009131BD"/>
    <w:rsid w:val="00913EC1"/>
    <w:rsid w:val="00914348"/>
    <w:rsid w:val="009172C0"/>
    <w:rsid w:val="00920E0E"/>
    <w:rsid w:val="00920EF5"/>
    <w:rsid w:val="0092191A"/>
    <w:rsid w:val="00922C78"/>
    <w:rsid w:val="0092326F"/>
    <w:rsid w:val="00923FD6"/>
    <w:rsid w:val="0092473A"/>
    <w:rsid w:val="00924B15"/>
    <w:rsid w:val="00924D6D"/>
    <w:rsid w:val="0092509D"/>
    <w:rsid w:val="0092531C"/>
    <w:rsid w:val="00925C6C"/>
    <w:rsid w:val="00926221"/>
    <w:rsid w:val="00926282"/>
    <w:rsid w:val="00927535"/>
    <w:rsid w:val="00927FDB"/>
    <w:rsid w:val="00930D3C"/>
    <w:rsid w:val="009326E6"/>
    <w:rsid w:val="00933021"/>
    <w:rsid w:val="00934BD5"/>
    <w:rsid w:val="00935233"/>
    <w:rsid w:val="00935AF0"/>
    <w:rsid w:val="00936490"/>
    <w:rsid w:val="00936933"/>
    <w:rsid w:val="00936B97"/>
    <w:rsid w:val="00936E5E"/>
    <w:rsid w:val="0093756A"/>
    <w:rsid w:val="00937DA6"/>
    <w:rsid w:val="00937DE8"/>
    <w:rsid w:val="009402BE"/>
    <w:rsid w:val="00941271"/>
    <w:rsid w:val="00941354"/>
    <w:rsid w:val="009416B5"/>
    <w:rsid w:val="00941EBE"/>
    <w:rsid w:val="009439E2"/>
    <w:rsid w:val="009448B0"/>
    <w:rsid w:val="00944C64"/>
    <w:rsid w:val="0094529E"/>
    <w:rsid w:val="009456C6"/>
    <w:rsid w:val="00946D87"/>
    <w:rsid w:val="00946EF7"/>
    <w:rsid w:val="00947509"/>
    <w:rsid w:val="009527B5"/>
    <w:rsid w:val="00952FFD"/>
    <w:rsid w:val="00953E06"/>
    <w:rsid w:val="0095557D"/>
    <w:rsid w:val="00955E32"/>
    <w:rsid w:val="00956714"/>
    <w:rsid w:val="00956E2C"/>
    <w:rsid w:val="00957FB6"/>
    <w:rsid w:val="00961977"/>
    <w:rsid w:val="009630FB"/>
    <w:rsid w:val="009637A6"/>
    <w:rsid w:val="00965135"/>
    <w:rsid w:val="009654DB"/>
    <w:rsid w:val="00965647"/>
    <w:rsid w:val="00965CBA"/>
    <w:rsid w:val="00965CBF"/>
    <w:rsid w:val="00966075"/>
    <w:rsid w:val="009668EB"/>
    <w:rsid w:val="00967260"/>
    <w:rsid w:val="009712FA"/>
    <w:rsid w:val="0097181E"/>
    <w:rsid w:val="00971D6D"/>
    <w:rsid w:val="00971FA0"/>
    <w:rsid w:val="00972048"/>
    <w:rsid w:val="00972B68"/>
    <w:rsid w:val="00974A56"/>
    <w:rsid w:val="00974D12"/>
    <w:rsid w:val="00975601"/>
    <w:rsid w:val="009756D4"/>
    <w:rsid w:val="00977E53"/>
    <w:rsid w:val="00980274"/>
    <w:rsid w:val="009808A9"/>
    <w:rsid w:val="00980E83"/>
    <w:rsid w:val="00982383"/>
    <w:rsid w:val="0098394B"/>
    <w:rsid w:val="00985650"/>
    <w:rsid w:val="00985932"/>
    <w:rsid w:val="00986A98"/>
    <w:rsid w:val="00986D89"/>
    <w:rsid w:val="00986F85"/>
    <w:rsid w:val="0098793F"/>
    <w:rsid w:val="00990B3C"/>
    <w:rsid w:val="009928F9"/>
    <w:rsid w:val="0099365B"/>
    <w:rsid w:val="00993A84"/>
    <w:rsid w:val="00994063"/>
    <w:rsid w:val="00994189"/>
    <w:rsid w:val="00994E73"/>
    <w:rsid w:val="00996C2E"/>
    <w:rsid w:val="00997A65"/>
    <w:rsid w:val="009A19B4"/>
    <w:rsid w:val="009A248F"/>
    <w:rsid w:val="009A3528"/>
    <w:rsid w:val="009A3719"/>
    <w:rsid w:val="009A6309"/>
    <w:rsid w:val="009A6582"/>
    <w:rsid w:val="009A76BF"/>
    <w:rsid w:val="009A7C2E"/>
    <w:rsid w:val="009B1C9A"/>
    <w:rsid w:val="009B28DC"/>
    <w:rsid w:val="009B32CF"/>
    <w:rsid w:val="009B41D3"/>
    <w:rsid w:val="009B553E"/>
    <w:rsid w:val="009B55B5"/>
    <w:rsid w:val="009B5CCC"/>
    <w:rsid w:val="009B64B8"/>
    <w:rsid w:val="009B64F3"/>
    <w:rsid w:val="009B685A"/>
    <w:rsid w:val="009C076C"/>
    <w:rsid w:val="009C2D5C"/>
    <w:rsid w:val="009C31D8"/>
    <w:rsid w:val="009C38C5"/>
    <w:rsid w:val="009C520E"/>
    <w:rsid w:val="009C58F5"/>
    <w:rsid w:val="009C604A"/>
    <w:rsid w:val="009C66E1"/>
    <w:rsid w:val="009C6980"/>
    <w:rsid w:val="009C6A29"/>
    <w:rsid w:val="009C7A6E"/>
    <w:rsid w:val="009D0A31"/>
    <w:rsid w:val="009D0A78"/>
    <w:rsid w:val="009D0CF7"/>
    <w:rsid w:val="009D0E85"/>
    <w:rsid w:val="009D10AF"/>
    <w:rsid w:val="009D1FBA"/>
    <w:rsid w:val="009D31FD"/>
    <w:rsid w:val="009D39DF"/>
    <w:rsid w:val="009D5262"/>
    <w:rsid w:val="009D75F1"/>
    <w:rsid w:val="009D7E6B"/>
    <w:rsid w:val="009E0902"/>
    <w:rsid w:val="009E1EDF"/>
    <w:rsid w:val="009E3071"/>
    <w:rsid w:val="009E366A"/>
    <w:rsid w:val="009E385C"/>
    <w:rsid w:val="009E4C04"/>
    <w:rsid w:val="009E5335"/>
    <w:rsid w:val="009E5B43"/>
    <w:rsid w:val="009E6511"/>
    <w:rsid w:val="009E6873"/>
    <w:rsid w:val="009E6FBE"/>
    <w:rsid w:val="009E77F5"/>
    <w:rsid w:val="009F2224"/>
    <w:rsid w:val="009F3196"/>
    <w:rsid w:val="009F4264"/>
    <w:rsid w:val="009F4681"/>
    <w:rsid w:val="009F6311"/>
    <w:rsid w:val="009F6DB2"/>
    <w:rsid w:val="009F6E4A"/>
    <w:rsid w:val="009F6FAF"/>
    <w:rsid w:val="009F7B68"/>
    <w:rsid w:val="009F7F1A"/>
    <w:rsid w:val="00A0128A"/>
    <w:rsid w:val="00A01D13"/>
    <w:rsid w:val="00A0219E"/>
    <w:rsid w:val="00A03360"/>
    <w:rsid w:val="00A03C37"/>
    <w:rsid w:val="00A04662"/>
    <w:rsid w:val="00A04E66"/>
    <w:rsid w:val="00A057E6"/>
    <w:rsid w:val="00A05980"/>
    <w:rsid w:val="00A05C71"/>
    <w:rsid w:val="00A071B1"/>
    <w:rsid w:val="00A071C7"/>
    <w:rsid w:val="00A07274"/>
    <w:rsid w:val="00A0790F"/>
    <w:rsid w:val="00A104F7"/>
    <w:rsid w:val="00A1099C"/>
    <w:rsid w:val="00A121B3"/>
    <w:rsid w:val="00A123A2"/>
    <w:rsid w:val="00A12D8D"/>
    <w:rsid w:val="00A13CAD"/>
    <w:rsid w:val="00A1563E"/>
    <w:rsid w:val="00A16331"/>
    <w:rsid w:val="00A17B97"/>
    <w:rsid w:val="00A20B4A"/>
    <w:rsid w:val="00A2103C"/>
    <w:rsid w:val="00A2171B"/>
    <w:rsid w:val="00A2352F"/>
    <w:rsid w:val="00A24984"/>
    <w:rsid w:val="00A24CF2"/>
    <w:rsid w:val="00A25B00"/>
    <w:rsid w:val="00A2777E"/>
    <w:rsid w:val="00A30536"/>
    <w:rsid w:val="00A30D33"/>
    <w:rsid w:val="00A31E79"/>
    <w:rsid w:val="00A326FB"/>
    <w:rsid w:val="00A32F11"/>
    <w:rsid w:val="00A334D5"/>
    <w:rsid w:val="00A33AD0"/>
    <w:rsid w:val="00A34139"/>
    <w:rsid w:val="00A3469A"/>
    <w:rsid w:val="00A35389"/>
    <w:rsid w:val="00A37343"/>
    <w:rsid w:val="00A401A4"/>
    <w:rsid w:val="00A41267"/>
    <w:rsid w:val="00A41A18"/>
    <w:rsid w:val="00A420DE"/>
    <w:rsid w:val="00A463CA"/>
    <w:rsid w:val="00A46880"/>
    <w:rsid w:val="00A46917"/>
    <w:rsid w:val="00A47093"/>
    <w:rsid w:val="00A4799F"/>
    <w:rsid w:val="00A5069B"/>
    <w:rsid w:val="00A50F70"/>
    <w:rsid w:val="00A5173F"/>
    <w:rsid w:val="00A52F94"/>
    <w:rsid w:val="00A537C0"/>
    <w:rsid w:val="00A53A11"/>
    <w:rsid w:val="00A54B77"/>
    <w:rsid w:val="00A568CF"/>
    <w:rsid w:val="00A60820"/>
    <w:rsid w:val="00A62FDA"/>
    <w:rsid w:val="00A630A1"/>
    <w:rsid w:val="00A63645"/>
    <w:rsid w:val="00A63C0F"/>
    <w:rsid w:val="00A656C2"/>
    <w:rsid w:val="00A66E5C"/>
    <w:rsid w:val="00A702AA"/>
    <w:rsid w:val="00A70DDE"/>
    <w:rsid w:val="00A73F14"/>
    <w:rsid w:val="00A747A9"/>
    <w:rsid w:val="00A7689D"/>
    <w:rsid w:val="00A777A2"/>
    <w:rsid w:val="00A8145A"/>
    <w:rsid w:val="00A83439"/>
    <w:rsid w:val="00A83954"/>
    <w:rsid w:val="00A84359"/>
    <w:rsid w:val="00A8616D"/>
    <w:rsid w:val="00A8651A"/>
    <w:rsid w:val="00A86B3A"/>
    <w:rsid w:val="00A87D2B"/>
    <w:rsid w:val="00A9039C"/>
    <w:rsid w:val="00A91E78"/>
    <w:rsid w:val="00A923EF"/>
    <w:rsid w:val="00A92CFC"/>
    <w:rsid w:val="00A9303E"/>
    <w:rsid w:val="00A941AA"/>
    <w:rsid w:val="00A9434F"/>
    <w:rsid w:val="00A97764"/>
    <w:rsid w:val="00AA15EF"/>
    <w:rsid w:val="00AA1860"/>
    <w:rsid w:val="00AA1E67"/>
    <w:rsid w:val="00AA28BA"/>
    <w:rsid w:val="00AA37FD"/>
    <w:rsid w:val="00AA3C93"/>
    <w:rsid w:val="00AA3D67"/>
    <w:rsid w:val="00AA4303"/>
    <w:rsid w:val="00AA44BB"/>
    <w:rsid w:val="00AA45BE"/>
    <w:rsid w:val="00AA50CD"/>
    <w:rsid w:val="00AA67AE"/>
    <w:rsid w:val="00AA741F"/>
    <w:rsid w:val="00AA78CC"/>
    <w:rsid w:val="00AB18EB"/>
    <w:rsid w:val="00AB23B0"/>
    <w:rsid w:val="00AB401E"/>
    <w:rsid w:val="00AB43E6"/>
    <w:rsid w:val="00AB536B"/>
    <w:rsid w:val="00AB5727"/>
    <w:rsid w:val="00AB6132"/>
    <w:rsid w:val="00AB6F7F"/>
    <w:rsid w:val="00AB71C8"/>
    <w:rsid w:val="00AC14A8"/>
    <w:rsid w:val="00AC1F57"/>
    <w:rsid w:val="00AC2B9C"/>
    <w:rsid w:val="00AC30BF"/>
    <w:rsid w:val="00AC3D17"/>
    <w:rsid w:val="00AC3EBE"/>
    <w:rsid w:val="00AC4F7F"/>
    <w:rsid w:val="00AC553B"/>
    <w:rsid w:val="00AC6E26"/>
    <w:rsid w:val="00AC750F"/>
    <w:rsid w:val="00AC7855"/>
    <w:rsid w:val="00AC7FD1"/>
    <w:rsid w:val="00AD0AA9"/>
    <w:rsid w:val="00AD1D29"/>
    <w:rsid w:val="00AD23ED"/>
    <w:rsid w:val="00AD2B6E"/>
    <w:rsid w:val="00AD2BB9"/>
    <w:rsid w:val="00AD2D6F"/>
    <w:rsid w:val="00AD3A0A"/>
    <w:rsid w:val="00AD4933"/>
    <w:rsid w:val="00AD5FE9"/>
    <w:rsid w:val="00AD62B9"/>
    <w:rsid w:val="00AD6D66"/>
    <w:rsid w:val="00AD7295"/>
    <w:rsid w:val="00AD796B"/>
    <w:rsid w:val="00AD7993"/>
    <w:rsid w:val="00AE0231"/>
    <w:rsid w:val="00AE262D"/>
    <w:rsid w:val="00AE27F5"/>
    <w:rsid w:val="00AE2A53"/>
    <w:rsid w:val="00AE2F84"/>
    <w:rsid w:val="00AE3322"/>
    <w:rsid w:val="00AE3594"/>
    <w:rsid w:val="00AE75DF"/>
    <w:rsid w:val="00AF02E0"/>
    <w:rsid w:val="00AF0F63"/>
    <w:rsid w:val="00AF1B16"/>
    <w:rsid w:val="00AF4BB4"/>
    <w:rsid w:val="00AF54E2"/>
    <w:rsid w:val="00AF5B9B"/>
    <w:rsid w:val="00B001E3"/>
    <w:rsid w:val="00B007FD"/>
    <w:rsid w:val="00B0154A"/>
    <w:rsid w:val="00B01F6E"/>
    <w:rsid w:val="00B035E8"/>
    <w:rsid w:val="00B03ADB"/>
    <w:rsid w:val="00B07BEA"/>
    <w:rsid w:val="00B105EF"/>
    <w:rsid w:val="00B10B17"/>
    <w:rsid w:val="00B126E0"/>
    <w:rsid w:val="00B138CD"/>
    <w:rsid w:val="00B13DD5"/>
    <w:rsid w:val="00B1447C"/>
    <w:rsid w:val="00B146AB"/>
    <w:rsid w:val="00B1494B"/>
    <w:rsid w:val="00B152AF"/>
    <w:rsid w:val="00B1710D"/>
    <w:rsid w:val="00B1734A"/>
    <w:rsid w:val="00B17A0E"/>
    <w:rsid w:val="00B17C6A"/>
    <w:rsid w:val="00B20E1F"/>
    <w:rsid w:val="00B210BA"/>
    <w:rsid w:val="00B21815"/>
    <w:rsid w:val="00B224F6"/>
    <w:rsid w:val="00B226C5"/>
    <w:rsid w:val="00B26655"/>
    <w:rsid w:val="00B279EF"/>
    <w:rsid w:val="00B32129"/>
    <w:rsid w:val="00B32BF0"/>
    <w:rsid w:val="00B33930"/>
    <w:rsid w:val="00B35991"/>
    <w:rsid w:val="00B3639F"/>
    <w:rsid w:val="00B37C65"/>
    <w:rsid w:val="00B37E5C"/>
    <w:rsid w:val="00B404DE"/>
    <w:rsid w:val="00B4086B"/>
    <w:rsid w:val="00B41922"/>
    <w:rsid w:val="00B4277A"/>
    <w:rsid w:val="00B42BCC"/>
    <w:rsid w:val="00B4513B"/>
    <w:rsid w:val="00B45345"/>
    <w:rsid w:val="00B46D1B"/>
    <w:rsid w:val="00B506D3"/>
    <w:rsid w:val="00B50A11"/>
    <w:rsid w:val="00B52171"/>
    <w:rsid w:val="00B52595"/>
    <w:rsid w:val="00B529F1"/>
    <w:rsid w:val="00B52B5A"/>
    <w:rsid w:val="00B53D57"/>
    <w:rsid w:val="00B53D5A"/>
    <w:rsid w:val="00B55327"/>
    <w:rsid w:val="00B5571F"/>
    <w:rsid w:val="00B61F7F"/>
    <w:rsid w:val="00B62770"/>
    <w:rsid w:val="00B62F7E"/>
    <w:rsid w:val="00B633C3"/>
    <w:rsid w:val="00B634CD"/>
    <w:rsid w:val="00B63E88"/>
    <w:rsid w:val="00B6499E"/>
    <w:rsid w:val="00B64C88"/>
    <w:rsid w:val="00B663EB"/>
    <w:rsid w:val="00B66B21"/>
    <w:rsid w:val="00B67236"/>
    <w:rsid w:val="00B676FE"/>
    <w:rsid w:val="00B71313"/>
    <w:rsid w:val="00B74516"/>
    <w:rsid w:val="00B74C81"/>
    <w:rsid w:val="00B74DDA"/>
    <w:rsid w:val="00B74E94"/>
    <w:rsid w:val="00B75A8E"/>
    <w:rsid w:val="00B75E1D"/>
    <w:rsid w:val="00B76198"/>
    <w:rsid w:val="00B762F0"/>
    <w:rsid w:val="00B766C3"/>
    <w:rsid w:val="00B766F3"/>
    <w:rsid w:val="00B771E4"/>
    <w:rsid w:val="00B77312"/>
    <w:rsid w:val="00B77C0A"/>
    <w:rsid w:val="00B81339"/>
    <w:rsid w:val="00B829E5"/>
    <w:rsid w:val="00B83F70"/>
    <w:rsid w:val="00B84907"/>
    <w:rsid w:val="00B8531B"/>
    <w:rsid w:val="00B85AC8"/>
    <w:rsid w:val="00B85DB5"/>
    <w:rsid w:val="00B865F1"/>
    <w:rsid w:val="00B87FE1"/>
    <w:rsid w:val="00B90932"/>
    <w:rsid w:val="00B90992"/>
    <w:rsid w:val="00B91943"/>
    <w:rsid w:val="00B923B5"/>
    <w:rsid w:val="00B93593"/>
    <w:rsid w:val="00B935A2"/>
    <w:rsid w:val="00B939D2"/>
    <w:rsid w:val="00B93B1F"/>
    <w:rsid w:val="00B948D7"/>
    <w:rsid w:val="00B953ED"/>
    <w:rsid w:val="00B969E5"/>
    <w:rsid w:val="00B972F2"/>
    <w:rsid w:val="00B97C0D"/>
    <w:rsid w:val="00B97EED"/>
    <w:rsid w:val="00B97F0A"/>
    <w:rsid w:val="00BA0BC0"/>
    <w:rsid w:val="00BA0FEF"/>
    <w:rsid w:val="00BA1B01"/>
    <w:rsid w:val="00BA1F27"/>
    <w:rsid w:val="00BA2117"/>
    <w:rsid w:val="00BA37D9"/>
    <w:rsid w:val="00BA3A61"/>
    <w:rsid w:val="00BA440D"/>
    <w:rsid w:val="00BA4B77"/>
    <w:rsid w:val="00BA5928"/>
    <w:rsid w:val="00BA5DBC"/>
    <w:rsid w:val="00BA7112"/>
    <w:rsid w:val="00BA7795"/>
    <w:rsid w:val="00BB579C"/>
    <w:rsid w:val="00BB702F"/>
    <w:rsid w:val="00BB72AB"/>
    <w:rsid w:val="00BC18BF"/>
    <w:rsid w:val="00BC2213"/>
    <w:rsid w:val="00BC3426"/>
    <w:rsid w:val="00BC48F3"/>
    <w:rsid w:val="00BC55BC"/>
    <w:rsid w:val="00BC5E8E"/>
    <w:rsid w:val="00BC6F45"/>
    <w:rsid w:val="00BC719D"/>
    <w:rsid w:val="00BD1695"/>
    <w:rsid w:val="00BD3061"/>
    <w:rsid w:val="00BD32D7"/>
    <w:rsid w:val="00BD3B8C"/>
    <w:rsid w:val="00BD4A02"/>
    <w:rsid w:val="00BD522C"/>
    <w:rsid w:val="00BD7B3C"/>
    <w:rsid w:val="00BE00A9"/>
    <w:rsid w:val="00BE03CB"/>
    <w:rsid w:val="00BE100F"/>
    <w:rsid w:val="00BE1183"/>
    <w:rsid w:val="00BE1269"/>
    <w:rsid w:val="00BE208B"/>
    <w:rsid w:val="00BE3129"/>
    <w:rsid w:val="00BE4B49"/>
    <w:rsid w:val="00BE6801"/>
    <w:rsid w:val="00BE704F"/>
    <w:rsid w:val="00BF0C1C"/>
    <w:rsid w:val="00BF1872"/>
    <w:rsid w:val="00BF31B1"/>
    <w:rsid w:val="00BF32D7"/>
    <w:rsid w:val="00BF37A9"/>
    <w:rsid w:val="00BF51B3"/>
    <w:rsid w:val="00BF51D1"/>
    <w:rsid w:val="00BF5509"/>
    <w:rsid w:val="00BF7672"/>
    <w:rsid w:val="00C0039C"/>
    <w:rsid w:val="00C00C71"/>
    <w:rsid w:val="00C00CD0"/>
    <w:rsid w:val="00C017ED"/>
    <w:rsid w:val="00C020F1"/>
    <w:rsid w:val="00C0228B"/>
    <w:rsid w:val="00C0291B"/>
    <w:rsid w:val="00C02F82"/>
    <w:rsid w:val="00C04CD1"/>
    <w:rsid w:val="00C04CE1"/>
    <w:rsid w:val="00C05120"/>
    <w:rsid w:val="00C05457"/>
    <w:rsid w:val="00C05740"/>
    <w:rsid w:val="00C0635E"/>
    <w:rsid w:val="00C06770"/>
    <w:rsid w:val="00C07190"/>
    <w:rsid w:val="00C07A12"/>
    <w:rsid w:val="00C102F1"/>
    <w:rsid w:val="00C106BB"/>
    <w:rsid w:val="00C145D6"/>
    <w:rsid w:val="00C148E2"/>
    <w:rsid w:val="00C15281"/>
    <w:rsid w:val="00C16168"/>
    <w:rsid w:val="00C16BC5"/>
    <w:rsid w:val="00C16E93"/>
    <w:rsid w:val="00C16FF6"/>
    <w:rsid w:val="00C17A09"/>
    <w:rsid w:val="00C2007C"/>
    <w:rsid w:val="00C2134B"/>
    <w:rsid w:val="00C22C2F"/>
    <w:rsid w:val="00C22DC1"/>
    <w:rsid w:val="00C23C6E"/>
    <w:rsid w:val="00C23FCB"/>
    <w:rsid w:val="00C24653"/>
    <w:rsid w:val="00C2575E"/>
    <w:rsid w:val="00C2737D"/>
    <w:rsid w:val="00C27D54"/>
    <w:rsid w:val="00C30F2C"/>
    <w:rsid w:val="00C31A37"/>
    <w:rsid w:val="00C31FFE"/>
    <w:rsid w:val="00C33C27"/>
    <w:rsid w:val="00C36DE5"/>
    <w:rsid w:val="00C37C66"/>
    <w:rsid w:val="00C37F6A"/>
    <w:rsid w:val="00C404AF"/>
    <w:rsid w:val="00C40B53"/>
    <w:rsid w:val="00C4131B"/>
    <w:rsid w:val="00C42412"/>
    <w:rsid w:val="00C43131"/>
    <w:rsid w:val="00C43186"/>
    <w:rsid w:val="00C441DF"/>
    <w:rsid w:val="00C45662"/>
    <w:rsid w:val="00C45D68"/>
    <w:rsid w:val="00C4621A"/>
    <w:rsid w:val="00C462EE"/>
    <w:rsid w:val="00C46BF3"/>
    <w:rsid w:val="00C46EA0"/>
    <w:rsid w:val="00C507EA"/>
    <w:rsid w:val="00C52F30"/>
    <w:rsid w:val="00C5408C"/>
    <w:rsid w:val="00C5426F"/>
    <w:rsid w:val="00C548D4"/>
    <w:rsid w:val="00C550B5"/>
    <w:rsid w:val="00C55176"/>
    <w:rsid w:val="00C55A6B"/>
    <w:rsid w:val="00C56033"/>
    <w:rsid w:val="00C560F2"/>
    <w:rsid w:val="00C5665E"/>
    <w:rsid w:val="00C60095"/>
    <w:rsid w:val="00C60500"/>
    <w:rsid w:val="00C61E64"/>
    <w:rsid w:val="00C63563"/>
    <w:rsid w:val="00C649E3"/>
    <w:rsid w:val="00C65421"/>
    <w:rsid w:val="00C65AB3"/>
    <w:rsid w:val="00C65EFB"/>
    <w:rsid w:val="00C660C4"/>
    <w:rsid w:val="00C70AF0"/>
    <w:rsid w:val="00C7240C"/>
    <w:rsid w:val="00C72FAA"/>
    <w:rsid w:val="00C73893"/>
    <w:rsid w:val="00C73DA2"/>
    <w:rsid w:val="00C74230"/>
    <w:rsid w:val="00C7519F"/>
    <w:rsid w:val="00C772B0"/>
    <w:rsid w:val="00C778D6"/>
    <w:rsid w:val="00C81B24"/>
    <w:rsid w:val="00C81FA2"/>
    <w:rsid w:val="00C84043"/>
    <w:rsid w:val="00C845D4"/>
    <w:rsid w:val="00C907A3"/>
    <w:rsid w:val="00C911B9"/>
    <w:rsid w:val="00C92427"/>
    <w:rsid w:val="00C94930"/>
    <w:rsid w:val="00C94A41"/>
    <w:rsid w:val="00C9554C"/>
    <w:rsid w:val="00C9560B"/>
    <w:rsid w:val="00C9612E"/>
    <w:rsid w:val="00C96C7E"/>
    <w:rsid w:val="00C972BB"/>
    <w:rsid w:val="00C97BEF"/>
    <w:rsid w:val="00C97F92"/>
    <w:rsid w:val="00CA18DD"/>
    <w:rsid w:val="00CA1A95"/>
    <w:rsid w:val="00CA1E27"/>
    <w:rsid w:val="00CA28F7"/>
    <w:rsid w:val="00CA2F7E"/>
    <w:rsid w:val="00CA3730"/>
    <w:rsid w:val="00CA42AE"/>
    <w:rsid w:val="00CA4F7D"/>
    <w:rsid w:val="00CA588C"/>
    <w:rsid w:val="00CA67EB"/>
    <w:rsid w:val="00CB01B4"/>
    <w:rsid w:val="00CB1FA9"/>
    <w:rsid w:val="00CB2915"/>
    <w:rsid w:val="00CB2DA3"/>
    <w:rsid w:val="00CB38B3"/>
    <w:rsid w:val="00CB6145"/>
    <w:rsid w:val="00CB6936"/>
    <w:rsid w:val="00CB69AC"/>
    <w:rsid w:val="00CB6AC3"/>
    <w:rsid w:val="00CC055E"/>
    <w:rsid w:val="00CC42EC"/>
    <w:rsid w:val="00CC5254"/>
    <w:rsid w:val="00CC646B"/>
    <w:rsid w:val="00CC65E7"/>
    <w:rsid w:val="00CD0062"/>
    <w:rsid w:val="00CD13FD"/>
    <w:rsid w:val="00CD1ECB"/>
    <w:rsid w:val="00CD382D"/>
    <w:rsid w:val="00CD4C69"/>
    <w:rsid w:val="00CD4CB2"/>
    <w:rsid w:val="00CD7FC6"/>
    <w:rsid w:val="00CE0B20"/>
    <w:rsid w:val="00CE1C2E"/>
    <w:rsid w:val="00CE2B52"/>
    <w:rsid w:val="00CE2C5D"/>
    <w:rsid w:val="00CE3F80"/>
    <w:rsid w:val="00CE5CA8"/>
    <w:rsid w:val="00CE6460"/>
    <w:rsid w:val="00CF009B"/>
    <w:rsid w:val="00CF0F57"/>
    <w:rsid w:val="00CF1C46"/>
    <w:rsid w:val="00CF2066"/>
    <w:rsid w:val="00CF4685"/>
    <w:rsid w:val="00CF5685"/>
    <w:rsid w:val="00CF597C"/>
    <w:rsid w:val="00CF62C0"/>
    <w:rsid w:val="00CF70F9"/>
    <w:rsid w:val="00D00073"/>
    <w:rsid w:val="00D00427"/>
    <w:rsid w:val="00D01BA6"/>
    <w:rsid w:val="00D029CA"/>
    <w:rsid w:val="00D02C4A"/>
    <w:rsid w:val="00D02F9B"/>
    <w:rsid w:val="00D03971"/>
    <w:rsid w:val="00D058FE"/>
    <w:rsid w:val="00D06B71"/>
    <w:rsid w:val="00D06B93"/>
    <w:rsid w:val="00D06FA7"/>
    <w:rsid w:val="00D10EAB"/>
    <w:rsid w:val="00D121FC"/>
    <w:rsid w:val="00D12D96"/>
    <w:rsid w:val="00D13347"/>
    <w:rsid w:val="00D13749"/>
    <w:rsid w:val="00D15E5F"/>
    <w:rsid w:val="00D1760A"/>
    <w:rsid w:val="00D2064B"/>
    <w:rsid w:val="00D2134B"/>
    <w:rsid w:val="00D213FD"/>
    <w:rsid w:val="00D21B9A"/>
    <w:rsid w:val="00D21F83"/>
    <w:rsid w:val="00D22193"/>
    <w:rsid w:val="00D235DC"/>
    <w:rsid w:val="00D25A37"/>
    <w:rsid w:val="00D25EB9"/>
    <w:rsid w:val="00D262C0"/>
    <w:rsid w:val="00D27847"/>
    <w:rsid w:val="00D27C5A"/>
    <w:rsid w:val="00D306AD"/>
    <w:rsid w:val="00D31996"/>
    <w:rsid w:val="00D31A86"/>
    <w:rsid w:val="00D31D95"/>
    <w:rsid w:val="00D346CA"/>
    <w:rsid w:val="00D34A7D"/>
    <w:rsid w:val="00D34C21"/>
    <w:rsid w:val="00D363B3"/>
    <w:rsid w:val="00D36733"/>
    <w:rsid w:val="00D37A59"/>
    <w:rsid w:val="00D40E75"/>
    <w:rsid w:val="00D422D1"/>
    <w:rsid w:val="00D4236C"/>
    <w:rsid w:val="00D438B8"/>
    <w:rsid w:val="00D43AC0"/>
    <w:rsid w:val="00D46ACE"/>
    <w:rsid w:val="00D46D79"/>
    <w:rsid w:val="00D47537"/>
    <w:rsid w:val="00D50A20"/>
    <w:rsid w:val="00D51372"/>
    <w:rsid w:val="00D53097"/>
    <w:rsid w:val="00D53DAC"/>
    <w:rsid w:val="00D55350"/>
    <w:rsid w:val="00D55981"/>
    <w:rsid w:val="00D56C2E"/>
    <w:rsid w:val="00D57298"/>
    <w:rsid w:val="00D57348"/>
    <w:rsid w:val="00D57691"/>
    <w:rsid w:val="00D57A77"/>
    <w:rsid w:val="00D60DA1"/>
    <w:rsid w:val="00D610CA"/>
    <w:rsid w:val="00D623CB"/>
    <w:rsid w:val="00D637A9"/>
    <w:rsid w:val="00D63907"/>
    <w:rsid w:val="00D648E2"/>
    <w:rsid w:val="00D64D21"/>
    <w:rsid w:val="00D65596"/>
    <w:rsid w:val="00D661D6"/>
    <w:rsid w:val="00D66E68"/>
    <w:rsid w:val="00D70359"/>
    <w:rsid w:val="00D7082D"/>
    <w:rsid w:val="00D70EB7"/>
    <w:rsid w:val="00D71B08"/>
    <w:rsid w:val="00D72997"/>
    <w:rsid w:val="00D736A1"/>
    <w:rsid w:val="00D73813"/>
    <w:rsid w:val="00D7389E"/>
    <w:rsid w:val="00D73983"/>
    <w:rsid w:val="00D73BE8"/>
    <w:rsid w:val="00D73C0F"/>
    <w:rsid w:val="00D75469"/>
    <w:rsid w:val="00D76689"/>
    <w:rsid w:val="00D76A77"/>
    <w:rsid w:val="00D76D04"/>
    <w:rsid w:val="00D77363"/>
    <w:rsid w:val="00D77B87"/>
    <w:rsid w:val="00D81CF8"/>
    <w:rsid w:val="00D822F6"/>
    <w:rsid w:val="00D83C72"/>
    <w:rsid w:val="00D84113"/>
    <w:rsid w:val="00D841E2"/>
    <w:rsid w:val="00D84DD0"/>
    <w:rsid w:val="00D85B20"/>
    <w:rsid w:val="00D85C8D"/>
    <w:rsid w:val="00D85C9C"/>
    <w:rsid w:val="00D85E0E"/>
    <w:rsid w:val="00D86B9F"/>
    <w:rsid w:val="00D87FFD"/>
    <w:rsid w:val="00D90877"/>
    <w:rsid w:val="00D90903"/>
    <w:rsid w:val="00D91D0D"/>
    <w:rsid w:val="00D92782"/>
    <w:rsid w:val="00D929FA"/>
    <w:rsid w:val="00D92E41"/>
    <w:rsid w:val="00D9300C"/>
    <w:rsid w:val="00D933DC"/>
    <w:rsid w:val="00D94305"/>
    <w:rsid w:val="00D954D3"/>
    <w:rsid w:val="00D95D24"/>
    <w:rsid w:val="00D9621A"/>
    <w:rsid w:val="00DA0269"/>
    <w:rsid w:val="00DA0ABF"/>
    <w:rsid w:val="00DA10C4"/>
    <w:rsid w:val="00DA1114"/>
    <w:rsid w:val="00DA16FA"/>
    <w:rsid w:val="00DA2C97"/>
    <w:rsid w:val="00DA31B6"/>
    <w:rsid w:val="00DA33A0"/>
    <w:rsid w:val="00DA3FD6"/>
    <w:rsid w:val="00DA5E57"/>
    <w:rsid w:val="00DA67C8"/>
    <w:rsid w:val="00DA6C6B"/>
    <w:rsid w:val="00DA71F3"/>
    <w:rsid w:val="00DB0741"/>
    <w:rsid w:val="00DB0DCB"/>
    <w:rsid w:val="00DB161E"/>
    <w:rsid w:val="00DB1A74"/>
    <w:rsid w:val="00DB1B87"/>
    <w:rsid w:val="00DB31FA"/>
    <w:rsid w:val="00DB42ED"/>
    <w:rsid w:val="00DC0A06"/>
    <w:rsid w:val="00DC0D74"/>
    <w:rsid w:val="00DC1EB3"/>
    <w:rsid w:val="00DC2C7C"/>
    <w:rsid w:val="00DC2F7E"/>
    <w:rsid w:val="00DC4FB5"/>
    <w:rsid w:val="00DC5774"/>
    <w:rsid w:val="00DC63D7"/>
    <w:rsid w:val="00DC7FFC"/>
    <w:rsid w:val="00DD0AC9"/>
    <w:rsid w:val="00DD15FA"/>
    <w:rsid w:val="00DD30CD"/>
    <w:rsid w:val="00DD3864"/>
    <w:rsid w:val="00DD3C46"/>
    <w:rsid w:val="00DD547B"/>
    <w:rsid w:val="00DD6051"/>
    <w:rsid w:val="00DE19A6"/>
    <w:rsid w:val="00DE220A"/>
    <w:rsid w:val="00DE2481"/>
    <w:rsid w:val="00DE273E"/>
    <w:rsid w:val="00DE437A"/>
    <w:rsid w:val="00DE4B6B"/>
    <w:rsid w:val="00DE4DF9"/>
    <w:rsid w:val="00DE5158"/>
    <w:rsid w:val="00DE6392"/>
    <w:rsid w:val="00DE71A9"/>
    <w:rsid w:val="00DE7348"/>
    <w:rsid w:val="00DE7820"/>
    <w:rsid w:val="00DF0E64"/>
    <w:rsid w:val="00DF1391"/>
    <w:rsid w:val="00DF2431"/>
    <w:rsid w:val="00DF268A"/>
    <w:rsid w:val="00DF41D7"/>
    <w:rsid w:val="00E00F3F"/>
    <w:rsid w:val="00E0205B"/>
    <w:rsid w:val="00E021BF"/>
    <w:rsid w:val="00E02CDB"/>
    <w:rsid w:val="00E039CD"/>
    <w:rsid w:val="00E058C3"/>
    <w:rsid w:val="00E05EB8"/>
    <w:rsid w:val="00E05F92"/>
    <w:rsid w:val="00E062E7"/>
    <w:rsid w:val="00E06ACC"/>
    <w:rsid w:val="00E0732F"/>
    <w:rsid w:val="00E07EC7"/>
    <w:rsid w:val="00E10375"/>
    <w:rsid w:val="00E13FF0"/>
    <w:rsid w:val="00E16014"/>
    <w:rsid w:val="00E17BF5"/>
    <w:rsid w:val="00E2063C"/>
    <w:rsid w:val="00E2137C"/>
    <w:rsid w:val="00E2194F"/>
    <w:rsid w:val="00E22F4A"/>
    <w:rsid w:val="00E244B1"/>
    <w:rsid w:val="00E2621F"/>
    <w:rsid w:val="00E26CAC"/>
    <w:rsid w:val="00E30345"/>
    <w:rsid w:val="00E333FA"/>
    <w:rsid w:val="00E3416C"/>
    <w:rsid w:val="00E34F05"/>
    <w:rsid w:val="00E34F67"/>
    <w:rsid w:val="00E35726"/>
    <w:rsid w:val="00E36B68"/>
    <w:rsid w:val="00E36F04"/>
    <w:rsid w:val="00E37200"/>
    <w:rsid w:val="00E40D0B"/>
    <w:rsid w:val="00E41326"/>
    <w:rsid w:val="00E41410"/>
    <w:rsid w:val="00E41CAD"/>
    <w:rsid w:val="00E4258E"/>
    <w:rsid w:val="00E44390"/>
    <w:rsid w:val="00E446B4"/>
    <w:rsid w:val="00E44D46"/>
    <w:rsid w:val="00E455AD"/>
    <w:rsid w:val="00E45A77"/>
    <w:rsid w:val="00E4646D"/>
    <w:rsid w:val="00E515BB"/>
    <w:rsid w:val="00E52507"/>
    <w:rsid w:val="00E52EA0"/>
    <w:rsid w:val="00E534AA"/>
    <w:rsid w:val="00E5406B"/>
    <w:rsid w:val="00E54092"/>
    <w:rsid w:val="00E5497F"/>
    <w:rsid w:val="00E552CD"/>
    <w:rsid w:val="00E560E2"/>
    <w:rsid w:val="00E5679C"/>
    <w:rsid w:val="00E56C5A"/>
    <w:rsid w:val="00E57A62"/>
    <w:rsid w:val="00E608D4"/>
    <w:rsid w:val="00E61376"/>
    <w:rsid w:val="00E6232A"/>
    <w:rsid w:val="00E657BF"/>
    <w:rsid w:val="00E65B86"/>
    <w:rsid w:val="00E65CDA"/>
    <w:rsid w:val="00E65D5C"/>
    <w:rsid w:val="00E66B74"/>
    <w:rsid w:val="00E67BBC"/>
    <w:rsid w:val="00E712BA"/>
    <w:rsid w:val="00E7345A"/>
    <w:rsid w:val="00E736D0"/>
    <w:rsid w:val="00E73F23"/>
    <w:rsid w:val="00E73FAC"/>
    <w:rsid w:val="00E757F8"/>
    <w:rsid w:val="00E76A0D"/>
    <w:rsid w:val="00E773C2"/>
    <w:rsid w:val="00E775C6"/>
    <w:rsid w:val="00E77A0E"/>
    <w:rsid w:val="00E815E0"/>
    <w:rsid w:val="00E81C43"/>
    <w:rsid w:val="00E82274"/>
    <w:rsid w:val="00E82E25"/>
    <w:rsid w:val="00E83715"/>
    <w:rsid w:val="00E851E2"/>
    <w:rsid w:val="00E858B5"/>
    <w:rsid w:val="00E86EC2"/>
    <w:rsid w:val="00E86F24"/>
    <w:rsid w:val="00E874B8"/>
    <w:rsid w:val="00E9063A"/>
    <w:rsid w:val="00E90C70"/>
    <w:rsid w:val="00E918F6"/>
    <w:rsid w:val="00E91B86"/>
    <w:rsid w:val="00E9231B"/>
    <w:rsid w:val="00E9277D"/>
    <w:rsid w:val="00E933FD"/>
    <w:rsid w:val="00E942FD"/>
    <w:rsid w:val="00E9460F"/>
    <w:rsid w:val="00E94A1C"/>
    <w:rsid w:val="00EA009D"/>
    <w:rsid w:val="00EA0EFB"/>
    <w:rsid w:val="00EA1B7A"/>
    <w:rsid w:val="00EA2130"/>
    <w:rsid w:val="00EA28B6"/>
    <w:rsid w:val="00EA4993"/>
    <w:rsid w:val="00EA58D5"/>
    <w:rsid w:val="00EB05BF"/>
    <w:rsid w:val="00EB06DC"/>
    <w:rsid w:val="00EB1576"/>
    <w:rsid w:val="00EB1870"/>
    <w:rsid w:val="00EB1CC9"/>
    <w:rsid w:val="00EB1DF9"/>
    <w:rsid w:val="00EB403E"/>
    <w:rsid w:val="00EB482E"/>
    <w:rsid w:val="00EB58BC"/>
    <w:rsid w:val="00EB7138"/>
    <w:rsid w:val="00EB7406"/>
    <w:rsid w:val="00EC00A4"/>
    <w:rsid w:val="00EC0927"/>
    <w:rsid w:val="00EC28F6"/>
    <w:rsid w:val="00EC3F78"/>
    <w:rsid w:val="00EC462D"/>
    <w:rsid w:val="00EC46A8"/>
    <w:rsid w:val="00EC4AF9"/>
    <w:rsid w:val="00EC4BE2"/>
    <w:rsid w:val="00EC52F8"/>
    <w:rsid w:val="00EC7F34"/>
    <w:rsid w:val="00ED07AF"/>
    <w:rsid w:val="00ED0814"/>
    <w:rsid w:val="00ED0F48"/>
    <w:rsid w:val="00ED1473"/>
    <w:rsid w:val="00ED41C7"/>
    <w:rsid w:val="00ED4315"/>
    <w:rsid w:val="00ED4928"/>
    <w:rsid w:val="00ED5571"/>
    <w:rsid w:val="00ED59DE"/>
    <w:rsid w:val="00ED6021"/>
    <w:rsid w:val="00ED6903"/>
    <w:rsid w:val="00ED7629"/>
    <w:rsid w:val="00ED76BD"/>
    <w:rsid w:val="00ED7855"/>
    <w:rsid w:val="00ED7D4B"/>
    <w:rsid w:val="00EE0CC4"/>
    <w:rsid w:val="00EE14B8"/>
    <w:rsid w:val="00EE20A8"/>
    <w:rsid w:val="00EE2547"/>
    <w:rsid w:val="00EE2DC1"/>
    <w:rsid w:val="00EE4019"/>
    <w:rsid w:val="00EE43B2"/>
    <w:rsid w:val="00EE45ED"/>
    <w:rsid w:val="00EE526D"/>
    <w:rsid w:val="00EE594A"/>
    <w:rsid w:val="00EE6590"/>
    <w:rsid w:val="00EE65B4"/>
    <w:rsid w:val="00EE6E22"/>
    <w:rsid w:val="00EE70BD"/>
    <w:rsid w:val="00EF11AE"/>
    <w:rsid w:val="00EF2480"/>
    <w:rsid w:val="00EF2897"/>
    <w:rsid w:val="00EF307B"/>
    <w:rsid w:val="00EF44B9"/>
    <w:rsid w:val="00EF49C6"/>
    <w:rsid w:val="00EF6990"/>
    <w:rsid w:val="00EF6FE1"/>
    <w:rsid w:val="00EF7985"/>
    <w:rsid w:val="00F00280"/>
    <w:rsid w:val="00F01C00"/>
    <w:rsid w:val="00F02C4A"/>
    <w:rsid w:val="00F03998"/>
    <w:rsid w:val="00F07D55"/>
    <w:rsid w:val="00F07F16"/>
    <w:rsid w:val="00F07FBE"/>
    <w:rsid w:val="00F11356"/>
    <w:rsid w:val="00F118C3"/>
    <w:rsid w:val="00F120BD"/>
    <w:rsid w:val="00F14B17"/>
    <w:rsid w:val="00F14F87"/>
    <w:rsid w:val="00F16E7C"/>
    <w:rsid w:val="00F2061D"/>
    <w:rsid w:val="00F221D1"/>
    <w:rsid w:val="00F22EE6"/>
    <w:rsid w:val="00F24B46"/>
    <w:rsid w:val="00F257CB"/>
    <w:rsid w:val="00F25AE1"/>
    <w:rsid w:val="00F25B34"/>
    <w:rsid w:val="00F26506"/>
    <w:rsid w:val="00F26F8D"/>
    <w:rsid w:val="00F33461"/>
    <w:rsid w:val="00F337E7"/>
    <w:rsid w:val="00F33CA1"/>
    <w:rsid w:val="00F34EF8"/>
    <w:rsid w:val="00F3786E"/>
    <w:rsid w:val="00F4048D"/>
    <w:rsid w:val="00F41FC6"/>
    <w:rsid w:val="00F42066"/>
    <w:rsid w:val="00F42309"/>
    <w:rsid w:val="00F42F97"/>
    <w:rsid w:val="00F519E4"/>
    <w:rsid w:val="00F528E4"/>
    <w:rsid w:val="00F53461"/>
    <w:rsid w:val="00F53A11"/>
    <w:rsid w:val="00F54282"/>
    <w:rsid w:val="00F54C03"/>
    <w:rsid w:val="00F56406"/>
    <w:rsid w:val="00F6016D"/>
    <w:rsid w:val="00F60747"/>
    <w:rsid w:val="00F61B69"/>
    <w:rsid w:val="00F61E90"/>
    <w:rsid w:val="00F6228B"/>
    <w:rsid w:val="00F6330E"/>
    <w:rsid w:val="00F63593"/>
    <w:rsid w:val="00F6413A"/>
    <w:rsid w:val="00F647D5"/>
    <w:rsid w:val="00F65B1E"/>
    <w:rsid w:val="00F662BB"/>
    <w:rsid w:val="00F70AD8"/>
    <w:rsid w:val="00F70E4F"/>
    <w:rsid w:val="00F7115E"/>
    <w:rsid w:val="00F72C9F"/>
    <w:rsid w:val="00F7619F"/>
    <w:rsid w:val="00F7657D"/>
    <w:rsid w:val="00F778C1"/>
    <w:rsid w:val="00F8055D"/>
    <w:rsid w:val="00F8172C"/>
    <w:rsid w:val="00F82928"/>
    <w:rsid w:val="00F83261"/>
    <w:rsid w:val="00F83E46"/>
    <w:rsid w:val="00F8472F"/>
    <w:rsid w:val="00F853AB"/>
    <w:rsid w:val="00F859F5"/>
    <w:rsid w:val="00F8630D"/>
    <w:rsid w:val="00F86ABC"/>
    <w:rsid w:val="00F903AB"/>
    <w:rsid w:val="00F904A2"/>
    <w:rsid w:val="00F92751"/>
    <w:rsid w:val="00F92B8F"/>
    <w:rsid w:val="00F93414"/>
    <w:rsid w:val="00F9404F"/>
    <w:rsid w:val="00F95A0C"/>
    <w:rsid w:val="00F95E02"/>
    <w:rsid w:val="00F96FB2"/>
    <w:rsid w:val="00FA0BBF"/>
    <w:rsid w:val="00FA20C1"/>
    <w:rsid w:val="00FA289A"/>
    <w:rsid w:val="00FA290E"/>
    <w:rsid w:val="00FA2DFF"/>
    <w:rsid w:val="00FA2ED1"/>
    <w:rsid w:val="00FA3C1F"/>
    <w:rsid w:val="00FA3EC6"/>
    <w:rsid w:val="00FA67C7"/>
    <w:rsid w:val="00FA6F71"/>
    <w:rsid w:val="00FB2A79"/>
    <w:rsid w:val="00FB2BBF"/>
    <w:rsid w:val="00FB36D1"/>
    <w:rsid w:val="00FB3E6B"/>
    <w:rsid w:val="00FB3EC2"/>
    <w:rsid w:val="00FB4B64"/>
    <w:rsid w:val="00FB5026"/>
    <w:rsid w:val="00FB5310"/>
    <w:rsid w:val="00FB5550"/>
    <w:rsid w:val="00FB5D25"/>
    <w:rsid w:val="00FB5FA7"/>
    <w:rsid w:val="00FC0683"/>
    <w:rsid w:val="00FC0AD9"/>
    <w:rsid w:val="00FC0AE5"/>
    <w:rsid w:val="00FC0D13"/>
    <w:rsid w:val="00FC13BB"/>
    <w:rsid w:val="00FC2E82"/>
    <w:rsid w:val="00FC5C61"/>
    <w:rsid w:val="00FC6D23"/>
    <w:rsid w:val="00FC7DCB"/>
    <w:rsid w:val="00FD1740"/>
    <w:rsid w:val="00FD254E"/>
    <w:rsid w:val="00FD32D3"/>
    <w:rsid w:val="00FD3B43"/>
    <w:rsid w:val="00FD42A7"/>
    <w:rsid w:val="00FD6A8A"/>
    <w:rsid w:val="00FE14E2"/>
    <w:rsid w:val="00FE1D26"/>
    <w:rsid w:val="00FE25D7"/>
    <w:rsid w:val="00FE2B5C"/>
    <w:rsid w:val="00FE44D0"/>
    <w:rsid w:val="00FE4AF2"/>
    <w:rsid w:val="00FE57F5"/>
    <w:rsid w:val="00FE7956"/>
    <w:rsid w:val="00FF1497"/>
    <w:rsid w:val="00FF2267"/>
    <w:rsid w:val="00FF2327"/>
    <w:rsid w:val="00FF2667"/>
    <w:rsid w:val="00FF2DEE"/>
    <w:rsid w:val="00FF30CF"/>
    <w:rsid w:val="00FF37CE"/>
    <w:rsid w:val="00FF4554"/>
    <w:rsid w:val="00FF497D"/>
    <w:rsid w:val="00FF6B94"/>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7D0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697A"/>
    <w:pPr>
      <w:spacing w:line="288" w:lineRule="auto"/>
    </w:pPr>
  </w:style>
  <w:style w:type="paragraph" w:styleId="Heading1">
    <w:name w:val="heading 1"/>
    <w:next w:val="BodyText"/>
    <w:link w:val="Heading1Char"/>
    <w:uiPriority w:val="1"/>
    <w:qFormat/>
    <w:rsid w:val="00444EBF"/>
    <w:pPr>
      <w:keepNext/>
      <w:pageBreakBefore/>
      <w:spacing w:before="480" w:after="280" w:line="276" w:lineRule="auto"/>
      <w:outlineLvl w:val="0"/>
    </w:pPr>
    <w:rPr>
      <w:rFonts w:eastAsia="MS Gothic"/>
      <w:b/>
      <w:bCs/>
      <w:sz w:val="32"/>
      <w:szCs w:val="32"/>
      <w:lang w:eastAsia="en-US"/>
    </w:rPr>
  </w:style>
  <w:style w:type="paragraph" w:styleId="Heading2">
    <w:name w:val="heading 2"/>
    <w:next w:val="BodyText"/>
    <w:link w:val="Heading2Char"/>
    <w:uiPriority w:val="1"/>
    <w:qFormat/>
    <w:rsid w:val="00886795"/>
    <w:pPr>
      <w:keepNext/>
      <w:spacing w:before="320" w:after="240" w:line="276" w:lineRule="auto"/>
      <w:outlineLvl w:val="1"/>
    </w:pPr>
    <w:rPr>
      <w:rFonts w:eastAsia="MS Gothic"/>
      <w:b/>
      <w:bCs/>
      <w:sz w:val="26"/>
      <w:szCs w:val="26"/>
      <w:lang w:eastAsia="en-US"/>
    </w:rPr>
  </w:style>
  <w:style w:type="paragraph" w:styleId="Heading3">
    <w:name w:val="heading 3"/>
    <w:basedOn w:val="Heading2"/>
    <w:next w:val="BodyText"/>
    <w:link w:val="Heading3Char"/>
    <w:uiPriority w:val="1"/>
    <w:qFormat/>
    <w:rsid w:val="00886795"/>
    <w:pPr>
      <w:keepLines/>
      <w:numPr>
        <w:ilvl w:val="2"/>
      </w:numPr>
      <w:spacing w:before="280" w:after="200"/>
      <w:outlineLvl w:val="2"/>
    </w:pPr>
    <w:rPr>
      <w:bCs w:val="0"/>
      <w:sz w:val="22"/>
    </w:rPr>
  </w:style>
  <w:style w:type="paragraph" w:styleId="Heading4">
    <w:name w:val="heading 4"/>
    <w:basedOn w:val="Heading3"/>
    <w:next w:val="BodyText"/>
    <w:link w:val="Heading4Char"/>
    <w:uiPriority w:val="1"/>
    <w:qFormat/>
    <w:rsid w:val="00886795"/>
    <w:pPr>
      <w:numPr>
        <w:ilvl w:val="3"/>
      </w:numPr>
      <w:spacing w:before="200" w:line="240" w:lineRule="auto"/>
      <w:outlineLvl w:val="3"/>
    </w:pPr>
    <w:rPr>
      <w:rFonts w:eastAsia="MS Mincho"/>
      <w:bCs/>
      <w:sz w:val="20"/>
      <w:szCs w:val="28"/>
    </w:rPr>
  </w:style>
  <w:style w:type="paragraph" w:styleId="Heading5">
    <w:name w:val="heading 5"/>
    <w:basedOn w:val="Normal"/>
    <w:next w:val="Normal"/>
    <w:link w:val="Heading5Char"/>
    <w:uiPriority w:val="1"/>
    <w:qFormat/>
    <w:rsid w:val="00886795"/>
    <w:pPr>
      <w:spacing w:before="240" w:after="60"/>
      <w:outlineLvl w:val="4"/>
    </w:pPr>
    <w:rPr>
      <w:b/>
      <w:bCs/>
      <w:iCs/>
      <w:szCs w:val="26"/>
    </w:rPr>
  </w:style>
  <w:style w:type="paragraph" w:styleId="Heading6">
    <w:name w:val="heading 6"/>
    <w:basedOn w:val="Normal"/>
    <w:next w:val="Normal"/>
    <w:link w:val="Heading6Char"/>
    <w:uiPriority w:val="1"/>
    <w:qFormat/>
    <w:rsid w:val="00675B7B"/>
    <w:pPr>
      <w:spacing w:before="240" w:after="60"/>
      <w:outlineLvl w:val="5"/>
    </w:pPr>
    <w:rPr>
      <w:b/>
      <w:bCs/>
      <w:szCs w:val="22"/>
    </w:rPr>
  </w:style>
  <w:style w:type="paragraph" w:styleId="Heading7">
    <w:name w:val="heading 7"/>
    <w:basedOn w:val="Normal"/>
    <w:next w:val="Normal"/>
    <w:link w:val="Heading7Char"/>
    <w:uiPriority w:val="1"/>
    <w:qFormat/>
    <w:rsid w:val="001261B4"/>
    <w:pPr>
      <w:spacing w:before="240" w:after="60"/>
      <w:outlineLvl w:val="6"/>
    </w:pPr>
    <w:rPr>
      <w:b/>
    </w:rPr>
  </w:style>
  <w:style w:type="paragraph" w:styleId="Heading8">
    <w:name w:val="heading 8"/>
    <w:basedOn w:val="Normal"/>
    <w:link w:val="Heading8Char"/>
    <w:uiPriority w:val="1"/>
    <w:qFormat/>
    <w:rsid w:val="00B75A8E"/>
    <w:pPr>
      <w:widowControl w:val="0"/>
      <w:spacing w:line="240" w:lineRule="auto"/>
      <w:ind w:left="114"/>
      <w:outlineLvl w:val="7"/>
    </w:pPr>
    <w:rPr>
      <w:rFonts w:ascii="Calibri" w:eastAsia="Calibri" w:hAnsi="Calibri"/>
      <w:sz w:val="52"/>
      <w:szCs w:val="52"/>
      <w:lang w:val="en-US" w:eastAsia="en-US"/>
    </w:rPr>
  </w:style>
  <w:style w:type="paragraph" w:styleId="Heading9">
    <w:name w:val="heading 9"/>
    <w:basedOn w:val="Normal"/>
    <w:link w:val="Heading9Char"/>
    <w:uiPriority w:val="1"/>
    <w:qFormat/>
    <w:rsid w:val="00B75A8E"/>
    <w:pPr>
      <w:widowControl w:val="0"/>
      <w:spacing w:before="8" w:line="240" w:lineRule="auto"/>
      <w:ind w:left="100"/>
      <w:outlineLvl w:val="8"/>
    </w:pPr>
    <w:rPr>
      <w:rFonts w:ascii="Calibri" w:eastAsia="Calibri" w:hAnsi="Calibri"/>
      <w:b/>
      <w:bCs/>
      <w:sz w:val="50"/>
      <w:szCs w:val="5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37C65"/>
    <w:rPr>
      <w:rFonts w:eastAsia="MS Gothic"/>
      <w:b/>
      <w:bCs/>
      <w:sz w:val="32"/>
      <w:szCs w:val="32"/>
      <w:lang w:eastAsia="en-US"/>
    </w:rPr>
  </w:style>
  <w:style w:type="character" w:customStyle="1" w:styleId="Heading2Char">
    <w:name w:val="Heading 2 Char"/>
    <w:link w:val="Heading2"/>
    <w:uiPriority w:val="1"/>
    <w:rsid w:val="00886795"/>
    <w:rPr>
      <w:rFonts w:eastAsia="MS Gothic"/>
      <w:b/>
      <w:bCs/>
      <w:sz w:val="26"/>
      <w:szCs w:val="26"/>
      <w:lang w:eastAsia="en-US"/>
    </w:rPr>
  </w:style>
  <w:style w:type="character" w:customStyle="1" w:styleId="Heading3Char">
    <w:name w:val="Heading 3 Char"/>
    <w:link w:val="Heading3"/>
    <w:uiPriority w:val="1"/>
    <w:rsid w:val="00886795"/>
    <w:rPr>
      <w:rFonts w:eastAsia="MS Gothic"/>
      <w:b/>
      <w:sz w:val="22"/>
      <w:szCs w:val="26"/>
      <w:lang w:eastAsia="en-US"/>
    </w:rPr>
  </w:style>
  <w:style w:type="paragraph" w:styleId="BalloonText">
    <w:name w:val="Balloon Text"/>
    <w:basedOn w:val="Normal"/>
    <w:link w:val="BalloonTextChar"/>
    <w:uiPriority w:val="99"/>
    <w:semiHidden/>
    <w:unhideWhenUsed/>
    <w:rsid w:val="00EA2130"/>
    <w:rPr>
      <w:rFonts w:ascii="Lucida Grande" w:hAnsi="Lucida Grande"/>
      <w:sz w:val="18"/>
      <w:szCs w:val="18"/>
    </w:rPr>
  </w:style>
  <w:style w:type="character" w:customStyle="1" w:styleId="BalloonTextChar">
    <w:name w:val="Balloon Text Char"/>
    <w:link w:val="BalloonText"/>
    <w:uiPriority w:val="99"/>
    <w:semiHidden/>
    <w:rsid w:val="00EA2130"/>
    <w:rPr>
      <w:rFonts w:ascii="Lucida Grande" w:hAnsi="Lucida Grande"/>
      <w:sz w:val="18"/>
      <w:szCs w:val="18"/>
    </w:rPr>
  </w:style>
  <w:style w:type="paragraph" w:styleId="Footer">
    <w:name w:val="footer"/>
    <w:basedOn w:val="Normal"/>
    <w:link w:val="FooterChar"/>
    <w:uiPriority w:val="99"/>
    <w:unhideWhenUsed/>
    <w:rsid w:val="00090557"/>
    <w:pPr>
      <w:tabs>
        <w:tab w:val="center" w:pos="4320"/>
        <w:tab w:val="right" w:pos="8640"/>
      </w:tabs>
      <w:spacing w:line="240" w:lineRule="auto"/>
      <w:jc w:val="right"/>
    </w:pPr>
    <w:rPr>
      <w:noProof/>
      <w:sz w:val="18"/>
    </w:rPr>
  </w:style>
  <w:style w:type="character" w:customStyle="1" w:styleId="FooterChar">
    <w:name w:val="Footer Char"/>
    <w:link w:val="Footer"/>
    <w:uiPriority w:val="99"/>
    <w:rsid w:val="00090557"/>
    <w:rPr>
      <w:noProof/>
      <w:sz w:val="18"/>
    </w:rPr>
  </w:style>
  <w:style w:type="table" w:styleId="TableGrid">
    <w:name w:val="Table Grid"/>
    <w:basedOn w:val="TableNormal"/>
    <w:uiPriority w:val="39"/>
    <w:rsid w:val="00AF5B9B"/>
    <w:pPr>
      <w:spacing w:before="60"/>
    </w:pPr>
    <w:rPr>
      <w:rFonts w:eastAsia="Cambria"/>
      <w:sz w:val="18"/>
      <w:szCs w:val="22"/>
    </w:rPr>
    <w:tblPr>
      <w:tblBorders>
        <w:top w:val="single" w:sz="4" w:space="0" w:color="auto"/>
        <w:bottom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wordWrap/>
        <w:jc w:val="left"/>
      </w:pPr>
      <w:rPr>
        <w:rFonts w:ascii="Arial" w:hAnsi="Arial"/>
        <w:b/>
      </w:rPr>
      <w:tblPr/>
      <w:tcPr>
        <w:tcBorders>
          <w:top w:val="single" w:sz="4" w:space="0" w:color="auto"/>
          <w:left w:val="nil"/>
          <w:bottom w:val="single" w:sz="4" w:space="0" w:color="auto"/>
          <w:right w:val="nil"/>
          <w:insideH w:val="nil"/>
          <w:insideV w:val="single" w:sz="4" w:space="0" w:color="auto"/>
          <w:tl2br w:val="nil"/>
          <w:tr2bl w:val="nil"/>
        </w:tcBorders>
      </w:tcPr>
    </w:tblStylePr>
  </w:style>
  <w:style w:type="paragraph" w:styleId="DocumentMap">
    <w:name w:val="Document Map"/>
    <w:basedOn w:val="Normal"/>
    <w:link w:val="DocumentMapChar"/>
    <w:uiPriority w:val="99"/>
    <w:semiHidden/>
    <w:unhideWhenUsed/>
    <w:rsid w:val="00881C97"/>
    <w:rPr>
      <w:rFonts w:ascii="Lucida Grande" w:hAnsi="Lucida Grande" w:cs="Lucida Grande"/>
    </w:rPr>
  </w:style>
  <w:style w:type="character" w:customStyle="1" w:styleId="DocumentMapChar">
    <w:name w:val="Document Map Char"/>
    <w:link w:val="DocumentMap"/>
    <w:uiPriority w:val="99"/>
    <w:semiHidden/>
    <w:rsid w:val="00881C97"/>
    <w:rPr>
      <w:rFonts w:ascii="Lucida Grande" w:hAnsi="Lucida Grande" w:cs="Lucida Grande"/>
    </w:rPr>
  </w:style>
  <w:style w:type="paragraph" w:styleId="TOCHeading">
    <w:name w:val="TOC Heading"/>
    <w:basedOn w:val="Heading1"/>
    <w:next w:val="TOC1"/>
    <w:uiPriority w:val="39"/>
    <w:rsid w:val="00780976"/>
    <w:pPr>
      <w:spacing w:after="480"/>
      <w:outlineLvl w:val="9"/>
    </w:pPr>
    <w:rPr>
      <w:bCs w:val="0"/>
    </w:rPr>
  </w:style>
  <w:style w:type="paragraph" w:styleId="TOC1">
    <w:name w:val="toc 1"/>
    <w:basedOn w:val="Normal"/>
    <w:next w:val="Normal"/>
    <w:autoRedefine/>
    <w:uiPriority w:val="39"/>
    <w:rsid w:val="00927FDB"/>
    <w:pPr>
      <w:tabs>
        <w:tab w:val="left" w:leader="dot" w:pos="567"/>
        <w:tab w:val="right" w:leader="dot" w:pos="9622"/>
      </w:tabs>
      <w:spacing w:before="60" w:after="60" w:line="228" w:lineRule="auto"/>
    </w:pPr>
    <w:rPr>
      <w:rFonts w:ascii="Arial Bold" w:hAnsi="Arial Bold"/>
      <w:noProof/>
    </w:rPr>
  </w:style>
  <w:style w:type="paragraph" w:styleId="Header">
    <w:name w:val="header"/>
    <w:basedOn w:val="Normal"/>
    <w:next w:val="Normal"/>
    <w:link w:val="HeaderChar"/>
    <w:rsid w:val="00A121B3"/>
    <w:pPr>
      <w:tabs>
        <w:tab w:val="center" w:pos="4513"/>
        <w:tab w:val="right" w:pos="9026"/>
      </w:tabs>
    </w:pPr>
  </w:style>
  <w:style w:type="character" w:customStyle="1" w:styleId="HeaderChar">
    <w:name w:val="Header Char"/>
    <w:link w:val="Header"/>
    <w:rsid w:val="00A121B3"/>
    <w:rPr>
      <w:sz w:val="24"/>
      <w:szCs w:val="24"/>
      <w:lang w:val="en-US" w:eastAsia="en-US"/>
    </w:rPr>
  </w:style>
  <w:style w:type="paragraph" w:styleId="ListBullet">
    <w:name w:val="List Bullet"/>
    <w:basedOn w:val="Normal"/>
    <w:uiPriority w:val="99"/>
    <w:qFormat/>
    <w:rsid w:val="00D95D24"/>
    <w:pPr>
      <w:numPr>
        <w:numId w:val="1"/>
      </w:numPr>
      <w:spacing w:before="60" w:after="60"/>
    </w:pPr>
  </w:style>
  <w:style w:type="paragraph" w:styleId="EndnoteText">
    <w:name w:val="endnote text"/>
    <w:basedOn w:val="Normal"/>
    <w:link w:val="EndnoteTextChar"/>
    <w:rsid w:val="00EF11AE"/>
    <w:pPr>
      <w:spacing w:after="40"/>
    </w:pPr>
    <w:rPr>
      <w:sz w:val="16"/>
    </w:rPr>
  </w:style>
  <w:style w:type="character" w:customStyle="1" w:styleId="EndnoteTextChar">
    <w:name w:val="Endnote Text Char"/>
    <w:link w:val="EndnoteText"/>
    <w:rsid w:val="00EF11AE"/>
    <w:rPr>
      <w:rFonts w:ascii="Arial" w:hAnsi="Arial"/>
      <w:sz w:val="16"/>
      <w:lang w:eastAsia="en-US"/>
    </w:rPr>
  </w:style>
  <w:style w:type="character" w:styleId="EndnoteReference">
    <w:name w:val="endnote reference"/>
    <w:rsid w:val="001F554D"/>
    <w:rPr>
      <w:vertAlign w:val="superscript"/>
    </w:rPr>
  </w:style>
  <w:style w:type="paragraph" w:styleId="FootnoteText">
    <w:name w:val="footnote text"/>
    <w:basedOn w:val="Normal"/>
    <w:link w:val="FootnoteTextChar"/>
    <w:rsid w:val="00EF11AE"/>
    <w:pPr>
      <w:spacing w:line="240" w:lineRule="auto"/>
    </w:pPr>
    <w:rPr>
      <w:sz w:val="16"/>
    </w:rPr>
  </w:style>
  <w:style w:type="character" w:customStyle="1" w:styleId="FootnoteTextChar">
    <w:name w:val="Footnote Text Char"/>
    <w:link w:val="FootnoteText"/>
    <w:rsid w:val="00EF11AE"/>
    <w:rPr>
      <w:rFonts w:ascii="Arial" w:hAnsi="Arial"/>
      <w:sz w:val="16"/>
      <w:lang w:eastAsia="en-US"/>
    </w:rPr>
  </w:style>
  <w:style w:type="character" w:styleId="FootnoteReference">
    <w:name w:val="footnote reference"/>
    <w:rsid w:val="001F554D"/>
    <w:rPr>
      <w:vertAlign w:val="superscript"/>
    </w:rPr>
  </w:style>
  <w:style w:type="paragraph" w:styleId="ListNumber">
    <w:name w:val="List Number"/>
    <w:basedOn w:val="Normal"/>
    <w:qFormat/>
    <w:rsid w:val="00B35991"/>
    <w:pPr>
      <w:numPr>
        <w:numId w:val="3"/>
      </w:numPr>
      <w:tabs>
        <w:tab w:val="left" w:pos="5103"/>
      </w:tabs>
      <w:spacing w:before="200" w:after="200"/>
    </w:pPr>
  </w:style>
  <w:style w:type="paragraph" w:styleId="ListNumber2">
    <w:name w:val="List Number 2"/>
    <w:basedOn w:val="ListNumber"/>
    <w:rsid w:val="00B105EF"/>
    <w:pPr>
      <w:numPr>
        <w:ilvl w:val="1"/>
      </w:numPr>
      <w:spacing w:before="0" w:after="0"/>
    </w:pPr>
  </w:style>
  <w:style w:type="paragraph" w:styleId="TableofFigures">
    <w:name w:val="table of figures"/>
    <w:basedOn w:val="Normal"/>
    <w:link w:val="TableofFiguresChar"/>
    <w:uiPriority w:val="99"/>
    <w:rsid w:val="00C70AF0"/>
    <w:pPr>
      <w:tabs>
        <w:tab w:val="left" w:pos="993"/>
        <w:tab w:val="right" w:leader="dot" w:pos="9622"/>
      </w:tabs>
      <w:spacing w:before="60" w:after="80" w:line="240" w:lineRule="auto"/>
      <w:ind w:left="992" w:right="850" w:hanging="992"/>
    </w:pPr>
    <w:rPr>
      <w:noProof/>
      <w:lang w:val="en-US"/>
    </w:rPr>
  </w:style>
  <w:style w:type="numbering" w:customStyle="1" w:styleId="ListBullets">
    <w:name w:val="ListBullets"/>
    <w:uiPriority w:val="99"/>
    <w:rsid w:val="00CA3730"/>
    <w:pPr>
      <w:numPr>
        <w:numId w:val="7"/>
      </w:numPr>
    </w:pPr>
  </w:style>
  <w:style w:type="paragraph" w:styleId="ListBullet2">
    <w:name w:val="List Bullet 2"/>
    <w:basedOn w:val="Normal"/>
    <w:rsid w:val="00D95D24"/>
    <w:pPr>
      <w:numPr>
        <w:ilvl w:val="1"/>
        <w:numId w:val="1"/>
      </w:numPr>
      <w:spacing w:before="60" w:after="60"/>
    </w:pPr>
  </w:style>
  <w:style w:type="paragraph" w:styleId="ListParagraph">
    <w:name w:val="List Paragraph"/>
    <w:basedOn w:val="Normal"/>
    <w:uiPriority w:val="1"/>
    <w:qFormat/>
    <w:rsid w:val="0073401D"/>
    <w:pPr>
      <w:contextualSpacing/>
    </w:pPr>
  </w:style>
  <w:style w:type="paragraph" w:styleId="ListBullet3">
    <w:name w:val="List Bullet 3"/>
    <w:basedOn w:val="Normal"/>
    <w:rsid w:val="00D95D24"/>
    <w:pPr>
      <w:numPr>
        <w:ilvl w:val="2"/>
        <w:numId w:val="1"/>
      </w:numPr>
      <w:spacing w:before="60" w:after="60"/>
    </w:pPr>
  </w:style>
  <w:style w:type="paragraph" w:styleId="ListBullet4">
    <w:name w:val="List Bullet 4"/>
    <w:basedOn w:val="Normal"/>
    <w:rsid w:val="00D95D24"/>
    <w:pPr>
      <w:numPr>
        <w:ilvl w:val="3"/>
        <w:numId w:val="1"/>
      </w:numPr>
      <w:spacing w:before="60" w:after="60"/>
      <w:ind w:left="1429"/>
    </w:pPr>
  </w:style>
  <w:style w:type="paragraph" w:styleId="ListBullet5">
    <w:name w:val="List Bullet 5"/>
    <w:basedOn w:val="Normal"/>
    <w:rsid w:val="00D95D24"/>
    <w:pPr>
      <w:numPr>
        <w:ilvl w:val="4"/>
        <w:numId w:val="1"/>
      </w:numPr>
      <w:spacing w:before="60" w:after="60"/>
      <w:ind w:left="1786"/>
    </w:pPr>
  </w:style>
  <w:style w:type="paragraph" w:styleId="ListNumber3">
    <w:name w:val="List Number 3"/>
    <w:basedOn w:val="Normal"/>
    <w:rsid w:val="00D95D24"/>
    <w:pPr>
      <w:numPr>
        <w:ilvl w:val="2"/>
        <w:numId w:val="3"/>
      </w:numPr>
      <w:spacing w:after="200"/>
    </w:pPr>
  </w:style>
  <w:style w:type="paragraph" w:styleId="ListNumber4">
    <w:name w:val="List Number 4"/>
    <w:basedOn w:val="Normal"/>
    <w:rsid w:val="00D95D24"/>
    <w:pPr>
      <w:numPr>
        <w:ilvl w:val="3"/>
        <w:numId w:val="3"/>
      </w:numPr>
      <w:spacing w:after="200"/>
    </w:pPr>
  </w:style>
  <w:style w:type="numbering" w:customStyle="1" w:styleId="ListNumbers">
    <w:name w:val="ListNumbers"/>
    <w:uiPriority w:val="99"/>
    <w:rsid w:val="00D02C4A"/>
    <w:pPr>
      <w:numPr>
        <w:numId w:val="2"/>
      </w:numPr>
    </w:pPr>
  </w:style>
  <w:style w:type="character" w:customStyle="1" w:styleId="Heading4Char">
    <w:name w:val="Heading 4 Char"/>
    <w:link w:val="Heading4"/>
    <w:uiPriority w:val="1"/>
    <w:rsid w:val="00886795"/>
    <w:rPr>
      <w:b/>
      <w:bCs/>
      <w:szCs w:val="28"/>
      <w:lang w:eastAsia="en-US"/>
    </w:rPr>
  </w:style>
  <w:style w:type="character" w:customStyle="1" w:styleId="Bold">
    <w:name w:val="Bold"/>
    <w:qFormat/>
    <w:rsid w:val="00B37C65"/>
    <w:rPr>
      <w:rFonts w:ascii="Arial" w:hAnsi="Arial"/>
      <w:b/>
    </w:rPr>
  </w:style>
  <w:style w:type="paragraph" w:styleId="TOC2">
    <w:name w:val="toc 2"/>
    <w:basedOn w:val="Normal"/>
    <w:next w:val="Normal"/>
    <w:autoRedefine/>
    <w:uiPriority w:val="39"/>
    <w:rsid w:val="00927FDB"/>
    <w:pPr>
      <w:tabs>
        <w:tab w:val="left" w:pos="851"/>
        <w:tab w:val="right" w:leader="dot" w:pos="9622"/>
      </w:tabs>
      <w:spacing w:before="60" w:after="60" w:line="228" w:lineRule="auto"/>
      <w:ind w:left="284"/>
    </w:pPr>
    <w:rPr>
      <w:color w:val="000000"/>
    </w:rPr>
  </w:style>
  <w:style w:type="paragraph" w:styleId="TOC3">
    <w:name w:val="toc 3"/>
    <w:basedOn w:val="Normal"/>
    <w:next w:val="Normal"/>
    <w:autoRedefine/>
    <w:uiPriority w:val="39"/>
    <w:rsid w:val="00927FDB"/>
    <w:pPr>
      <w:tabs>
        <w:tab w:val="right" w:leader="dot" w:pos="9622"/>
      </w:tabs>
      <w:spacing w:before="60" w:after="60" w:line="228" w:lineRule="auto"/>
      <w:ind w:left="567"/>
    </w:pPr>
    <w:rPr>
      <w:noProof/>
      <w:color w:val="000000"/>
    </w:rPr>
  </w:style>
  <w:style w:type="character" w:styleId="Hyperlink">
    <w:name w:val="Hyperlink"/>
    <w:uiPriority w:val="99"/>
    <w:unhideWhenUsed/>
    <w:rsid w:val="004E1ECE"/>
    <w:rPr>
      <w:color w:val="0000FF"/>
      <w:u w:val="single"/>
    </w:rPr>
  </w:style>
  <w:style w:type="paragraph" w:styleId="TOC4">
    <w:name w:val="toc 4"/>
    <w:basedOn w:val="Normal"/>
    <w:next w:val="Normal"/>
    <w:autoRedefine/>
    <w:uiPriority w:val="39"/>
    <w:rsid w:val="00927FDB"/>
    <w:pPr>
      <w:tabs>
        <w:tab w:val="right" w:leader="dot" w:pos="9621"/>
      </w:tabs>
      <w:spacing w:before="60" w:after="60" w:line="228" w:lineRule="auto"/>
      <w:ind w:left="851"/>
    </w:pPr>
    <w:rPr>
      <w:noProof/>
      <w:color w:val="000000"/>
    </w:rPr>
  </w:style>
  <w:style w:type="character" w:customStyle="1" w:styleId="Heading5Char">
    <w:name w:val="Heading 5 Char"/>
    <w:link w:val="Heading5"/>
    <w:uiPriority w:val="1"/>
    <w:rsid w:val="00886795"/>
    <w:rPr>
      <w:b/>
      <w:bCs/>
      <w:iCs/>
      <w:szCs w:val="26"/>
    </w:rPr>
  </w:style>
  <w:style w:type="character" w:customStyle="1" w:styleId="Heading6Char">
    <w:name w:val="Heading 6 Char"/>
    <w:link w:val="Heading6"/>
    <w:uiPriority w:val="1"/>
    <w:rsid w:val="00675B7B"/>
    <w:rPr>
      <w:b/>
      <w:bCs/>
      <w:szCs w:val="22"/>
      <w:lang w:val="en-AU" w:eastAsia="en-AU"/>
    </w:rPr>
  </w:style>
  <w:style w:type="character" w:customStyle="1" w:styleId="Heading7Char">
    <w:name w:val="Heading 7 Char"/>
    <w:link w:val="Heading7"/>
    <w:uiPriority w:val="1"/>
    <w:rsid w:val="001261B4"/>
    <w:rPr>
      <w:b/>
      <w:lang w:val="en-AU" w:eastAsia="en-AU"/>
    </w:rPr>
  </w:style>
  <w:style w:type="paragraph" w:styleId="TOC5">
    <w:name w:val="toc 5"/>
    <w:basedOn w:val="Normal"/>
    <w:next w:val="Normal"/>
    <w:autoRedefine/>
    <w:uiPriority w:val="39"/>
    <w:rsid w:val="00B50A11"/>
    <w:pPr>
      <w:tabs>
        <w:tab w:val="right" w:leader="dot" w:pos="9621"/>
      </w:tabs>
      <w:spacing w:after="120"/>
      <w:ind w:left="1134"/>
    </w:pPr>
    <w:rPr>
      <w:noProof/>
      <w:color w:val="000000"/>
    </w:rPr>
  </w:style>
  <w:style w:type="paragraph" w:customStyle="1" w:styleId="PullBoxNumber">
    <w:name w:val="Pull Box Number"/>
    <w:basedOn w:val="PullBox"/>
    <w:qFormat/>
    <w:rsid w:val="00D92782"/>
    <w:pPr>
      <w:numPr>
        <w:ilvl w:val="6"/>
        <w:numId w:val="4"/>
      </w:numPr>
      <w:spacing w:after="120"/>
      <w:ind w:left="530"/>
    </w:pPr>
  </w:style>
  <w:style w:type="paragraph" w:styleId="Caption">
    <w:name w:val="caption"/>
    <w:basedOn w:val="Normal"/>
    <w:next w:val="Normal"/>
    <w:qFormat/>
    <w:rsid w:val="003274C1"/>
    <w:pPr>
      <w:keepNext/>
      <w:tabs>
        <w:tab w:val="left" w:pos="993"/>
      </w:tabs>
      <w:spacing w:before="240" w:after="120" w:line="240" w:lineRule="auto"/>
      <w:ind w:left="794" w:hanging="794"/>
    </w:pPr>
    <w:rPr>
      <w:rFonts w:ascii="Arial Bold" w:hAnsi="Arial Bold"/>
      <w:bCs/>
      <w:sz w:val="18"/>
      <w:szCs w:val="18"/>
    </w:rPr>
  </w:style>
  <w:style w:type="paragraph" w:styleId="BodyText">
    <w:name w:val="Body Text"/>
    <w:basedOn w:val="Normal"/>
    <w:link w:val="BodyTextChar"/>
    <w:qFormat/>
    <w:rsid w:val="007A174B"/>
    <w:pPr>
      <w:spacing w:before="200" w:after="200"/>
    </w:pPr>
    <w:rPr>
      <w:rFonts w:eastAsia="Cambria"/>
    </w:rPr>
  </w:style>
  <w:style w:type="character" w:customStyle="1" w:styleId="BodyTextChar">
    <w:name w:val="Body Text Char"/>
    <w:link w:val="BodyText"/>
    <w:rsid w:val="00813624"/>
    <w:rPr>
      <w:rFonts w:eastAsia="Cambria"/>
    </w:rPr>
  </w:style>
  <w:style w:type="character" w:customStyle="1" w:styleId="TableofFiguresChar">
    <w:name w:val="Table of Figures Char"/>
    <w:link w:val="TableofFigures"/>
    <w:uiPriority w:val="99"/>
    <w:rsid w:val="00C70AF0"/>
    <w:rPr>
      <w:noProof/>
      <w:lang w:val="en-US"/>
    </w:rPr>
  </w:style>
  <w:style w:type="character" w:styleId="FollowedHyperlink">
    <w:name w:val="FollowedHyperlink"/>
    <w:uiPriority w:val="99"/>
    <w:semiHidden/>
    <w:unhideWhenUsed/>
    <w:rsid w:val="00BB72AB"/>
    <w:rPr>
      <w:color w:val="800080"/>
      <w:u w:val="single"/>
    </w:rPr>
  </w:style>
  <w:style w:type="paragraph" w:styleId="Title">
    <w:name w:val="Title"/>
    <w:basedOn w:val="Normal"/>
    <w:next w:val="Normal"/>
    <w:link w:val="TitleChar"/>
    <w:uiPriority w:val="99"/>
    <w:rsid w:val="001261B4"/>
    <w:pPr>
      <w:spacing w:line="240" w:lineRule="auto"/>
      <w:contextualSpacing/>
    </w:pPr>
    <w:rPr>
      <w:rFonts w:eastAsia="MS PGothic"/>
      <w:b/>
      <w:sz w:val="52"/>
      <w:szCs w:val="56"/>
    </w:rPr>
  </w:style>
  <w:style w:type="character" w:customStyle="1" w:styleId="TitleChar">
    <w:name w:val="Title Char"/>
    <w:link w:val="Title"/>
    <w:uiPriority w:val="99"/>
    <w:rsid w:val="001261B4"/>
    <w:rPr>
      <w:rFonts w:eastAsia="MS PGothic"/>
      <w:b/>
      <w:sz w:val="52"/>
      <w:szCs w:val="56"/>
      <w:lang w:val="en-AU" w:eastAsia="en-AU"/>
    </w:rPr>
  </w:style>
  <w:style w:type="paragraph" w:customStyle="1" w:styleId="PullBox">
    <w:name w:val="Pull Box"/>
    <w:basedOn w:val="BodyText"/>
    <w:qFormat/>
    <w:rsid w:val="00D92782"/>
    <w:pPr>
      <w:pBdr>
        <w:top w:val="single" w:sz="4" w:space="10" w:color="auto"/>
        <w:left w:val="single" w:sz="4" w:space="8" w:color="auto"/>
        <w:bottom w:val="single" w:sz="4" w:space="10" w:color="auto"/>
        <w:right w:val="single" w:sz="4" w:space="8" w:color="auto"/>
      </w:pBdr>
      <w:ind w:left="170" w:right="170"/>
    </w:pPr>
    <w:rPr>
      <w:lang w:eastAsia="en-US"/>
    </w:rPr>
  </w:style>
  <w:style w:type="paragraph" w:customStyle="1" w:styleId="PullBoxBullet">
    <w:name w:val="Pull Box Bullet"/>
    <w:basedOn w:val="PullBox"/>
    <w:qFormat/>
    <w:rsid w:val="00D623CB"/>
    <w:pPr>
      <w:numPr>
        <w:numId w:val="5"/>
      </w:numPr>
      <w:spacing w:before="0" w:after="60"/>
      <w:ind w:left="527" w:hanging="357"/>
    </w:pPr>
  </w:style>
  <w:style w:type="paragraph" w:customStyle="1" w:styleId="PullBoxHeading">
    <w:name w:val="Pull Box Heading"/>
    <w:basedOn w:val="PullBox"/>
    <w:qFormat/>
    <w:rsid w:val="001261B4"/>
    <w:pPr>
      <w:spacing w:after="80"/>
    </w:pPr>
    <w:rPr>
      <w:b/>
    </w:rPr>
  </w:style>
  <w:style w:type="paragraph" w:styleId="Quote">
    <w:name w:val="Quote"/>
    <w:basedOn w:val="Normal"/>
    <w:next w:val="Normal"/>
    <w:link w:val="QuoteChar"/>
    <w:rsid w:val="00D92782"/>
    <w:pPr>
      <w:spacing w:before="200" w:after="200"/>
      <w:ind w:left="340" w:right="340"/>
    </w:pPr>
    <w:rPr>
      <w:i/>
      <w:iCs/>
    </w:rPr>
  </w:style>
  <w:style w:type="character" w:customStyle="1" w:styleId="QuoteChar">
    <w:name w:val="Quote Char"/>
    <w:link w:val="Quote"/>
    <w:rsid w:val="00D92782"/>
    <w:rPr>
      <w:rFonts w:ascii="Arial" w:hAnsi="Arial"/>
      <w:i/>
      <w:iCs/>
    </w:rPr>
  </w:style>
  <w:style w:type="paragraph" w:customStyle="1" w:styleId="TableBullet">
    <w:name w:val="Table Bullet"/>
    <w:basedOn w:val="Normal"/>
    <w:qFormat/>
    <w:rsid w:val="00965135"/>
    <w:pPr>
      <w:numPr>
        <w:numId w:val="6"/>
      </w:numPr>
      <w:spacing w:before="120" w:after="120" w:line="240" w:lineRule="auto"/>
    </w:pPr>
    <w:rPr>
      <w:rFonts w:eastAsia="Cambria"/>
      <w:szCs w:val="22"/>
      <w:lang w:eastAsia="en-US"/>
    </w:rPr>
  </w:style>
  <w:style w:type="paragraph" w:customStyle="1" w:styleId="TableBullet2">
    <w:name w:val="Table Bullet 2"/>
    <w:basedOn w:val="TableBullet"/>
    <w:qFormat/>
    <w:rsid w:val="00D92782"/>
    <w:pPr>
      <w:numPr>
        <w:ilvl w:val="1"/>
      </w:numPr>
    </w:pPr>
  </w:style>
  <w:style w:type="paragraph" w:customStyle="1" w:styleId="TableBodyText">
    <w:name w:val="Table Body Text"/>
    <w:basedOn w:val="Normal"/>
    <w:link w:val="TableBodyTextChar"/>
    <w:uiPriority w:val="14"/>
    <w:qFormat/>
    <w:rsid w:val="00305B08"/>
    <w:pPr>
      <w:spacing w:before="60" w:after="60" w:line="240" w:lineRule="auto"/>
    </w:pPr>
    <w:rPr>
      <w:rFonts w:eastAsia="Cambria"/>
      <w:szCs w:val="22"/>
    </w:rPr>
  </w:style>
  <w:style w:type="table" w:styleId="PlainTable4">
    <w:name w:val="Plain Table 4"/>
    <w:basedOn w:val="TableNormal"/>
    <w:uiPriority w:val="44"/>
    <w:rsid w:val="0064673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1Light">
    <w:name w:val="Grid Table 1 Light"/>
    <w:basedOn w:val="TableNormal"/>
    <w:uiPriority w:val="46"/>
    <w:rsid w:val="0064673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Subtitle">
    <w:name w:val="Subtitle"/>
    <w:basedOn w:val="Normal"/>
    <w:next w:val="Normal"/>
    <w:link w:val="SubtitleChar"/>
    <w:rsid w:val="00CF5685"/>
    <w:pPr>
      <w:numPr>
        <w:ilvl w:val="1"/>
      </w:numPr>
      <w:spacing w:before="240" w:after="120" w:line="240" w:lineRule="auto"/>
    </w:pPr>
    <w:rPr>
      <w:rFonts w:eastAsia="MS PGothic"/>
      <w:sz w:val="40"/>
      <w:szCs w:val="22"/>
    </w:rPr>
  </w:style>
  <w:style w:type="character" w:customStyle="1" w:styleId="SubtitleChar">
    <w:name w:val="Subtitle Char"/>
    <w:link w:val="Subtitle"/>
    <w:rsid w:val="00CF5685"/>
    <w:rPr>
      <w:rFonts w:eastAsia="MS PGothic"/>
      <w:sz w:val="40"/>
      <w:szCs w:val="22"/>
    </w:rPr>
  </w:style>
  <w:style w:type="character" w:styleId="CommentReference">
    <w:name w:val="annotation reference"/>
    <w:semiHidden/>
    <w:unhideWhenUsed/>
    <w:rsid w:val="00EF6990"/>
    <w:rPr>
      <w:sz w:val="16"/>
      <w:szCs w:val="16"/>
    </w:rPr>
  </w:style>
  <w:style w:type="paragraph" w:styleId="CommentText">
    <w:name w:val="annotation text"/>
    <w:basedOn w:val="Normal"/>
    <w:link w:val="CommentTextChar"/>
    <w:semiHidden/>
    <w:unhideWhenUsed/>
    <w:rsid w:val="00EF6990"/>
    <w:pPr>
      <w:spacing w:line="240" w:lineRule="auto"/>
    </w:pPr>
  </w:style>
  <w:style w:type="character" w:customStyle="1" w:styleId="CommentTextChar">
    <w:name w:val="Comment Text Char"/>
    <w:basedOn w:val="DefaultParagraphFont"/>
    <w:link w:val="CommentText"/>
    <w:semiHidden/>
    <w:rsid w:val="00EF6990"/>
  </w:style>
  <w:style w:type="paragraph" w:styleId="CommentSubject">
    <w:name w:val="annotation subject"/>
    <w:basedOn w:val="CommentText"/>
    <w:next w:val="CommentText"/>
    <w:link w:val="CommentSubjectChar"/>
    <w:semiHidden/>
    <w:unhideWhenUsed/>
    <w:rsid w:val="00EF6990"/>
    <w:rPr>
      <w:b/>
      <w:bCs/>
    </w:rPr>
  </w:style>
  <w:style w:type="character" w:customStyle="1" w:styleId="CommentSubjectChar">
    <w:name w:val="Comment Subject Char"/>
    <w:link w:val="CommentSubject"/>
    <w:semiHidden/>
    <w:rsid w:val="00EF6990"/>
    <w:rPr>
      <w:b/>
      <w:bCs/>
    </w:rPr>
  </w:style>
  <w:style w:type="character" w:customStyle="1" w:styleId="TableBodyTextChar">
    <w:name w:val="Table Body Text Char"/>
    <w:link w:val="TableBodyText"/>
    <w:uiPriority w:val="14"/>
    <w:rsid w:val="00305B08"/>
    <w:rPr>
      <w:rFonts w:eastAsia="Cambria"/>
      <w:szCs w:val="22"/>
    </w:rPr>
  </w:style>
  <w:style w:type="paragraph" w:styleId="TOC6">
    <w:name w:val="toc 6"/>
    <w:basedOn w:val="Normal"/>
    <w:next w:val="Normal"/>
    <w:autoRedefine/>
    <w:uiPriority w:val="39"/>
    <w:unhideWhenUsed/>
    <w:rsid w:val="00B50A11"/>
    <w:pPr>
      <w:tabs>
        <w:tab w:val="right" w:leader="dot" w:pos="9621"/>
      </w:tabs>
      <w:spacing w:after="100" w:line="259" w:lineRule="auto"/>
      <w:ind w:left="1417"/>
    </w:pPr>
    <w:rPr>
      <w:rFonts w:eastAsia="MS PGothic"/>
      <w:noProof/>
      <w:color w:val="000000"/>
      <w:sz w:val="18"/>
      <w:szCs w:val="18"/>
    </w:rPr>
  </w:style>
  <w:style w:type="paragraph" w:styleId="TOC7">
    <w:name w:val="toc 7"/>
    <w:basedOn w:val="Normal"/>
    <w:next w:val="Normal"/>
    <w:autoRedefine/>
    <w:uiPriority w:val="39"/>
    <w:unhideWhenUsed/>
    <w:rsid w:val="00B50A11"/>
    <w:pPr>
      <w:spacing w:after="100" w:line="259" w:lineRule="auto"/>
      <w:ind w:left="1320"/>
    </w:pPr>
    <w:rPr>
      <w:rFonts w:eastAsia="MS PGothic"/>
      <w:color w:val="000000"/>
      <w:sz w:val="22"/>
      <w:szCs w:val="22"/>
    </w:rPr>
  </w:style>
  <w:style w:type="paragraph" w:styleId="TOC8">
    <w:name w:val="toc 8"/>
    <w:basedOn w:val="Normal"/>
    <w:next w:val="Normal"/>
    <w:autoRedefine/>
    <w:uiPriority w:val="39"/>
    <w:unhideWhenUsed/>
    <w:rsid w:val="005E078B"/>
    <w:pPr>
      <w:spacing w:after="100" w:line="259" w:lineRule="auto"/>
      <w:ind w:left="1540"/>
    </w:pPr>
    <w:rPr>
      <w:rFonts w:eastAsia="MS PGothic"/>
      <w:sz w:val="22"/>
      <w:szCs w:val="22"/>
    </w:rPr>
  </w:style>
  <w:style w:type="paragraph" w:styleId="TOC9">
    <w:name w:val="toc 9"/>
    <w:basedOn w:val="Normal"/>
    <w:next w:val="Normal"/>
    <w:autoRedefine/>
    <w:uiPriority w:val="39"/>
    <w:unhideWhenUsed/>
    <w:rsid w:val="005E078B"/>
    <w:pPr>
      <w:spacing w:after="100" w:line="259" w:lineRule="auto"/>
      <w:ind w:left="1760"/>
    </w:pPr>
    <w:rPr>
      <w:rFonts w:eastAsia="MS PGothic"/>
      <w:sz w:val="22"/>
      <w:szCs w:val="22"/>
    </w:rPr>
  </w:style>
  <w:style w:type="paragraph" w:customStyle="1" w:styleId="GreyBox">
    <w:name w:val="Grey Box"/>
    <w:basedOn w:val="PullBox"/>
    <w:qFormat/>
    <w:rsid w:val="00A2352F"/>
    <w:pPr>
      <w:pBdr>
        <w:top w:val="single" w:sz="4" w:space="4" w:color="F2F2F2"/>
        <w:left w:val="single" w:sz="4" w:space="4" w:color="F2F2F2"/>
        <w:bottom w:val="single" w:sz="4" w:space="4" w:color="F2F2F2"/>
        <w:right w:val="single" w:sz="4" w:space="4" w:color="F2F2F2"/>
      </w:pBdr>
      <w:shd w:val="clear" w:color="auto" w:fill="F2F2F2"/>
      <w:ind w:left="57"/>
    </w:pPr>
  </w:style>
  <w:style w:type="paragraph" w:customStyle="1" w:styleId="TableParagraph">
    <w:name w:val="Table Paragraph"/>
    <w:basedOn w:val="Normal"/>
    <w:uiPriority w:val="1"/>
    <w:qFormat/>
    <w:rsid w:val="004446AD"/>
    <w:pPr>
      <w:widowControl w:val="0"/>
      <w:spacing w:line="240" w:lineRule="auto"/>
    </w:pPr>
    <w:rPr>
      <w:rFonts w:eastAsia="Arial"/>
      <w:sz w:val="22"/>
      <w:szCs w:val="22"/>
      <w:lang w:val="en-US" w:eastAsia="en-US"/>
    </w:rPr>
  </w:style>
  <w:style w:type="table" w:customStyle="1" w:styleId="Style1">
    <w:name w:val="Style1"/>
    <w:basedOn w:val="TableNormal"/>
    <w:uiPriority w:val="99"/>
    <w:rsid w:val="00FB4B64"/>
    <w:pPr>
      <w:spacing w:before="20" w:after="20"/>
      <w:jc w:val="right"/>
    </w:pPr>
    <w:tblPr>
      <w:tblCellMar>
        <w:top w:w="45" w:type="dxa"/>
        <w:left w:w="28" w:type="dxa"/>
        <w:bottom w:w="45" w:type="dxa"/>
        <w:right w:w="28" w:type="dxa"/>
      </w:tblCellMar>
    </w:tblPr>
    <w:tcPr>
      <w:vAlign w:val="center"/>
    </w:tcPr>
    <w:tblStylePr w:type="firstRow">
      <w:rPr>
        <w:rFonts w:ascii="Arial" w:hAnsi="Arial"/>
        <w:b/>
      </w:rPr>
      <w:tblPr/>
      <w:trPr>
        <w:tblHeader/>
      </w:trPr>
      <w:tcPr>
        <w:tcBorders>
          <w:top w:val="nil"/>
          <w:left w:val="nil"/>
          <w:bottom w:val="single" w:sz="4" w:space="0" w:color="auto"/>
          <w:right w:val="nil"/>
          <w:insideH w:val="nil"/>
          <w:insideV w:val="nil"/>
          <w:tl2br w:val="nil"/>
          <w:tr2bl w:val="nil"/>
        </w:tcBorders>
      </w:tcPr>
    </w:tblStylePr>
    <w:tblStylePr w:type="firstCol">
      <w:pPr>
        <w:jc w:val="left"/>
      </w:pPr>
    </w:tblStylePr>
  </w:style>
  <w:style w:type="paragraph" w:styleId="NoSpacing">
    <w:name w:val="No Spacing"/>
    <w:rsid w:val="005F1419"/>
  </w:style>
  <w:style w:type="paragraph" w:customStyle="1" w:styleId="HangingIndent">
    <w:name w:val="Hanging Indent"/>
    <w:basedOn w:val="Normal"/>
    <w:qFormat/>
    <w:rsid w:val="00B33930"/>
    <w:pPr>
      <w:tabs>
        <w:tab w:val="left" w:pos="284"/>
      </w:tabs>
      <w:ind w:left="284" w:hanging="284"/>
    </w:pPr>
    <w:rPr>
      <w:rFonts w:eastAsia="Cambria"/>
      <w:szCs w:val="22"/>
    </w:rPr>
  </w:style>
  <w:style w:type="paragraph" w:styleId="ListContinue">
    <w:name w:val="List Continue"/>
    <w:basedOn w:val="Normal"/>
    <w:rsid w:val="008A45D4"/>
    <w:pPr>
      <w:spacing w:after="120"/>
      <w:ind w:left="340"/>
    </w:pPr>
  </w:style>
  <w:style w:type="paragraph" w:styleId="Index1">
    <w:name w:val="index 1"/>
    <w:basedOn w:val="Normal"/>
    <w:next w:val="Normal"/>
    <w:autoRedefine/>
    <w:uiPriority w:val="99"/>
    <w:semiHidden/>
    <w:unhideWhenUsed/>
    <w:rsid w:val="00B45345"/>
    <w:pPr>
      <w:spacing w:line="240" w:lineRule="auto"/>
      <w:ind w:left="200" w:hanging="200"/>
    </w:pPr>
  </w:style>
  <w:style w:type="table" w:styleId="PlainTable2">
    <w:name w:val="Plain Table 2"/>
    <w:basedOn w:val="TableNormal"/>
    <w:uiPriority w:val="42"/>
    <w:rsid w:val="002269E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8Char">
    <w:name w:val="Heading 8 Char"/>
    <w:link w:val="Heading8"/>
    <w:uiPriority w:val="1"/>
    <w:rsid w:val="00B75A8E"/>
    <w:rPr>
      <w:rFonts w:ascii="Calibri" w:eastAsia="Calibri" w:hAnsi="Calibri"/>
      <w:sz w:val="52"/>
      <w:szCs w:val="52"/>
      <w:lang w:val="en-US" w:eastAsia="en-US"/>
    </w:rPr>
  </w:style>
  <w:style w:type="character" w:customStyle="1" w:styleId="Heading9Char">
    <w:name w:val="Heading 9 Char"/>
    <w:link w:val="Heading9"/>
    <w:uiPriority w:val="1"/>
    <w:rsid w:val="00B75A8E"/>
    <w:rPr>
      <w:rFonts w:ascii="Calibri" w:eastAsia="Calibri" w:hAnsi="Calibri"/>
      <w:b/>
      <w:bCs/>
      <w:sz w:val="50"/>
      <w:szCs w:val="50"/>
      <w:lang w:val="en-US" w:eastAsia="en-US"/>
    </w:rPr>
  </w:style>
  <w:style w:type="character" w:customStyle="1" w:styleId="HyperlinkFaux">
    <w:name w:val="Hyperlink Faux"/>
    <w:uiPriority w:val="1"/>
    <w:qFormat/>
    <w:rsid w:val="00B1710D"/>
    <w:rPr>
      <w:rFonts w:eastAsia="Cambria"/>
      <w:color w:val="0000FF"/>
      <w:sz w:val="20"/>
      <w:szCs w:val="22"/>
      <w:u w:val="single"/>
    </w:rPr>
  </w:style>
  <w:style w:type="character" w:customStyle="1" w:styleId="UnresolvedMention1">
    <w:name w:val="Unresolved Mention1"/>
    <w:uiPriority w:val="99"/>
    <w:semiHidden/>
    <w:unhideWhenUsed/>
    <w:rsid w:val="0020600A"/>
    <w:rPr>
      <w:color w:val="605E5C"/>
      <w:shd w:val="clear" w:color="auto" w:fill="E1DFDD"/>
    </w:rPr>
  </w:style>
  <w:style w:type="table" w:styleId="TableProfessional">
    <w:name w:val="Table Professional"/>
    <w:basedOn w:val="TableNormal"/>
    <w:rsid w:val="006C50AC"/>
    <w:pPr>
      <w:spacing w:before="20" w:after="20"/>
    </w:pPr>
    <w:rPr>
      <w:sz w:val="18"/>
    </w:rPr>
    <w:tblPr>
      <w:tblBorders>
        <w:top w:val="single" w:sz="6" w:space="0" w:color="000000"/>
        <w:bottom w:val="single" w:sz="6" w:space="0" w:color="000000"/>
        <w:insideH w:val="single" w:sz="6" w:space="0" w:color="000000"/>
      </w:tblBorders>
      <w:tblCellMar>
        <w:top w:w="45" w:type="dxa"/>
        <w:bottom w:w="28" w:type="dxa"/>
      </w:tblCellMar>
    </w:tblPr>
    <w:tcPr>
      <w:shd w:val="clear" w:color="auto" w:fill="auto"/>
    </w:tcPr>
    <w:tblStylePr w:type="firstRow">
      <w:rPr>
        <w:b/>
        <w:bCs/>
        <w:color w:val="auto"/>
      </w:rPr>
      <w:tblPr/>
      <w:trPr>
        <w:tblHeader/>
      </w:trPr>
      <w:tcPr>
        <w:shd w:val="clear" w:color="auto" w:fill="F2F2F2" w:themeFill="background1" w:themeFillShade="F2"/>
      </w:tcPr>
    </w:tblStylePr>
  </w:style>
  <w:style w:type="paragraph" w:customStyle="1" w:styleId="TableBodyTextBold">
    <w:name w:val="Table Body Text Bold"/>
    <w:basedOn w:val="TableBodyText"/>
    <w:qFormat/>
    <w:rsid w:val="00313EF1"/>
    <w:rPr>
      <w:rFonts w:ascii="Arial Bold" w:hAnsi="Arial Bold"/>
      <w:sz w:val="18"/>
    </w:rPr>
  </w:style>
  <w:style w:type="paragraph" w:customStyle="1" w:styleId="TableListNumber">
    <w:name w:val="Table List Number"/>
    <w:basedOn w:val="TableBodyText"/>
    <w:qFormat/>
    <w:rsid w:val="0004105E"/>
    <w:pPr>
      <w:numPr>
        <w:numId w:val="13"/>
      </w:numPr>
    </w:pPr>
    <w:rPr>
      <w:sz w:val="18"/>
    </w:rPr>
  </w:style>
  <w:style w:type="paragraph" w:styleId="ListContinue2">
    <w:name w:val="List Continue 2"/>
    <w:basedOn w:val="Normal"/>
    <w:rsid w:val="0004697A"/>
    <w:pPr>
      <w:spacing w:before="120" w:after="120"/>
      <w:ind w:left="714"/>
    </w:pPr>
  </w:style>
  <w:style w:type="paragraph" w:customStyle="1" w:styleId="BodyTextBold">
    <w:name w:val="Body Text Bold"/>
    <w:basedOn w:val="BodyText"/>
    <w:qFormat/>
    <w:rsid w:val="00C37C66"/>
    <w:rPr>
      <w:b/>
    </w:rPr>
  </w:style>
  <w:style w:type="character" w:customStyle="1" w:styleId="UnresolvedMention2">
    <w:name w:val="Unresolved Mention2"/>
    <w:basedOn w:val="DefaultParagraphFont"/>
    <w:uiPriority w:val="99"/>
    <w:semiHidden/>
    <w:unhideWhenUsed/>
    <w:rsid w:val="00147B6A"/>
    <w:rPr>
      <w:color w:val="605E5C"/>
      <w:shd w:val="clear" w:color="auto" w:fill="E1DFDD"/>
    </w:rPr>
  </w:style>
  <w:style w:type="character" w:customStyle="1" w:styleId="ItalicText">
    <w:name w:val="Italic Text"/>
    <w:basedOn w:val="DefaultParagraphFont"/>
    <w:uiPriority w:val="1"/>
    <w:qFormat/>
    <w:rsid w:val="00257C0E"/>
    <w:rPr>
      <w:i/>
    </w:rPr>
  </w:style>
  <w:style w:type="paragraph" w:customStyle="1" w:styleId="PullBoxBullet2">
    <w:name w:val="Pull Box Bullet 2"/>
    <w:basedOn w:val="PullBoxBullet"/>
    <w:qFormat/>
    <w:rsid w:val="00200513"/>
  </w:style>
  <w:style w:type="character" w:styleId="UnresolvedMention">
    <w:name w:val="Unresolved Mention"/>
    <w:basedOn w:val="DefaultParagraphFont"/>
    <w:uiPriority w:val="99"/>
    <w:semiHidden/>
    <w:unhideWhenUsed/>
    <w:rsid w:val="0019542E"/>
    <w:rPr>
      <w:color w:val="605E5C"/>
      <w:shd w:val="clear" w:color="auto" w:fill="E1DFDD"/>
    </w:rPr>
  </w:style>
  <w:style w:type="paragraph" w:customStyle="1" w:styleId="PullBox2">
    <w:name w:val="Pull Box 2"/>
    <w:basedOn w:val="PullBox"/>
    <w:qFormat/>
    <w:rsid w:val="002058A0"/>
    <w:pPr>
      <w:pBdr>
        <w:top w:val="single" w:sz="4" w:space="12" w:color="auto"/>
        <w:bottom w:val="single" w:sz="4" w:space="12" w:color="auto"/>
      </w:pBdr>
    </w:pPr>
  </w:style>
  <w:style w:type="paragraph" w:customStyle="1" w:styleId="PullBoxHeading2">
    <w:name w:val="Pull Box Heading 2"/>
    <w:basedOn w:val="PullBoxHeading"/>
    <w:qFormat/>
    <w:rsid w:val="002058A0"/>
    <w:pPr>
      <w:pBdr>
        <w:top w:val="single" w:sz="4" w:space="12" w:color="auto"/>
        <w:bottom w:val="single" w:sz="4" w:space="12" w:color="auto"/>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hyperlink" Target="https://www.melbournewater.com.au/water-data-and-education/waterway-diversions/water-use-compliance" TargetMode="External"/><Relationship Id="rId21" Type="http://schemas.openxmlformats.org/officeDocument/2006/relationships/image" Target="media/image7.png"/><Relationship Id="rId34" Type="http://schemas.openxmlformats.org/officeDocument/2006/relationships/hyperlink" Target="https://www.melbournewater.com.au/"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14.png"/><Relationship Id="rId41" Type="http://schemas.openxmlformats.org/officeDocument/2006/relationships/hyperlink" Target="https://www.melbournewater.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hyperlink" Target="https://www.melbournewater.com.au/water-data-and-education/waterway-diversions/water-use-compliance" TargetMode="External"/><Relationship Id="rId40" Type="http://schemas.openxmlformats.org/officeDocument/2006/relationships/hyperlink" Target="https://www.melbournewater.com.au/water-data-and-education/waterway-diversions/restriction-and-ban-status" TargetMode="External"/><Relationship Id="rId5" Type="http://schemas.openxmlformats.org/officeDocument/2006/relationships/numbering" Target="numbering.xml"/><Relationship Id="rId15" Type="http://schemas.openxmlformats.org/officeDocument/2006/relationships/hyperlink" Target="mailto:enquiry@melbournewater.com.au" TargetMode="Externa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hyperlink" Target="https://www.ibac.vic.gov.au/"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lbournewater.com.au/"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hyperlink" Target="https://www.legislation.vic.gov.au/" TargetMode="External"/><Relationship Id="rId35" Type="http://schemas.openxmlformats.org/officeDocument/2006/relationships/hyperlink" Target="https://www.melbournewater.com.au/"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healthywaterways.com.au/" TargetMode="External"/><Relationship Id="rId25" Type="http://schemas.openxmlformats.org/officeDocument/2006/relationships/hyperlink" Target="https://healthywaterways.com.au/" TargetMode="External"/><Relationship Id="rId33" Type="http://schemas.openxmlformats.org/officeDocument/2006/relationships/hyperlink" Target="https://www.melbournewater.com.au/" TargetMode="External"/><Relationship Id="rId38" Type="http://schemas.openxmlformats.org/officeDocument/2006/relationships/hyperlink" Target="https://www.melbournewater.com.au/water-data-and-education/waterway-diversions/metering-pump-and-offtake-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13" ma:contentTypeDescription="Create a new document." ma:contentTypeScope="" ma:versionID="dcf633b0ca9661fb4fa2b1ee65652a1e">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da1f6256720e9019c7a0e06c3d167b1c"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DE968-C305-46C3-87AF-A02BDF573208}">
  <ds:schemaRefs>
    <ds:schemaRef ds:uri="http://schemas.openxmlformats.org/officeDocument/2006/bibliography"/>
  </ds:schemaRefs>
</ds:datastoreItem>
</file>

<file path=customXml/itemProps2.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3.xml><?xml version="1.0" encoding="utf-8"?>
<ds:datastoreItem xmlns:ds="http://schemas.openxmlformats.org/officeDocument/2006/customXml" ds:itemID="{70E2EAEC-D4EA-4A55-A8AD-A58881356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9A4FF7-A4EF-4CDB-86CD-0C907FDF43F8}">
  <ds:schemaRefs>
    <ds:schemaRef ds:uri="http://purl.org/dc/terms/"/>
    <ds:schemaRef ds:uri="73d83999-3925-4a8c-8d71-3418e815230e"/>
    <ds:schemaRef ds:uri="http://www.w3.org/XML/1998/namespace"/>
    <ds:schemaRef ds:uri="http://schemas.microsoft.com/office/infopath/2007/PartnerControls"/>
    <ds:schemaRef ds:uri="14b199b6-5bb1-471a-bba6-9fa51ea13b5a"/>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208</Pages>
  <Words>76532</Words>
  <Characters>436234</Characters>
  <Application>Microsoft Office Word</Application>
  <DocSecurity>0</DocSecurity>
  <Lines>3635</Lines>
  <Paragraphs>1023</Paragraphs>
  <ScaleCrop>false</ScaleCrop>
  <HeadingPairs>
    <vt:vector size="2" baseType="variant">
      <vt:variant>
        <vt:lpstr>Title</vt:lpstr>
      </vt:variant>
      <vt:variant>
        <vt:i4>1</vt:i4>
      </vt:variant>
    </vt:vector>
  </HeadingPairs>
  <TitlesOfParts>
    <vt:vector size="1" baseType="lpstr">
      <vt:lpstr>Melbourne Water Annual Report 2020-21</vt:lpstr>
    </vt:vector>
  </TitlesOfParts>
  <LinksUpToDate>false</LinksUpToDate>
  <CharactersWithSpaces>511743</CharactersWithSpaces>
  <SharedDoc>false</SharedDoc>
  <HLinks>
    <vt:vector size="1968" baseType="variant">
      <vt:variant>
        <vt:i4>6619175</vt:i4>
      </vt:variant>
      <vt:variant>
        <vt:i4>2826</vt:i4>
      </vt:variant>
      <vt:variant>
        <vt:i4>0</vt:i4>
      </vt:variant>
      <vt:variant>
        <vt:i4>5</vt:i4>
      </vt:variant>
      <vt:variant>
        <vt:lpwstr>https://www.melbournewater.com.au/</vt:lpwstr>
      </vt:variant>
      <vt:variant>
        <vt:lpwstr/>
      </vt:variant>
      <vt:variant>
        <vt:i4>6619175</vt:i4>
      </vt:variant>
      <vt:variant>
        <vt:i4>2679</vt:i4>
      </vt:variant>
      <vt:variant>
        <vt:i4>0</vt:i4>
      </vt:variant>
      <vt:variant>
        <vt:i4>5</vt:i4>
      </vt:variant>
      <vt:variant>
        <vt:lpwstr>https://www.melbournewater.com.au/</vt:lpwstr>
      </vt:variant>
      <vt:variant>
        <vt:lpwstr/>
      </vt:variant>
      <vt:variant>
        <vt:i4>5111862</vt:i4>
      </vt:variant>
      <vt:variant>
        <vt:i4>2064</vt:i4>
      </vt:variant>
      <vt:variant>
        <vt:i4>0</vt:i4>
      </vt:variant>
      <vt:variant>
        <vt:i4>5</vt:i4>
      </vt:variant>
      <vt:variant>
        <vt:lpwstr/>
      </vt:variant>
      <vt:variant>
        <vt:lpwstr>NoteAppCBE_2</vt:lpwstr>
      </vt:variant>
      <vt:variant>
        <vt:i4>2949204</vt:i4>
      </vt:variant>
      <vt:variant>
        <vt:i4>2061</vt:i4>
      </vt:variant>
      <vt:variant>
        <vt:i4>0</vt:i4>
      </vt:variant>
      <vt:variant>
        <vt:i4>5</vt:i4>
      </vt:variant>
      <vt:variant>
        <vt:lpwstr/>
      </vt:variant>
      <vt:variant>
        <vt:lpwstr>NoteAppC_4</vt:lpwstr>
      </vt:variant>
      <vt:variant>
        <vt:i4>7995476</vt:i4>
      </vt:variant>
      <vt:variant>
        <vt:i4>2058</vt:i4>
      </vt:variant>
      <vt:variant>
        <vt:i4>0</vt:i4>
      </vt:variant>
      <vt:variant>
        <vt:i4>5</vt:i4>
      </vt:variant>
      <vt:variant>
        <vt:lpwstr/>
      </vt:variant>
      <vt:variant>
        <vt:lpwstr>NoteAppC_C</vt:lpwstr>
      </vt:variant>
      <vt:variant>
        <vt:i4>7995476</vt:i4>
      </vt:variant>
      <vt:variant>
        <vt:i4>2055</vt:i4>
      </vt:variant>
      <vt:variant>
        <vt:i4>0</vt:i4>
      </vt:variant>
      <vt:variant>
        <vt:i4>5</vt:i4>
      </vt:variant>
      <vt:variant>
        <vt:lpwstr/>
      </vt:variant>
      <vt:variant>
        <vt:lpwstr>NoteAppC_C</vt:lpwstr>
      </vt:variant>
      <vt:variant>
        <vt:i4>7995476</vt:i4>
      </vt:variant>
      <vt:variant>
        <vt:i4>2052</vt:i4>
      </vt:variant>
      <vt:variant>
        <vt:i4>0</vt:i4>
      </vt:variant>
      <vt:variant>
        <vt:i4>5</vt:i4>
      </vt:variant>
      <vt:variant>
        <vt:lpwstr/>
      </vt:variant>
      <vt:variant>
        <vt:lpwstr>NoteAppC_C</vt:lpwstr>
      </vt:variant>
      <vt:variant>
        <vt:i4>7995476</vt:i4>
      </vt:variant>
      <vt:variant>
        <vt:i4>2049</vt:i4>
      </vt:variant>
      <vt:variant>
        <vt:i4>0</vt:i4>
      </vt:variant>
      <vt:variant>
        <vt:i4>5</vt:i4>
      </vt:variant>
      <vt:variant>
        <vt:lpwstr/>
      </vt:variant>
      <vt:variant>
        <vt:lpwstr>NoteAppC_C</vt:lpwstr>
      </vt:variant>
      <vt:variant>
        <vt:i4>2621524</vt:i4>
      </vt:variant>
      <vt:variant>
        <vt:i4>2046</vt:i4>
      </vt:variant>
      <vt:variant>
        <vt:i4>0</vt:i4>
      </vt:variant>
      <vt:variant>
        <vt:i4>5</vt:i4>
      </vt:variant>
      <vt:variant>
        <vt:lpwstr/>
      </vt:variant>
      <vt:variant>
        <vt:lpwstr>NoteAppC_11</vt:lpwstr>
      </vt:variant>
      <vt:variant>
        <vt:i4>2621524</vt:i4>
      </vt:variant>
      <vt:variant>
        <vt:i4>2043</vt:i4>
      </vt:variant>
      <vt:variant>
        <vt:i4>0</vt:i4>
      </vt:variant>
      <vt:variant>
        <vt:i4>5</vt:i4>
      </vt:variant>
      <vt:variant>
        <vt:lpwstr/>
      </vt:variant>
      <vt:variant>
        <vt:lpwstr>NoteAppC_10</vt:lpwstr>
      </vt:variant>
      <vt:variant>
        <vt:i4>8061012</vt:i4>
      </vt:variant>
      <vt:variant>
        <vt:i4>2040</vt:i4>
      </vt:variant>
      <vt:variant>
        <vt:i4>0</vt:i4>
      </vt:variant>
      <vt:variant>
        <vt:i4>5</vt:i4>
      </vt:variant>
      <vt:variant>
        <vt:lpwstr/>
      </vt:variant>
      <vt:variant>
        <vt:lpwstr>NoteAppC_B</vt:lpwstr>
      </vt:variant>
      <vt:variant>
        <vt:i4>2162772</vt:i4>
      </vt:variant>
      <vt:variant>
        <vt:i4>2037</vt:i4>
      </vt:variant>
      <vt:variant>
        <vt:i4>0</vt:i4>
      </vt:variant>
      <vt:variant>
        <vt:i4>5</vt:i4>
      </vt:variant>
      <vt:variant>
        <vt:lpwstr/>
      </vt:variant>
      <vt:variant>
        <vt:lpwstr>NoteAppC_8</vt:lpwstr>
      </vt:variant>
      <vt:variant>
        <vt:i4>8061012</vt:i4>
      </vt:variant>
      <vt:variant>
        <vt:i4>2034</vt:i4>
      </vt:variant>
      <vt:variant>
        <vt:i4>0</vt:i4>
      </vt:variant>
      <vt:variant>
        <vt:i4>5</vt:i4>
      </vt:variant>
      <vt:variant>
        <vt:lpwstr/>
      </vt:variant>
      <vt:variant>
        <vt:lpwstr>NoteAppC_B</vt:lpwstr>
      </vt:variant>
      <vt:variant>
        <vt:i4>3080276</vt:i4>
      </vt:variant>
      <vt:variant>
        <vt:i4>2031</vt:i4>
      </vt:variant>
      <vt:variant>
        <vt:i4>0</vt:i4>
      </vt:variant>
      <vt:variant>
        <vt:i4>5</vt:i4>
      </vt:variant>
      <vt:variant>
        <vt:lpwstr/>
      </vt:variant>
      <vt:variant>
        <vt:lpwstr>NoteAppC_6</vt:lpwstr>
      </vt:variant>
      <vt:variant>
        <vt:i4>8061012</vt:i4>
      </vt:variant>
      <vt:variant>
        <vt:i4>2028</vt:i4>
      </vt:variant>
      <vt:variant>
        <vt:i4>0</vt:i4>
      </vt:variant>
      <vt:variant>
        <vt:i4>5</vt:i4>
      </vt:variant>
      <vt:variant>
        <vt:lpwstr/>
      </vt:variant>
      <vt:variant>
        <vt:lpwstr>NoteAppC_B</vt:lpwstr>
      </vt:variant>
      <vt:variant>
        <vt:i4>2752596</vt:i4>
      </vt:variant>
      <vt:variant>
        <vt:i4>2025</vt:i4>
      </vt:variant>
      <vt:variant>
        <vt:i4>0</vt:i4>
      </vt:variant>
      <vt:variant>
        <vt:i4>5</vt:i4>
      </vt:variant>
      <vt:variant>
        <vt:lpwstr/>
      </vt:variant>
      <vt:variant>
        <vt:lpwstr>NoteAppC_3</vt:lpwstr>
      </vt:variant>
      <vt:variant>
        <vt:i4>8061012</vt:i4>
      </vt:variant>
      <vt:variant>
        <vt:i4>2022</vt:i4>
      </vt:variant>
      <vt:variant>
        <vt:i4>0</vt:i4>
      </vt:variant>
      <vt:variant>
        <vt:i4>5</vt:i4>
      </vt:variant>
      <vt:variant>
        <vt:lpwstr/>
      </vt:variant>
      <vt:variant>
        <vt:lpwstr>NoteAppC_B</vt:lpwstr>
      </vt:variant>
      <vt:variant>
        <vt:i4>2621524</vt:i4>
      </vt:variant>
      <vt:variant>
        <vt:i4>2019</vt:i4>
      </vt:variant>
      <vt:variant>
        <vt:i4>0</vt:i4>
      </vt:variant>
      <vt:variant>
        <vt:i4>5</vt:i4>
      </vt:variant>
      <vt:variant>
        <vt:lpwstr/>
      </vt:variant>
      <vt:variant>
        <vt:lpwstr>NoteAppC_1</vt:lpwstr>
      </vt:variant>
      <vt:variant>
        <vt:i4>7864404</vt:i4>
      </vt:variant>
      <vt:variant>
        <vt:i4>2016</vt:i4>
      </vt:variant>
      <vt:variant>
        <vt:i4>0</vt:i4>
      </vt:variant>
      <vt:variant>
        <vt:i4>5</vt:i4>
      </vt:variant>
      <vt:variant>
        <vt:lpwstr/>
      </vt:variant>
      <vt:variant>
        <vt:lpwstr>NoteAppC_A</vt:lpwstr>
      </vt:variant>
      <vt:variant>
        <vt:i4>7864404</vt:i4>
      </vt:variant>
      <vt:variant>
        <vt:i4>2013</vt:i4>
      </vt:variant>
      <vt:variant>
        <vt:i4>0</vt:i4>
      </vt:variant>
      <vt:variant>
        <vt:i4>5</vt:i4>
      </vt:variant>
      <vt:variant>
        <vt:lpwstr/>
      </vt:variant>
      <vt:variant>
        <vt:lpwstr>NoteAppC_A</vt:lpwstr>
      </vt:variant>
      <vt:variant>
        <vt:i4>7864404</vt:i4>
      </vt:variant>
      <vt:variant>
        <vt:i4>2010</vt:i4>
      </vt:variant>
      <vt:variant>
        <vt:i4>0</vt:i4>
      </vt:variant>
      <vt:variant>
        <vt:i4>5</vt:i4>
      </vt:variant>
      <vt:variant>
        <vt:lpwstr/>
      </vt:variant>
      <vt:variant>
        <vt:lpwstr>NoteAppC_A</vt:lpwstr>
      </vt:variant>
      <vt:variant>
        <vt:i4>7864404</vt:i4>
      </vt:variant>
      <vt:variant>
        <vt:i4>2007</vt:i4>
      </vt:variant>
      <vt:variant>
        <vt:i4>0</vt:i4>
      </vt:variant>
      <vt:variant>
        <vt:i4>5</vt:i4>
      </vt:variant>
      <vt:variant>
        <vt:lpwstr/>
      </vt:variant>
      <vt:variant>
        <vt:lpwstr>NoteAppC_A</vt:lpwstr>
      </vt:variant>
      <vt:variant>
        <vt:i4>7995476</vt:i4>
      </vt:variant>
      <vt:variant>
        <vt:i4>2004</vt:i4>
      </vt:variant>
      <vt:variant>
        <vt:i4>0</vt:i4>
      </vt:variant>
      <vt:variant>
        <vt:i4>5</vt:i4>
      </vt:variant>
      <vt:variant>
        <vt:lpwstr/>
      </vt:variant>
      <vt:variant>
        <vt:lpwstr>NoteAppC_C</vt:lpwstr>
      </vt:variant>
      <vt:variant>
        <vt:i4>8061012</vt:i4>
      </vt:variant>
      <vt:variant>
        <vt:i4>2001</vt:i4>
      </vt:variant>
      <vt:variant>
        <vt:i4>0</vt:i4>
      </vt:variant>
      <vt:variant>
        <vt:i4>5</vt:i4>
      </vt:variant>
      <vt:variant>
        <vt:lpwstr/>
      </vt:variant>
      <vt:variant>
        <vt:lpwstr>NoteAppC_B</vt:lpwstr>
      </vt:variant>
      <vt:variant>
        <vt:i4>7864404</vt:i4>
      </vt:variant>
      <vt:variant>
        <vt:i4>1998</vt:i4>
      </vt:variant>
      <vt:variant>
        <vt:i4>0</vt:i4>
      </vt:variant>
      <vt:variant>
        <vt:i4>5</vt:i4>
      </vt:variant>
      <vt:variant>
        <vt:lpwstr/>
      </vt:variant>
      <vt:variant>
        <vt:lpwstr>NoteAppC_A</vt:lpwstr>
      </vt:variant>
      <vt:variant>
        <vt:i4>2097236</vt:i4>
      </vt:variant>
      <vt:variant>
        <vt:i4>1995</vt:i4>
      </vt:variant>
      <vt:variant>
        <vt:i4>0</vt:i4>
      </vt:variant>
      <vt:variant>
        <vt:i4>5</vt:i4>
      </vt:variant>
      <vt:variant>
        <vt:lpwstr/>
      </vt:variant>
      <vt:variant>
        <vt:lpwstr>NoteAppC_9</vt:lpwstr>
      </vt:variant>
      <vt:variant>
        <vt:i4>3014740</vt:i4>
      </vt:variant>
      <vt:variant>
        <vt:i4>1992</vt:i4>
      </vt:variant>
      <vt:variant>
        <vt:i4>0</vt:i4>
      </vt:variant>
      <vt:variant>
        <vt:i4>5</vt:i4>
      </vt:variant>
      <vt:variant>
        <vt:lpwstr/>
      </vt:variant>
      <vt:variant>
        <vt:lpwstr>NoteAppC_7</vt:lpwstr>
      </vt:variant>
      <vt:variant>
        <vt:i4>2883668</vt:i4>
      </vt:variant>
      <vt:variant>
        <vt:i4>1989</vt:i4>
      </vt:variant>
      <vt:variant>
        <vt:i4>0</vt:i4>
      </vt:variant>
      <vt:variant>
        <vt:i4>5</vt:i4>
      </vt:variant>
      <vt:variant>
        <vt:lpwstr/>
      </vt:variant>
      <vt:variant>
        <vt:lpwstr>NoteAppC_5</vt:lpwstr>
      </vt:variant>
      <vt:variant>
        <vt:i4>2818132</vt:i4>
      </vt:variant>
      <vt:variant>
        <vt:i4>1986</vt:i4>
      </vt:variant>
      <vt:variant>
        <vt:i4>0</vt:i4>
      </vt:variant>
      <vt:variant>
        <vt:i4>5</vt:i4>
      </vt:variant>
      <vt:variant>
        <vt:lpwstr/>
      </vt:variant>
      <vt:variant>
        <vt:lpwstr>NoteAppC_2</vt:lpwstr>
      </vt:variant>
      <vt:variant>
        <vt:i4>196629</vt:i4>
      </vt:variant>
      <vt:variant>
        <vt:i4>1983</vt:i4>
      </vt:variant>
      <vt:variant>
        <vt:i4>0</vt:i4>
      </vt:variant>
      <vt:variant>
        <vt:i4>5</vt:i4>
      </vt:variant>
      <vt:variant>
        <vt:lpwstr>https://www.ibac.vic.gov.au/</vt:lpwstr>
      </vt:variant>
      <vt:variant>
        <vt:lpwstr/>
      </vt:variant>
      <vt:variant>
        <vt:i4>6619175</vt:i4>
      </vt:variant>
      <vt:variant>
        <vt:i4>1980</vt:i4>
      </vt:variant>
      <vt:variant>
        <vt:i4>0</vt:i4>
      </vt:variant>
      <vt:variant>
        <vt:i4>5</vt:i4>
      </vt:variant>
      <vt:variant>
        <vt:lpwstr>https://www.melbournewater.com.au/</vt:lpwstr>
      </vt:variant>
      <vt:variant>
        <vt:lpwstr/>
      </vt:variant>
      <vt:variant>
        <vt:i4>655463</vt:i4>
      </vt:variant>
      <vt:variant>
        <vt:i4>1977</vt:i4>
      </vt:variant>
      <vt:variant>
        <vt:i4>0</vt:i4>
      </vt:variant>
      <vt:variant>
        <vt:i4>5</vt:i4>
      </vt:variant>
      <vt:variant>
        <vt:lpwstr>mailto:foi@melbournewater.com.au</vt:lpwstr>
      </vt:variant>
      <vt:variant>
        <vt:lpwstr/>
      </vt:variant>
      <vt:variant>
        <vt:i4>6619175</vt:i4>
      </vt:variant>
      <vt:variant>
        <vt:i4>1971</vt:i4>
      </vt:variant>
      <vt:variant>
        <vt:i4>0</vt:i4>
      </vt:variant>
      <vt:variant>
        <vt:i4>5</vt:i4>
      </vt:variant>
      <vt:variant>
        <vt:lpwstr>https://www.melbournewater.com.au/</vt:lpwstr>
      </vt:variant>
      <vt:variant>
        <vt:lpwstr/>
      </vt:variant>
      <vt:variant>
        <vt:i4>1441852</vt:i4>
      </vt:variant>
      <vt:variant>
        <vt:i4>1602</vt:i4>
      </vt:variant>
      <vt:variant>
        <vt:i4>0</vt:i4>
      </vt:variant>
      <vt:variant>
        <vt:i4>5</vt:i4>
      </vt:variant>
      <vt:variant>
        <vt:lpwstr/>
      </vt:variant>
      <vt:variant>
        <vt:lpwstr>_Appendix_J_–</vt:lpwstr>
      </vt:variant>
      <vt:variant>
        <vt:i4>1441855</vt:i4>
      </vt:variant>
      <vt:variant>
        <vt:i4>1599</vt:i4>
      </vt:variant>
      <vt:variant>
        <vt:i4>0</vt:i4>
      </vt:variant>
      <vt:variant>
        <vt:i4>5</vt:i4>
      </vt:variant>
      <vt:variant>
        <vt:lpwstr/>
      </vt:variant>
      <vt:variant>
        <vt:lpwstr>_Appendix_I_–</vt:lpwstr>
      </vt:variant>
      <vt:variant>
        <vt:i4>1441854</vt:i4>
      </vt:variant>
      <vt:variant>
        <vt:i4>1596</vt:i4>
      </vt:variant>
      <vt:variant>
        <vt:i4>0</vt:i4>
      </vt:variant>
      <vt:variant>
        <vt:i4>5</vt:i4>
      </vt:variant>
      <vt:variant>
        <vt:lpwstr/>
      </vt:variant>
      <vt:variant>
        <vt:lpwstr>_Appendix_H_–</vt:lpwstr>
      </vt:variant>
      <vt:variant>
        <vt:i4>1441841</vt:i4>
      </vt:variant>
      <vt:variant>
        <vt:i4>1593</vt:i4>
      </vt:variant>
      <vt:variant>
        <vt:i4>0</vt:i4>
      </vt:variant>
      <vt:variant>
        <vt:i4>5</vt:i4>
      </vt:variant>
      <vt:variant>
        <vt:lpwstr/>
      </vt:variant>
      <vt:variant>
        <vt:lpwstr>_Appendix_G_–</vt:lpwstr>
      </vt:variant>
      <vt:variant>
        <vt:i4>1441840</vt:i4>
      </vt:variant>
      <vt:variant>
        <vt:i4>1590</vt:i4>
      </vt:variant>
      <vt:variant>
        <vt:i4>0</vt:i4>
      </vt:variant>
      <vt:variant>
        <vt:i4>5</vt:i4>
      </vt:variant>
      <vt:variant>
        <vt:lpwstr/>
      </vt:variant>
      <vt:variant>
        <vt:lpwstr>_Appendix_F_–</vt:lpwstr>
      </vt:variant>
      <vt:variant>
        <vt:i4>1441843</vt:i4>
      </vt:variant>
      <vt:variant>
        <vt:i4>1587</vt:i4>
      </vt:variant>
      <vt:variant>
        <vt:i4>0</vt:i4>
      </vt:variant>
      <vt:variant>
        <vt:i4>5</vt:i4>
      </vt:variant>
      <vt:variant>
        <vt:lpwstr/>
      </vt:variant>
      <vt:variant>
        <vt:lpwstr>_Appendix_E_–</vt:lpwstr>
      </vt:variant>
      <vt:variant>
        <vt:i4>1441842</vt:i4>
      </vt:variant>
      <vt:variant>
        <vt:i4>1584</vt:i4>
      </vt:variant>
      <vt:variant>
        <vt:i4>0</vt:i4>
      </vt:variant>
      <vt:variant>
        <vt:i4>5</vt:i4>
      </vt:variant>
      <vt:variant>
        <vt:lpwstr/>
      </vt:variant>
      <vt:variant>
        <vt:lpwstr>_Appendix_D_–</vt:lpwstr>
      </vt:variant>
      <vt:variant>
        <vt:i4>1441845</vt:i4>
      </vt:variant>
      <vt:variant>
        <vt:i4>1581</vt:i4>
      </vt:variant>
      <vt:variant>
        <vt:i4>0</vt:i4>
      </vt:variant>
      <vt:variant>
        <vt:i4>5</vt:i4>
      </vt:variant>
      <vt:variant>
        <vt:lpwstr/>
      </vt:variant>
      <vt:variant>
        <vt:lpwstr>_Appendix_C_–</vt:lpwstr>
      </vt:variant>
      <vt:variant>
        <vt:i4>1441844</vt:i4>
      </vt:variant>
      <vt:variant>
        <vt:i4>1578</vt:i4>
      </vt:variant>
      <vt:variant>
        <vt:i4>0</vt:i4>
      </vt:variant>
      <vt:variant>
        <vt:i4>5</vt:i4>
      </vt:variant>
      <vt:variant>
        <vt:lpwstr/>
      </vt:variant>
      <vt:variant>
        <vt:lpwstr>_Appendix_B_–</vt:lpwstr>
      </vt:variant>
      <vt:variant>
        <vt:i4>1441847</vt:i4>
      </vt:variant>
      <vt:variant>
        <vt:i4>1575</vt:i4>
      </vt:variant>
      <vt:variant>
        <vt:i4>0</vt:i4>
      </vt:variant>
      <vt:variant>
        <vt:i4>5</vt:i4>
      </vt:variant>
      <vt:variant>
        <vt:lpwstr/>
      </vt:variant>
      <vt:variant>
        <vt:lpwstr>_Appendix_A_–</vt:lpwstr>
      </vt:variant>
      <vt:variant>
        <vt:i4>5373997</vt:i4>
      </vt:variant>
      <vt:variant>
        <vt:i4>1572</vt:i4>
      </vt:variant>
      <vt:variant>
        <vt:i4>0</vt:i4>
      </vt:variant>
      <vt:variant>
        <vt:i4>5</vt:i4>
      </vt:variant>
      <vt:variant>
        <vt:lpwstr/>
      </vt:variant>
      <vt:variant>
        <vt:lpwstr>NoteWSOSPI_13</vt:lpwstr>
      </vt:variant>
      <vt:variant>
        <vt:i4>5373997</vt:i4>
      </vt:variant>
      <vt:variant>
        <vt:i4>1569</vt:i4>
      </vt:variant>
      <vt:variant>
        <vt:i4>0</vt:i4>
      </vt:variant>
      <vt:variant>
        <vt:i4>5</vt:i4>
      </vt:variant>
      <vt:variant>
        <vt:lpwstr/>
      </vt:variant>
      <vt:variant>
        <vt:lpwstr>NoteWSOSPI_13</vt:lpwstr>
      </vt:variant>
      <vt:variant>
        <vt:i4>5373997</vt:i4>
      </vt:variant>
      <vt:variant>
        <vt:i4>1566</vt:i4>
      </vt:variant>
      <vt:variant>
        <vt:i4>0</vt:i4>
      </vt:variant>
      <vt:variant>
        <vt:i4>5</vt:i4>
      </vt:variant>
      <vt:variant>
        <vt:lpwstr/>
      </vt:variant>
      <vt:variant>
        <vt:lpwstr>NoteWSOSPI_1b</vt:lpwstr>
      </vt:variant>
      <vt:variant>
        <vt:i4>5373997</vt:i4>
      </vt:variant>
      <vt:variant>
        <vt:i4>1563</vt:i4>
      </vt:variant>
      <vt:variant>
        <vt:i4>0</vt:i4>
      </vt:variant>
      <vt:variant>
        <vt:i4>5</vt:i4>
      </vt:variant>
      <vt:variant>
        <vt:lpwstr/>
      </vt:variant>
      <vt:variant>
        <vt:lpwstr>NoteWSOSPI_12</vt:lpwstr>
      </vt:variant>
      <vt:variant>
        <vt:i4>5373997</vt:i4>
      </vt:variant>
      <vt:variant>
        <vt:i4>1560</vt:i4>
      </vt:variant>
      <vt:variant>
        <vt:i4>0</vt:i4>
      </vt:variant>
      <vt:variant>
        <vt:i4>5</vt:i4>
      </vt:variant>
      <vt:variant>
        <vt:lpwstr/>
      </vt:variant>
      <vt:variant>
        <vt:lpwstr>NoteWSOSPI_12</vt:lpwstr>
      </vt:variant>
      <vt:variant>
        <vt:i4>5373997</vt:i4>
      </vt:variant>
      <vt:variant>
        <vt:i4>1557</vt:i4>
      </vt:variant>
      <vt:variant>
        <vt:i4>0</vt:i4>
      </vt:variant>
      <vt:variant>
        <vt:i4>5</vt:i4>
      </vt:variant>
      <vt:variant>
        <vt:lpwstr/>
      </vt:variant>
      <vt:variant>
        <vt:lpwstr>NoteWSOSPI_11</vt:lpwstr>
      </vt:variant>
      <vt:variant>
        <vt:i4>5373997</vt:i4>
      </vt:variant>
      <vt:variant>
        <vt:i4>1554</vt:i4>
      </vt:variant>
      <vt:variant>
        <vt:i4>0</vt:i4>
      </vt:variant>
      <vt:variant>
        <vt:i4>5</vt:i4>
      </vt:variant>
      <vt:variant>
        <vt:lpwstr/>
      </vt:variant>
      <vt:variant>
        <vt:lpwstr>NoteWSOSPI_11</vt:lpwstr>
      </vt:variant>
      <vt:variant>
        <vt:i4>5373997</vt:i4>
      </vt:variant>
      <vt:variant>
        <vt:i4>1551</vt:i4>
      </vt:variant>
      <vt:variant>
        <vt:i4>0</vt:i4>
      </vt:variant>
      <vt:variant>
        <vt:i4>5</vt:i4>
      </vt:variant>
      <vt:variant>
        <vt:lpwstr/>
      </vt:variant>
      <vt:variant>
        <vt:lpwstr>NoteWSOSPI_10</vt:lpwstr>
      </vt:variant>
      <vt:variant>
        <vt:i4>5373997</vt:i4>
      </vt:variant>
      <vt:variant>
        <vt:i4>1548</vt:i4>
      </vt:variant>
      <vt:variant>
        <vt:i4>0</vt:i4>
      </vt:variant>
      <vt:variant>
        <vt:i4>5</vt:i4>
      </vt:variant>
      <vt:variant>
        <vt:lpwstr/>
      </vt:variant>
      <vt:variant>
        <vt:lpwstr>NoteWSOSPI_1</vt:lpwstr>
      </vt:variant>
      <vt:variant>
        <vt:i4>4259893</vt:i4>
      </vt:variant>
      <vt:variant>
        <vt:i4>1545</vt:i4>
      </vt:variant>
      <vt:variant>
        <vt:i4>0</vt:i4>
      </vt:variant>
      <vt:variant>
        <vt:i4>5</vt:i4>
      </vt:variant>
      <vt:variant>
        <vt:lpwstr/>
      </vt:variant>
      <vt:variant>
        <vt:lpwstr>NotePR_9</vt:lpwstr>
      </vt:variant>
      <vt:variant>
        <vt:i4>4194357</vt:i4>
      </vt:variant>
      <vt:variant>
        <vt:i4>1542</vt:i4>
      </vt:variant>
      <vt:variant>
        <vt:i4>0</vt:i4>
      </vt:variant>
      <vt:variant>
        <vt:i4>5</vt:i4>
      </vt:variant>
      <vt:variant>
        <vt:lpwstr/>
      </vt:variant>
      <vt:variant>
        <vt:lpwstr>NotePR_8</vt:lpwstr>
      </vt:variant>
      <vt:variant>
        <vt:i4>5177397</vt:i4>
      </vt:variant>
      <vt:variant>
        <vt:i4>1539</vt:i4>
      </vt:variant>
      <vt:variant>
        <vt:i4>0</vt:i4>
      </vt:variant>
      <vt:variant>
        <vt:i4>5</vt:i4>
      </vt:variant>
      <vt:variant>
        <vt:lpwstr/>
      </vt:variant>
      <vt:variant>
        <vt:lpwstr>NotePR_7</vt:lpwstr>
      </vt:variant>
      <vt:variant>
        <vt:i4>5111861</vt:i4>
      </vt:variant>
      <vt:variant>
        <vt:i4>1536</vt:i4>
      </vt:variant>
      <vt:variant>
        <vt:i4>0</vt:i4>
      </vt:variant>
      <vt:variant>
        <vt:i4>5</vt:i4>
      </vt:variant>
      <vt:variant>
        <vt:lpwstr/>
      </vt:variant>
      <vt:variant>
        <vt:lpwstr>NotePR_6</vt:lpwstr>
      </vt:variant>
      <vt:variant>
        <vt:i4>5046325</vt:i4>
      </vt:variant>
      <vt:variant>
        <vt:i4>1533</vt:i4>
      </vt:variant>
      <vt:variant>
        <vt:i4>0</vt:i4>
      </vt:variant>
      <vt:variant>
        <vt:i4>5</vt:i4>
      </vt:variant>
      <vt:variant>
        <vt:lpwstr/>
      </vt:variant>
      <vt:variant>
        <vt:lpwstr>NotePR_5</vt:lpwstr>
      </vt:variant>
      <vt:variant>
        <vt:i4>4980789</vt:i4>
      </vt:variant>
      <vt:variant>
        <vt:i4>1530</vt:i4>
      </vt:variant>
      <vt:variant>
        <vt:i4>0</vt:i4>
      </vt:variant>
      <vt:variant>
        <vt:i4>5</vt:i4>
      </vt:variant>
      <vt:variant>
        <vt:lpwstr/>
      </vt:variant>
      <vt:variant>
        <vt:lpwstr>NotePR_4</vt:lpwstr>
      </vt:variant>
      <vt:variant>
        <vt:i4>4915253</vt:i4>
      </vt:variant>
      <vt:variant>
        <vt:i4>1527</vt:i4>
      </vt:variant>
      <vt:variant>
        <vt:i4>0</vt:i4>
      </vt:variant>
      <vt:variant>
        <vt:i4>5</vt:i4>
      </vt:variant>
      <vt:variant>
        <vt:lpwstr/>
      </vt:variant>
      <vt:variant>
        <vt:lpwstr>NotePR_3</vt:lpwstr>
      </vt:variant>
      <vt:variant>
        <vt:i4>4849717</vt:i4>
      </vt:variant>
      <vt:variant>
        <vt:i4>1524</vt:i4>
      </vt:variant>
      <vt:variant>
        <vt:i4>0</vt:i4>
      </vt:variant>
      <vt:variant>
        <vt:i4>5</vt:i4>
      </vt:variant>
      <vt:variant>
        <vt:lpwstr/>
      </vt:variant>
      <vt:variant>
        <vt:lpwstr>NotePR_2</vt:lpwstr>
      </vt:variant>
      <vt:variant>
        <vt:i4>4784181</vt:i4>
      </vt:variant>
      <vt:variant>
        <vt:i4>1521</vt:i4>
      </vt:variant>
      <vt:variant>
        <vt:i4>0</vt:i4>
      </vt:variant>
      <vt:variant>
        <vt:i4>5</vt:i4>
      </vt:variant>
      <vt:variant>
        <vt:lpwstr/>
      </vt:variant>
      <vt:variant>
        <vt:lpwstr>NotePR_1</vt:lpwstr>
      </vt:variant>
      <vt:variant>
        <vt:i4>139355</vt:i4>
      </vt:variant>
      <vt:variant>
        <vt:i4>1518</vt:i4>
      </vt:variant>
      <vt:variant>
        <vt:i4>0</vt:i4>
      </vt:variant>
      <vt:variant>
        <vt:i4>5</vt:i4>
      </vt:variant>
      <vt:variant>
        <vt:lpwstr/>
      </vt:variant>
      <vt:variant>
        <vt:lpwstr>_Independent_Auditor’s_Report</vt:lpwstr>
      </vt:variant>
      <vt:variant>
        <vt:i4>3407879</vt:i4>
      </vt:variant>
      <vt:variant>
        <vt:i4>1515</vt:i4>
      </vt:variant>
      <vt:variant>
        <vt:i4>0</vt:i4>
      </vt:variant>
      <vt:variant>
        <vt:i4>5</vt:i4>
      </vt:variant>
      <vt:variant>
        <vt:lpwstr/>
      </vt:variant>
      <vt:variant>
        <vt:lpwstr>_Certification_of_Performance</vt:lpwstr>
      </vt:variant>
      <vt:variant>
        <vt:i4>8061049</vt:i4>
      </vt:variant>
      <vt:variant>
        <vt:i4>1512</vt:i4>
      </vt:variant>
      <vt:variant>
        <vt:i4>0</vt:i4>
      </vt:variant>
      <vt:variant>
        <vt:i4>5</vt:i4>
      </vt:variant>
      <vt:variant>
        <vt:lpwstr/>
      </vt:variant>
      <vt:variant>
        <vt:lpwstr>_Performance_Report</vt:lpwstr>
      </vt:variant>
      <vt:variant>
        <vt:i4>1114185</vt:i4>
      </vt:variant>
      <vt:variant>
        <vt:i4>1509</vt:i4>
      </vt:variant>
      <vt:variant>
        <vt:i4>0</vt:i4>
      </vt:variant>
      <vt:variant>
        <vt:i4>5</vt:i4>
      </vt:variant>
      <vt:variant>
        <vt:lpwstr/>
      </vt:variant>
      <vt:variant>
        <vt:lpwstr>_5.3_Commitments</vt:lpwstr>
      </vt:variant>
      <vt:variant>
        <vt:i4>4063326</vt:i4>
      </vt:variant>
      <vt:variant>
        <vt:i4>1506</vt:i4>
      </vt:variant>
      <vt:variant>
        <vt:i4>0</vt:i4>
      </vt:variant>
      <vt:variant>
        <vt:i4>5</vt:i4>
      </vt:variant>
      <vt:variant>
        <vt:lpwstr/>
      </vt:variant>
      <vt:variant>
        <vt:lpwstr>_5.1_Interest_bearing</vt:lpwstr>
      </vt:variant>
      <vt:variant>
        <vt:i4>7340107</vt:i4>
      </vt:variant>
      <vt:variant>
        <vt:i4>1503</vt:i4>
      </vt:variant>
      <vt:variant>
        <vt:i4>0</vt:i4>
      </vt:variant>
      <vt:variant>
        <vt:i4>5</vt:i4>
      </vt:variant>
      <vt:variant>
        <vt:lpwstr/>
      </vt:variant>
      <vt:variant>
        <vt:lpwstr>NoteCKMP_A</vt:lpwstr>
      </vt:variant>
      <vt:variant>
        <vt:i4>3145735</vt:i4>
      </vt:variant>
      <vt:variant>
        <vt:i4>1500</vt:i4>
      </vt:variant>
      <vt:variant>
        <vt:i4>0</vt:i4>
      </vt:variant>
      <vt:variant>
        <vt:i4>5</vt:i4>
      </vt:variant>
      <vt:variant>
        <vt:lpwstr/>
      </vt:variant>
      <vt:variant>
        <vt:lpwstr>NoteREO_B</vt:lpwstr>
      </vt:variant>
      <vt:variant>
        <vt:i4>3145735</vt:i4>
      </vt:variant>
      <vt:variant>
        <vt:i4>1497</vt:i4>
      </vt:variant>
      <vt:variant>
        <vt:i4>0</vt:i4>
      </vt:variant>
      <vt:variant>
        <vt:i4>5</vt:i4>
      </vt:variant>
      <vt:variant>
        <vt:lpwstr/>
      </vt:variant>
      <vt:variant>
        <vt:lpwstr>NoteREO_A</vt:lpwstr>
      </vt:variant>
      <vt:variant>
        <vt:i4>1376352</vt:i4>
      </vt:variant>
      <vt:variant>
        <vt:i4>1494</vt:i4>
      </vt:variant>
      <vt:variant>
        <vt:i4>0</vt:i4>
      </vt:variant>
      <vt:variant>
        <vt:i4>5</vt:i4>
      </vt:variant>
      <vt:variant>
        <vt:lpwstr/>
      </vt:variant>
      <vt:variant>
        <vt:lpwstr>_7.4_Related_Parties</vt:lpwstr>
      </vt:variant>
      <vt:variant>
        <vt:i4>5570664</vt:i4>
      </vt:variant>
      <vt:variant>
        <vt:i4>1491</vt:i4>
      </vt:variant>
      <vt:variant>
        <vt:i4>0</vt:i4>
      </vt:variant>
      <vt:variant>
        <vt:i4>5</vt:i4>
      </vt:variant>
      <vt:variant>
        <vt:lpwstr/>
      </vt:variant>
      <vt:variant>
        <vt:lpwstr>NoteR_A</vt:lpwstr>
      </vt:variant>
      <vt:variant>
        <vt:i4>5570664</vt:i4>
      </vt:variant>
      <vt:variant>
        <vt:i4>1488</vt:i4>
      </vt:variant>
      <vt:variant>
        <vt:i4>0</vt:i4>
      </vt:variant>
      <vt:variant>
        <vt:i4>5</vt:i4>
      </vt:variant>
      <vt:variant>
        <vt:lpwstr/>
      </vt:variant>
      <vt:variant>
        <vt:lpwstr>NoteR_A</vt:lpwstr>
      </vt:variant>
      <vt:variant>
        <vt:i4>2293772</vt:i4>
      </vt:variant>
      <vt:variant>
        <vt:i4>1485</vt:i4>
      </vt:variant>
      <vt:variant>
        <vt:i4>0</vt:i4>
      </vt:variant>
      <vt:variant>
        <vt:i4>5</vt:i4>
      </vt:variant>
      <vt:variant>
        <vt:lpwstr/>
      </vt:variant>
      <vt:variant>
        <vt:lpwstr>NoteFVP_C</vt:lpwstr>
      </vt:variant>
      <vt:variant>
        <vt:i4>2293772</vt:i4>
      </vt:variant>
      <vt:variant>
        <vt:i4>1482</vt:i4>
      </vt:variant>
      <vt:variant>
        <vt:i4>0</vt:i4>
      </vt:variant>
      <vt:variant>
        <vt:i4>5</vt:i4>
      </vt:variant>
      <vt:variant>
        <vt:lpwstr/>
      </vt:variant>
      <vt:variant>
        <vt:lpwstr>NoteFVP_B</vt:lpwstr>
      </vt:variant>
      <vt:variant>
        <vt:i4>2293772</vt:i4>
      </vt:variant>
      <vt:variant>
        <vt:i4>1479</vt:i4>
      </vt:variant>
      <vt:variant>
        <vt:i4>0</vt:i4>
      </vt:variant>
      <vt:variant>
        <vt:i4>5</vt:i4>
      </vt:variant>
      <vt:variant>
        <vt:lpwstr/>
      </vt:variant>
      <vt:variant>
        <vt:lpwstr>NoteFVP_A</vt:lpwstr>
      </vt:variant>
      <vt:variant>
        <vt:i4>2293772</vt:i4>
      </vt:variant>
      <vt:variant>
        <vt:i4>1476</vt:i4>
      </vt:variant>
      <vt:variant>
        <vt:i4>0</vt:i4>
      </vt:variant>
      <vt:variant>
        <vt:i4>5</vt:i4>
      </vt:variant>
      <vt:variant>
        <vt:lpwstr/>
      </vt:variant>
      <vt:variant>
        <vt:lpwstr>NoteFVP_C</vt:lpwstr>
      </vt:variant>
      <vt:variant>
        <vt:i4>2293772</vt:i4>
      </vt:variant>
      <vt:variant>
        <vt:i4>1473</vt:i4>
      </vt:variant>
      <vt:variant>
        <vt:i4>0</vt:i4>
      </vt:variant>
      <vt:variant>
        <vt:i4>5</vt:i4>
      </vt:variant>
      <vt:variant>
        <vt:lpwstr/>
      </vt:variant>
      <vt:variant>
        <vt:lpwstr>NoteFVP_B</vt:lpwstr>
      </vt:variant>
      <vt:variant>
        <vt:i4>2293772</vt:i4>
      </vt:variant>
      <vt:variant>
        <vt:i4>1470</vt:i4>
      </vt:variant>
      <vt:variant>
        <vt:i4>0</vt:i4>
      </vt:variant>
      <vt:variant>
        <vt:i4>5</vt:i4>
      </vt:variant>
      <vt:variant>
        <vt:lpwstr/>
      </vt:variant>
      <vt:variant>
        <vt:lpwstr>NoteFVP_A</vt:lpwstr>
      </vt:variant>
      <vt:variant>
        <vt:i4>3407876</vt:i4>
      </vt:variant>
      <vt:variant>
        <vt:i4>1467</vt:i4>
      </vt:variant>
      <vt:variant>
        <vt:i4>0</vt:i4>
      </vt:variant>
      <vt:variant>
        <vt:i4>5</vt:i4>
      </vt:variant>
      <vt:variant>
        <vt:lpwstr/>
      </vt:variant>
      <vt:variant>
        <vt:lpwstr>NoteRAL_A</vt:lpwstr>
      </vt:variant>
      <vt:variant>
        <vt:i4>3407876</vt:i4>
      </vt:variant>
      <vt:variant>
        <vt:i4>1464</vt:i4>
      </vt:variant>
      <vt:variant>
        <vt:i4>0</vt:i4>
      </vt:variant>
      <vt:variant>
        <vt:i4>5</vt:i4>
      </vt:variant>
      <vt:variant>
        <vt:lpwstr/>
      </vt:variant>
      <vt:variant>
        <vt:lpwstr>NoteRAL_A</vt:lpwstr>
      </vt:variant>
      <vt:variant>
        <vt:i4>3407876</vt:i4>
      </vt:variant>
      <vt:variant>
        <vt:i4>1461</vt:i4>
      </vt:variant>
      <vt:variant>
        <vt:i4>0</vt:i4>
      </vt:variant>
      <vt:variant>
        <vt:i4>5</vt:i4>
      </vt:variant>
      <vt:variant>
        <vt:lpwstr/>
      </vt:variant>
      <vt:variant>
        <vt:lpwstr>NoteRAL_A</vt:lpwstr>
      </vt:variant>
      <vt:variant>
        <vt:i4>3407876</vt:i4>
      </vt:variant>
      <vt:variant>
        <vt:i4>1458</vt:i4>
      </vt:variant>
      <vt:variant>
        <vt:i4>0</vt:i4>
      </vt:variant>
      <vt:variant>
        <vt:i4>5</vt:i4>
      </vt:variant>
      <vt:variant>
        <vt:lpwstr/>
      </vt:variant>
      <vt:variant>
        <vt:lpwstr>NoteRAL_A</vt:lpwstr>
      </vt:variant>
      <vt:variant>
        <vt:i4>6422556</vt:i4>
      </vt:variant>
      <vt:variant>
        <vt:i4>1455</vt:i4>
      </vt:variant>
      <vt:variant>
        <vt:i4>0</vt:i4>
      </vt:variant>
      <vt:variant>
        <vt:i4>5</vt:i4>
      </vt:variant>
      <vt:variant>
        <vt:lpwstr/>
      </vt:variant>
      <vt:variant>
        <vt:lpwstr>_7.8_Prospective_accounting</vt:lpwstr>
      </vt:variant>
      <vt:variant>
        <vt:i4>5963836</vt:i4>
      </vt:variant>
      <vt:variant>
        <vt:i4>1452</vt:i4>
      </vt:variant>
      <vt:variant>
        <vt:i4>0</vt:i4>
      </vt:variant>
      <vt:variant>
        <vt:i4>5</vt:i4>
      </vt:variant>
      <vt:variant>
        <vt:lpwstr/>
      </vt:variant>
      <vt:variant>
        <vt:lpwstr>_7.7_Subsequent_events</vt:lpwstr>
      </vt:variant>
      <vt:variant>
        <vt:i4>3145736</vt:i4>
      </vt:variant>
      <vt:variant>
        <vt:i4>1449</vt:i4>
      </vt:variant>
      <vt:variant>
        <vt:i4>0</vt:i4>
      </vt:variant>
      <vt:variant>
        <vt:i4>5</vt:i4>
      </vt:variant>
      <vt:variant>
        <vt:lpwstr/>
      </vt:variant>
      <vt:variant>
        <vt:lpwstr>_7.6_Ex-gratia_expenses</vt:lpwstr>
      </vt:variant>
      <vt:variant>
        <vt:i4>2293842</vt:i4>
      </vt:variant>
      <vt:variant>
        <vt:i4>1446</vt:i4>
      </vt:variant>
      <vt:variant>
        <vt:i4>0</vt:i4>
      </vt:variant>
      <vt:variant>
        <vt:i4>5</vt:i4>
      </vt:variant>
      <vt:variant>
        <vt:lpwstr/>
      </vt:variant>
      <vt:variant>
        <vt:lpwstr>_7.5_Remuneration_of</vt:lpwstr>
      </vt:variant>
      <vt:variant>
        <vt:i4>1376352</vt:i4>
      </vt:variant>
      <vt:variant>
        <vt:i4>1443</vt:i4>
      </vt:variant>
      <vt:variant>
        <vt:i4>0</vt:i4>
      </vt:variant>
      <vt:variant>
        <vt:i4>5</vt:i4>
      </vt:variant>
      <vt:variant>
        <vt:lpwstr/>
      </vt:variant>
      <vt:variant>
        <vt:lpwstr>_7.4_Related_Parties</vt:lpwstr>
      </vt:variant>
      <vt:variant>
        <vt:i4>2424914</vt:i4>
      </vt:variant>
      <vt:variant>
        <vt:i4>1440</vt:i4>
      </vt:variant>
      <vt:variant>
        <vt:i4>0</vt:i4>
      </vt:variant>
      <vt:variant>
        <vt:i4>5</vt:i4>
      </vt:variant>
      <vt:variant>
        <vt:lpwstr/>
      </vt:variant>
      <vt:variant>
        <vt:lpwstr>_7.3_Remuneration_of</vt:lpwstr>
      </vt:variant>
      <vt:variant>
        <vt:i4>65655</vt:i4>
      </vt:variant>
      <vt:variant>
        <vt:i4>1437</vt:i4>
      </vt:variant>
      <vt:variant>
        <vt:i4>0</vt:i4>
      </vt:variant>
      <vt:variant>
        <vt:i4>5</vt:i4>
      </vt:variant>
      <vt:variant>
        <vt:lpwstr/>
      </vt:variant>
      <vt:variant>
        <vt:lpwstr>_7.2_Responsible_persons</vt:lpwstr>
      </vt:variant>
      <vt:variant>
        <vt:i4>2621527</vt:i4>
      </vt:variant>
      <vt:variant>
        <vt:i4>1434</vt:i4>
      </vt:variant>
      <vt:variant>
        <vt:i4>0</vt:i4>
      </vt:variant>
      <vt:variant>
        <vt:i4>5</vt:i4>
      </vt:variant>
      <vt:variant>
        <vt:lpwstr/>
      </vt:variant>
      <vt:variant>
        <vt:lpwstr>_7.1_Superannuation_-</vt:lpwstr>
      </vt:variant>
      <vt:variant>
        <vt:i4>6684743</vt:i4>
      </vt:variant>
      <vt:variant>
        <vt:i4>1431</vt:i4>
      </vt:variant>
      <vt:variant>
        <vt:i4>0</vt:i4>
      </vt:variant>
      <vt:variant>
        <vt:i4>5</vt:i4>
      </vt:variant>
      <vt:variant>
        <vt:lpwstr/>
      </vt:variant>
      <vt:variant>
        <vt:lpwstr>NoteCAAL_A</vt:lpwstr>
      </vt:variant>
      <vt:variant>
        <vt:i4>2555926</vt:i4>
      </vt:variant>
      <vt:variant>
        <vt:i4>1428</vt:i4>
      </vt:variant>
      <vt:variant>
        <vt:i4>0</vt:i4>
      </vt:variant>
      <vt:variant>
        <vt:i4>5</vt:i4>
      </vt:variant>
      <vt:variant>
        <vt:lpwstr/>
      </vt:variant>
      <vt:variant>
        <vt:lpwstr>NoteIRE_A</vt:lpwstr>
      </vt:variant>
      <vt:variant>
        <vt:i4>5373996</vt:i4>
      </vt:variant>
      <vt:variant>
        <vt:i4>1425</vt:i4>
      </vt:variant>
      <vt:variant>
        <vt:i4>0</vt:i4>
      </vt:variant>
      <vt:variant>
        <vt:i4>5</vt:i4>
      </vt:variant>
      <vt:variant>
        <vt:lpwstr/>
      </vt:variant>
      <vt:variant>
        <vt:lpwstr>_6.3_Contingent_assets</vt:lpwstr>
      </vt:variant>
      <vt:variant>
        <vt:i4>4194343</vt:i4>
      </vt:variant>
      <vt:variant>
        <vt:i4>1422</vt:i4>
      </vt:variant>
      <vt:variant>
        <vt:i4>0</vt:i4>
      </vt:variant>
      <vt:variant>
        <vt:i4>5</vt:i4>
      </vt:variant>
      <vt:variant>
        <vt:lpwstr/>
      </vt:variant>
      <vt:variant>
        <vt:lpwstr>_6.2_Fair_value</vt:lpwstr>
      </vt:variant>
      <vt:variant>
        <vt:i4>8126469</vt:i4>
      </vt:variant>
      <vt:variant>
        <vt:i4>1419</vt:i4>
      </vt:variant>
      <vt:variant>
        <vt:i4>0</vt:i4>
      </vt:variant>
      <vt:variant>
        <vt:i4>5</vt:i4>
      </vt:variant>
      <vt:variant>
        <vt:lpwstr/>
      </vt:variant>
      <vt:variant>
        <vt:lpwstr>_6.1_Financial_instruments</vt:lpwstr>
      </vt:variant>
      <vt:variant>
        <vt:i4>3538949</vt:i4>
      </vt:variant>
      <vt:variant>
        <vt:i4>1416</vt:i4>
      </vt:variant>
      <vt:variant>
        <vt:i4>0</vt:i4>
      </vt:variant>
      <vt:variant>
        <vt:i4>5</vt:i4>
      </vt:variant>
      <vt:variant>
        <vt:lpwstr/>
      </vt:variant>
      <vt:variant>
        <vt:lpwstr>NoteOCP_A</vt:lpwstr>
      </vt:variant>
      <vt:variant>
        <vt:i4>3211292</vt:i4>
      </vt:variant>
      <vt:variant>
        <vt:i4>1413</vt:i4>
      </vt:variant>
      <vt:variant>
        <vt:i4>0</vt:i4>
      </vt:variant>
      <vt:variant>
        <vt:i4>5</vt:i4>
      </vt:variant>
      <vt:variant>
        <vt:lpwstr/>
      </vt:variant>
      <vt:variant>
        <vt:lpwstr>NoteVDP_A</vt:lpwstr>
      </vt:variant>
      <vt:variant>
        <vt:i4>4063326</vt:i4>
      </vt:variant>
      <vt:variant>
        <vt:i4>1410</vt:i4>
      </vt:variant>
      <vt:variant>
        <vt:i4>0</vt:i4>
      </vt:variant>
      <vt:variant>
        <vt:i4>5</vt:i4>
      </vt:variant>
      <vt:variant>
        <vt:lpwstr/>
      </vt:variant>
      <vt:variant>
        <vt:lpwstr>_5.1_Interest_bearing</vt:lpwstr>
      </vt:variant>
      <vt:variant>
        <vt:i4>3211292</vt:i4>
      </vt:variant>
      <vt:variant>
        <vt:i4>1407</vt:i4>
      </vt:variant>
      <vt:variant>
        <vt:i4>0</vt:i4>
      </vt:variant>
      <vt:variant>
        <vt:i4>5</vt:i4>
      </vt:variant>
      <vt:variant>
        <vt:lpwstr/>
      </vt:variant>
      <vt:variant>
        <vt:lpwstr>NoteVDP_A</vt:lpwstr>
      </vt:variant>
      <vt:variant>
        <vt:i4>4063326</vt:i4>
      </vt:variant>
      <vt:variant>
        <vt:i4>1404</vt:i4>
      </vt:variant>
      <vt:variant>
        <vt:i4>0</vt:i4>
      </vt:variant>
      <vt:variant>
        <vt:i4>5</vt:i4>
      </vt:variant>
      <vt:variant>
        <vt:lpwstr/>
      </vt:variant>
      <vt:variant>
        <vt:lpwstr>_5.1_Interest_bearing</vt:lpwstr>
      </vt:variant>
      <vt:variant>
        <vt:i4>1114185</vt:i4>
      </vt:variant>
      <vt:variant>
        <vt:i4>1401</vt:i4>
      </vt:variant>
      <vt:variant>
        <vt:i4>0</vt:i4>
      </vt:variant>
      <vt:variant>
        <vt:i4>5</vt:i4>
      </vt:variant>
      <vt:variant>
        <vt:lpwstr/>
      </vt:variant>
      <vt:variant>
        <vt:lpwstr>_5.3_Commitments</vt:lpwstr>
      </vt:variant>
      <vt:variant>
        <vt:i4>5439534</vt:i4>
      </vt:variant>
      <vt:variant>
        <vt:i4>1398</vt:i4>
      </vt:variant>
      <vt:variant>
        <vt:i4>0</vt:i4>
      </vt:variant>
      <vt:variant>
        <vt:i4>5</vt:i4>
      </vt:variant>
      <vt:variant>
        <vt:lpwstr/>
      </vt:variant>
      <vt:variant>
        <vt:lpwstr>_5.2_Cash_flow</vt:lpwstr>
      </vt:variant>
      <vt:variant>
        <vt:i4>4063326</vt:i4>
      </vt:variant>
      <vt:variant>
        <vt:i4>1395</vt:i4>
      </vt:variant>
      <vt:variant>
        <vt:i4>0</vt:i4>
      </vt:variant>
      <vt:variant>
        <vt:i4>5</vt:i4>
      </vt:variant>
      <vt:variant>
        <vt:lpwstr/>
      </vt:variant>
      <vt:variant>
        <vt:lpwstr>_5.1_Interest_bearing</vt:lpwstr>
      </vt:variant>
      <vt:variant>
        <vt:i4>7536649</vt:i4>
      </vt:variant>
      <vt:variant>
        <vt:i4>1392</vt:i4>
      </vt:variant>
      <vt:variant>
        <vt:i4>0</vt:i4>
      </vt:variant>
      <vt:variant>
        <vt:i4>5</vt:i4>
      </vt:variant>
      <vt:variant>
        <vt:lpwstr/>
      </vt:variant>
      <vt:variant>
        <vt:lpwstr>_4.1.2_Fair_value</vt:lpwstr>
      </vt:variant>
      <vt:variant>
        <vt:i4>6881292</vt:i4>
      </vt:variant>
      <vt:variant>
        <vt:i4>1389</vt:i4>
      </vt:variant>
      <vt:variant>
        <vt:i4>0</vt:i4>
      </vt:variant>
      <vt:variant>
        <vt:i4>5</vt:i4>
      </vt:variant>
      <vt:variant>
        <vt:lpwstr/>
      </vt:variant>
      <vt:variant>
        <vt:lpwstr>_4.1.1_Reconciliation_of</vt:lpwstr>
      </vt:variant>
      <vt:variant>
        <vt:i4>6750302</vt:i4>
      </vt:variant>
      <vt:variant>
        <vt:i4>1386</vt:i4>
      </vt:variant>
      <vt:variant>
        <vt:i4>0</vt:i4>
      </vt:variant>
      <vt:variant>
        <vt:i4>5</vt:i4>
      </vt:variant>
      <vt:variant>
        <vt:lpwstr/>
      </vt:variant>
      <vt:variant>
        <vt:lpwstr>NoteRMIA_A</vt:lpwstr>
      </vt:variant>
      <vt:variant>
        <vt:i4>131119</vt:i4>
      </vt:variant>
      <vt:variant>
        <vt:i4>1383</vt:i4>
      </vt:variant>
      <vt:variant>
        <vt:i4>0</vt:i4>
      </vt:variant>
      <vt:variant>
        <vt:i4>5</vt:i4>
      </vt:variant>
      <vt:variant>
        <vt:lpwstr/>
      </vt:variant>
      <vt:variant>
        <vt:lpwstr>_4.3_Non-financial_assets</vt:lpwstr>
      </vt:variant>
      <vt:variant>
        <vt:i4>6553665</vt:i4>
      </vt:variant>
      <vt:variant>
        <vt:i4>1380</vt:i4>
      </vt:variant>
      <vt:variant>
        <vt:i4>0</vt:i4>
      </vt:variant>
      <vt:variant>
        <vt:i4>5</vt:i4>
      </vt:variant>
      <vt:variant>
        <vt:lpwstr/>
      </vt:variant>
      <vt:variant>
        <vt:lpwstr>_4.1.2.1_Non-financial_physical</vt:lpwstr>
      </vt:variant>
      <vt:variant>
        <vt:i4>7995456</vt:i4>
      </vt:variant>
      <vt:variant>
        <vt:i4>1377</vt:i4>
      </vt:variant>
      <vt:variant>
        <vt:i4>0</vt:i4>
      </vt:variant>
      <vt:variant>
        <vt:i4>5</vt:i4>
      </vt:variant>
      <vt:variant>
        <vt:lpwstr/>
      </vt:variant>
      <vt:variant>
        <vt:lpwstr>_3.10_Other_current</vt:lpwstr>
      </vt:variant>
      <vt:variant>
        <vt:i4>3735643</vt:i4>
      </vt:variant>
      <vt:variant>
        <vt:i4>1374</vt:i4>
      </vt:variant>
      <vt:variant>
        <vt:i4>0</vt:i4>
      </vt:variant>
      <vt:variant>
        <vt:i4>5</vt:i4>
      </vt:variant>
      <vt:variant>
        <vt:lpwstr/>
      </vt:variant>
      <vt:variant>
        <vt:lpwstr>NoteRL3_A</vt:lpwstr>
      </vt:variant>
      <vt:variant>
        <vt:i4>3735643</vt:i4>
      </vt:variant>
      <vt:variant>
        <vt:i4>1371</vt:i4>
      </vt:variant>
      <vt:variant>
        <vt:i4>0</vt:i4>
      </vt:variant>
      <vt:variant>
        <vt:i4>5</vt:i4>
      </vt:variant>
      <vt:variant>
        <vt:lpwstr/>
      </vt:variant>
      <vt:variant>
        <vt:lpwstr>NoteRL3_A</vt:lpwstr>
      </vt:variant>
      <vt:variant>
        <vt:i4>6815832</vt:i4>
      </vt:variant>
      <vt:variant>
        <vt:i4>1368</vt:i4>
      </vt:variant>
      <vt:variant>
        <vt:i4>0</vt:i4>
      </vt:variant>
      <vt:variant>
        <vt:i4>5</vt:i4>
      </vt:variant>
      <vt:variant>
        <vt:lpwstr/>
      </vt:variant>
      <vt:variant>
        <vt:lpwstr>NoteNFPA2017_B</vt:lpwstr>
      </vt:variant>
      <vt:variant>
        <vt:i4>7012440</vt:i4>
      </vt:variant>
      <vt:variant>
        <vt:i4>1365</vt:i4>
      </vt:variant>
      <vt:variant>
        <vt:i4>0</vt:i4>
      </vt:variant>
      <vt:variant>
        <vt:i4>5</vt:i4>
      </vt:variant>
      <vt:variant>
        <vt:lpwstr/>
      </vt:variant>
      <vt:variant>
        <vt:lpwstr>NoteNFPA2017_A</vt:lpwstr>
      </vt:variant>
      <vt:variant>
        <vt:i4>6815832</vt:i4>
      </vt:variant>
      <vt:variant>
        <vt:i4>1362</vt:i4>
      </vt:variant>
      <vt:variant>
        <vt:i4>0</vt:i4>
      </vt:variant>
      <vt:variant>
        <vt:i4>5</vt:i4>
      </vt:variant>
      <vt:variant>
        <vt:lpwstr/>
      </vt:variant>
      <vt:variant>
        <vt:lpwstr>NoteNFPA2017_B</vt:lpwstr>
      </vt:variant>
      <vt:variant>
        <vt:i4>7012440</vt:i4>
      </vt:variant>
      <vt:variant>
        <vt:i4>1359</vt:i4>
      </vt:variant>
      <vt:variant>
        <vt:i4>0</vt:i4>
      </vt:variant>
      <vt:variant>
        <vt:i4>5</vt:i4>
      </vt:variant>
      <vt:variant>
        <vt:lpwstr/>
      </vt:variant>
      <vt:variant>
        <vt:lpwstr>NoteNFPA2017_A</vt:lpwstr>
      </vt:variant>
      <vt:variant>
        <vt:i4>7012440</vt:i4>
      </vt:variant>
      <vt:variant>
        <vt:i4>1356</vt:i4>
      </vt:variant>
      <vt:variant>
        <vt:i4>0</vt:i4>
      </vt:variant>
      <vt:variant>
        <vt:i4>5</vt:i4>
      </vt:variant>
      <vt:variant>
        <vt:lpwstr/>
      </vt:variant>
      <vt:variant>
        <vt:lpwstr>NoteNFPA2017_A</vt:lpwstr>
      </vt:variant>
      <vt:variant>
        <vt:i4>7012440</vt:i4>
      </vt:variant>
      <vt:variant>
        <vt:i4>1353</vt:i4>
      </vt:variant>
      <vt:variant>
        <vt:i4>0</vt:i4>
      </vt:variant>
      <vt:variant>
        <vt:i4>5</vt:i4>
      </vt:variant>
      <vt:variant>
        <vt:lpwstr/>
      </vt:variant>
      <vt:variant>
        <vt:lpwstr>NoteNFPA2017_A</vt:lpwstr>
      </vt:variant>
      <vt:variant>
        <vt:i4>7012440</vt:i4>
      </vt:variant>
      <vt:variant>
        <vt:i4>1350</vt:i4>
      </vt:variant>
      <vt:variant>
        <vt:i4>0</vt:i4>
      </vt:variant>
      <vt:variant>
        <vt:i4>5</vt:i4>
      </vt:variant>
      <vt:variant>
        <vt:lpwstr/>
      </vt:variant>
      <vt:variant>
        <vt:lpwstr>NoteNFPA2017_A</vt:lpwstr>
      </vt:variant>
      <vt:variant>
        <vt:i4>7077979</vt:i4>
      </vt:variant>
      <vt:variant>
        <vt:i4>1347</vt:i4>
      </vt:variant>
      <vt:variant>
        <vt:i4>0</vt:i4>
      </vt:variant>
      <vt:variant>
        <vt:i4>5</vt:i4>
      </vt:variant>
      <vt:variant>
        <vt:lpwstr/>
      </vt:variant>
      <vt:variant>
        <vt:lpwstr>NoteNFPA_A</vt:lpwstr>
      </vt:variant>
      <vt:variant>
        <vt:i4>7077979</vt:i4>
      </vt:variant>
      <vt:variant>
        <vt:i4>1344</vt:i4>
      </vt:variant>
      <vt:variant>
        <vt:i4>0</vt:i4>
      </vt:variant>
      <vt:variant>
        <vt:i4>5</vt:i4>
      </vt:variant>
      <vt:variant>
        <vt:lpwstr/>
      </vt:variant>
      <vt:variant>
        <vt:lpwstr>NoteNFPA_A</vt:lpwstr>
      </vt:variant>
      <vt:variant>
        <vt:i4>7077979</vt:i4>
      </vt:variant>
      <vt:variant>
        <vt:i4>1341</vt:i4>
      </vt:variant>
      <vt:variant>
        <vt:i4>0</vt:i4>
      </vt:variant>
      <vt:variant>
        <vt:i4>5</vt:i4>
      </vt:variant>
      <vt:variant>
        <vt:lpwstr/>
      </vt:variant>
      <vt:variant>
        <vt:lpwstr>NoteNFPA_A</vt:lpwstr>
      </vt:variant>
      <vt:variant>
        <vt:i4>5963884</vt:i4>
      </vt:variant>
      <vt:variant>
        <vt:i4>1338</vt:i4>
      </vt:variant>
      <vt:variant>
        <vt:i4>0</vt:i4>
      </vt:variant>
      <vt:variant>
        <vt:i4>5</vt:i4>
      </vt:variant>
      <vt:variant>
        <vt:lpwstr/>
      </vt:variant>
      <vt:variant>
        <vt:lpwstr>NoteAASOD_A</vt:lpwstr>
      </vt:variant>
      <vt:variant>
        <vt:i4>4849703</vt:i4>
      </vt:variant>
      <vt:variant>
        <vt:i4>1335</vt:i4>
      </vt:variant>
      <vt:variant>
        <vt:i4>0</vt:i4>
      </vt:variant>
      <vt:variant>
        <vt:i4>5</vt:i4>
      </vt:variant>
      <vt:variant>
        <vt:lpwstr/>
      </vt:variant>
      <vt:variant>
        <vt:lpwstr>_4.2_Intangible_assets</vt:lpwstr>
      </vt:variant>
      <vt:variant>
        <vt:i4>4849703</vt:i4>
      </vt:variant>
      <vt:variant>
        <vt:i4>1332</vt:i4>
      </vt:variant>
      <vt:variant>
        <vt:i4>0</vt:i4>
      </vt:variant>
      <vt:variant>
        <vt:i4>5</vt:i4>
      </vt:variant>
      <vt:variant>
        <vt:lpwstr/>
      </vt:variant>
      <vt:variant>
        <vt:lpwstr>_4.2_Intangible_assets</vt:lpwstr>
      </vt:variant>
      <vt:variant>
        <vt:i4>4653178</vt:i4>
      </vt:variant>
      <vt:variant>
        <vt:i4>1329</vt:i4>
      </vt:variant>
      <vt:variant>
        <vt:i4>0</vt:i4>
      </vt:variant>
      <vt:variant>
        <vt:i4>5</vt:i4>
      </vt:variant>
      <vt:variant>
        <vt:lpwstr/>
      </vt:variant>
      <vt:variant>
        <vt:lpwstr>NoteLBIPE_C</vt:lpwstr>
      </vt:variant>
      <vt:variant>
        <vt:i4>4653178</vt:i4>
      </vt:variant>
      <vt:variant>
        <vt:i4>1326</vt:i4>
      </vt:variant>
      <vt:variant>
        <vt:i4>0</vt:i4>
      </vt:variant>
      <vt:variant>
        <vt:i4>5</vt:i4>
      </vt:variant>
      <vt:variant>
        <vt:lpwstr/>
      </vt:variant>
      <vt:variant>
        <vt:lpwstr>NoteLBIPE_D</vt:lpwstr>
      </vt:variant>
      <vt:variant>
        <vt:i4>4653178</vt:i4>
      </vt:variant>
      <vt:variant>
        <vt:i4>1323</vt:i4>
      </vt:variant>
      <vt:variant>
        <vt:i4>0</vt:i4>
      </vt:variant>
      <vt:variant>
        <vt:i4>5</vt:i4>
      </vt:variant>
      <vt:variant>
        <vt:lpwstr/>
      </vt:variant>
      <vt:variant>
        <vt:lpwstr>NoteLBIPE_B</vt:lpwstr>
      </vt:variant>
      <vt:variant>
        <vt:i4>4653178</vt:i4>
      </vt:variant>
      <vt:variant>
        <vt:i4>1320</vt:i4>
      </vt:variant>
      <vt:variant>
        <vt:i4>0</vt:i4>
      </vt:variant>
      <vt:variant>
        <vt:i4>5</vt:i4>
      </vt:variant>
      <vt:variant>
        <vt:lpwstr/>
      </vt:variant>
      <vt:variant>
        <vt:lpwstr>NoteLBIPE_C</vt:lpwstr>
      </vt:variant>
      <vt:variant>
        <vt:i4>4653178</vt:i4>
      </vt:variant>
      <vt:variant>
        <vt:i4>1317</vt:i4>
      </vt:variant>
      <vt:variant>
        <vt:i4>0</vt:i4>
      </vt:variant>
      <vt:variant>
        <vt:i4>5</vt:i4>
      </vt:variant>
      <vt:variant>
        <vt:lpwstr/>
      </vt:variant>
      <vt:variant>
        <vt:lpwstr>NoteLBIPE_A</vt:lpwstr>
      </vt:variant>
      <vt:variant>
        <vt:i4>4653178</vt:i4>
      </vt:variant>
      <vt:variant>
        <vt:i4>1314</vt:i4>
      </vt:variant>
      <vt:variant>
        <vt:i4>0</vt:i4>
      </vt:variant>
      <vt:variant>
        <vt:i4>5</vt:i4>
      </vt:variant>
      <vt:variant>
        <vt:lpwstr/>
      </vt:variant>
      <vt:variant>
        <vt:lpwstr>NoteLBIPE_B</vt:lpwstr>
      </vt:variant>
      <vt:variant>
        <vt:i4>4653178</vt:i4>
      </vt:variant>
      <vt:variant>
        <vt:i4>1311</vt:i4>
      </vt:variant>
      <vt:variant>
        <vt:i4>0</vt:i4>
      </vt:variant>
      <vt:variant>
        <vt:i4>5</vt:i4>
      </vt:variant>
      <vt:variant>
        <vt:lpwstr/>
      </vt:variant>
      <vt:variant>
        <vt:lpwstr>NoteLBIPE_A</vt:lpwstr>
      </vt:variant>
      <vt:variant>
        <vt:i4>131119</vt:i4>
      </vt:variant>
      <vt:variant>
        <vt:i4>1308</vt:i4>
      </vt:variant>
      <vt:variant>
        <vt:i4>0</vt:i4>
      </vt:variant>
      <vt:variant>
        <vt:i4>5</vt:i4>
      </vt:variant>
      <vt:variant>
        <vt:lpwstr/>
      </vt:variant>
      <vt:variant>
        <vt:lpwstr>_4.3_Non-financial_assets</vt:lpwstr>
      </vt:variant>
      <vt:variant>
        <vt:i4>4849703</vt:i4>
      </vt:variant>
      <vt:variant>
        <vt:i4>1305</vt:i4>
      </vt:variant>
      <vt:variant>
        <vt:i4>0</vt:i4>
      </vt:variant>
      <vt:variant>
        <vt:i4>5</vt:i4>
      </vt:variant>
      <vt:variant>
        <vt:lpwstr/>
      </vt:variant>
      <vt:variant>
        <vt:lpwstr>_4.2_Intangible_assets</vt:lpwstr>
      </vt:variant>
      <vt:variant>
        <vt:i4>5832803</vt:i4>
      </vt:variant>
      <vt:variant>
        <vt:i4>1302</vt:i4>
      </vt:variant>
      <vt:variant>
        <vt:i4>0</vt:i4>
      </vt:variant>
      <vt:variant>
        <vt:i4>5</vt:i4>
      </vt:variant>
      <vt:variant>
        <vt:lpwstr/>
      </vt:variant>
      <vt:variant>
        <vt:lpwstr>_4.1_Land,_buildings,</vt:lpwstr>
      </vt:variant>
      <vt:variant>
        <vt:i4>917546</vt:i4>
      </vt:variant>
      <vt:variant>
        <vt:i4>1299</vt:i4>
      </vt:variant>
      <vt:variant>
        <vt:i4>0</vt:i4>
      </vt:variant>
      <vt:variant>
        <vt:i4>5</vt:i4>
      </vt:variant>
      <vt:variant>
        <vt:lpwstr/>
      </vt:variant>
      <vt:variant>
        <vt:lpwstr>NoteOE_A</vt:lpwstr>
      </vt:variant>
      <vt:variant>
        <vt:i4>917546</vt:i4>
      </vt:variant>
      <vt:variant>
        <vt:i4>1296</vt:i4>
      </vt:variant>
      <vt:variant>
        <vt:i4>0</vt:i4>
      </vt:variant>
      <vt:variant>
        <vt:i4>5</vt:i4>
      </vt:variant>
      <vt:variant>
        <vt:lpwstr/>
      </vt:variant>
      <vt:variant>
        <vt:lpwstr>NoteOE_A</vt:lpwstr>
      </vt:variant>
      <vt:variant>
        <vt:i4>3538993</vt:i4>
      </vt:variant>
      <vt:variant>
        <vt:i4>1293</vt:i4>
      </vt:variant>
      <vt:variant>
        <vt:i4>0</vt:i4>
      </vt:variant>
      <vt:variant>
        <vt:i4>5</vt:i4>
      </vt:variant>
      <vt:variant>
        <vt:lpwstr/>
      </vt:variant>
      <vt:variant>
        <vt:lpwstr>_3.11_Provisions</vt:lpwstr>
      </vt:variant>
      <vt:variant>
        <vt:i4>7995456</vt:i4>
      </vt:variant>
      <vt:variant>
        <vt:i4>1290</vt:i4>
      </vt:variant>
      <vt:variant>
        <vt:i4>0</vt:i4>
      </vt:variant>
      <vt:variant>
        <vt:i4>5</vt:i4>
      </vt:variant>
      <vt:variant>
        <vt:lpwstr/>
      </vt:variant>
      <vt:variant>
        <vt:lpwstr>_3.10_Other_current</vt:lpwstr>
      </vt:variant>
      <vt:variant>
        <vt:i4>8323081</vt:i4>
      </vt:variant>
      <vt:variant>
        <vt:i4>1287</vt:i4>
      </vt:variant>
      <vt:variant>
        <vt:i4>0</vt:i4>
      </vt:variant>
      <vt:variant>
        <vt:i4>5</vt:i4>
      </vt:variant>
      <vt:variant>
        <vt:lpwstr/>
      </vt:variant>
      <vt:variant>
        <vt:lpwstr>_3.9_Trade_and</vt:lpwstr>
      </vt:variant>
      <vt:variant>
        <vt:i4>6094891</vt:i4>
      </vt:variant>
      <vt:variant>
        <vt:i4>1284</vt:i4>
      </vt:variant>
      <vt:variant>
        <vt:i4>0</vt:i4>
      </vt:variant>
      <vt:variant>
        <vt:i4>5</vt:i4>
      </vt:variant>
      <vt:variant>
        <vt:lpwstr/>
      </vt:variant>
      <vt:variant>
        <vt:lpwstr>_3.8_Income_and</vt:lpwstr>
      </vt:variant>
      <vt:variant>
        <vt:i4>7274510</vt:i4>
      </vt:variant>
      <vt:variant>
        <vt:i4>1281</vt:i4>
      </vt:variant>
      <vt:variant>
        <vt:i4>0</vt:i4>
      </vt:variant>
      <vt:variant>
        <vt:i4>5</vt:i4>
      </vt:variant>
      <vt:variant>
        <vt:lpwstr/>
      </vt:variant>
      <vt:variant>
        <vt:lpwstr>_3.7_Other_expenses</vt:lpwstr>
      </vt:variant>
      <vt:variant>
        <vt:i4>1245295</vt:i4>
      </vt:variant>
      <vt:variant>
        <vt:i4>1278</vt:i4>
      </vt:variant>
      <vt:variant>
        <vt:i4>0</vt:i4>
      </vt:variant>
      <vt:variant>
        <vt:i4>5</vt:i4>
      </vt:variant>
      <vt:variant>
        <vt:lpwstr/>
      </vt:variant>
      <vt:variant>
        <vt:lpwstr>_3.6_Asset_transfers</vt:lpwstr>
      </vt:variant>
      <vt:variant>
        <vt:i4>3997789</vt:i4>
      </vt:variant>
      <vt:variant>
        <vt:i4>1275</vt:i4>
      </vt:variant>
      <vt:variant>
        <vt:i4>0</vt:i4>
      </vt:variant>
      <vt:variant>
        <vt:i4>5</vt:i4>
      </vt:variant>
      <vt:variant>
        <vt:lpwstr/>
      </vt:variant>
      <vt:variant>
        <vt:lpwstr>_3.5_Government_rates</vt:lpwstr>
      </vt:variant>
      <vt:variant>
        <vt:i4>2359373</vt:i4>
      </vt:variant>
      <vt:variant>
        <vt:i4>1272</vt:i4>
      </vt:variant>
      <vt:variant>
        <vt:i4>0</vt:i4>
      </vt:variant>
      <vt:variant>
        <vt:i4>5</vt:i4>
      </vt:variant>
      <vt:variant>
        <vt:lpwstr/>
      </vt:variant>
      <vt:variant>
        <vt:lpwstr>_3.4_Administrative_expenses</vt:lpwstr>
      </vt:variant>
      <vt:variant>
        <vt:i4>1900649</vt:i4>
      </vt:variant>
      <vt:variant>
        <vt:i4>1269</vt:i4>
      </vt:variant>
      <vt:variant>
        <vt:i4>0</vt:i4>
      </vt:variant>
      <vt:variant>
        <vt:i4>5</vt:i4>
      </vt:variant>
      <vt:variant>
        <vt:lpwstr/>
      </vt:variant>
      <vt:variant>
        <vt:lpwstr>_3.3_Repairs_and</vt:lpwstr>
      </vt:variant>
      <vt:variant>
        <vt:i4>5963821</vt:i4>
      </vt:variant>
      <vt:variant>
        <vt:i4>1266</vt:i4>
      </vt:variant>
      <vt:variant>
        <vt:i4>0</vt:i4>
      </vt:variant>
      <vt:variant>
        <vt:i4>5</vt:i4>
      </vt:variant>
      <vt:variant>
        <vt:lpwstr/>
      </vt:variant>
      <vt:variant>
        <vt:lpwstr>_3.2_Employee_benefits</vt:lpwstr>
      </vt:variant>
      <vt:variant>
        <vt:i4>1835111</vt:i4>
      </vt:variant>
      <vt:variant>
        <vt:i4>1263</vt:i4>
      </vt:variant>
      <vt:variant>
        <vt:i4>0</vt:i4>
      </vt:variant>
      <vt:variant>
        <vt:i4>5</vt:i4>
      </vt:variant>
      <vt:variant>
        <vt:lpwstr/>
      </vt:variant>
      <vt:variant>
        <vt:lpwstr>_3.1_Operational_expenses</vt:lpwstr>
      </vt:variant>
      <vt:variant>
        <vt:i4>458847</vt:i4>
      </vt:variant>
      <vt:variant>
        <vt:i4>1260</vt:i4>
      </vt:variant>
      <vt:variant>
        <vt:i4>0</vt:i4>
      </vt:variant>
      <vt:variant>
        <vt:i4>5</vt:i4>
      </vt:variant>
      <vt:variant>
        <vt:lpwstr/>
      </vt:variant>
      <vt:variant>
        <vt:lpwstr>_2.3_Receivables</vt:lpwstr>
      </vt:variant>
      <vt:variant>
        <vt:i4>1179745</vt:i4>
      </vt:variant>
      <vt:variant>
        <vt:i4>1257</vt:i4>
      </vt:variant>
      <vt:variant>
        <vt:i4>0</vt:i4>
      </vt:variant>
      <vt:variant>
        <vt:i4>5</vt:i4>
      </vt:variant>
      <vt:variant>
        <vt:lpwstr/>
      </vt:variant>
      <vt:variant>
        <vt:lpwstr>_2.2_Other_Income</vt:lpwstr>
      </vt:variant>
      <vt:variant>
        <vt:i4>786523</vt:i4>
      </vt:variant>
      <vt:variant>
        <vt:i4>1254</vt:i4>
      </vt:variant>
      <vt:variant>
        <vt:i4>0</vt:i4>
      </vt:variant>
      <vt:variant>
        <vt:i4>5</vt:i4>
      </vt:variant>
      <vt:variant>
        <vt:lpwstr/>
      </vt:variant>
      <vt:variant>
        <vt:lpwstr>_2.1_Revenue</vt:lpwstr>
      </vt:variant>
      <vt:variant>
        <vt:i4>1114185</vt:i4>
      </vt:variant>
      <vt:variant>
        <vt:i4>1251</vt:i4>
      </vt:variant>
      <vt:variant>
        <vt:i4>0</vt:i4>
      </vt:variant>
      <vt:variant>
        <vt:i4>5</vt:i4>
      </vt:variant>
      <vt:variant>
        <vt:lpwstr/>
      </vt:variant>
      <vt:variant>
        <vt:lpwstr>_5.3_Commitments</vt:lpwstr>
      </vt:variant>
      <vt:variant>
        <vt:i4>5373996</vt:i4>
      </vt:variant>
      <vt:variant>
        <vt:i4>1248</vt:i4>
      </vt:variant>
      <vt:variant>
        <vt:i4>0</vt:i4>
      </vt:variant>
      <vt:variant>
        <vt:i4>5</vt:i4>
      </vt:variant>
      <vt:variant>
        <vt:lpwstr/>
      </vt:variant>
      <vt:variant>
        <vt:lpwstr>_6.3_Contingent_assets</vt:lpwstr>
      </vt:variant>
      <vt:variant>
        <vt:i4>6094891</vt:i4>
      </vt:variant>
      <vt:variant>
        <vt:i4>1245</vt:i4>
      </vt:variant>
      <vt:variant>
        <vt:i4>0</vt:i4>
      </vt:variant>
      <vt:variant>
        <vt:i4>5</vt:i4>
      </vt:variant>
      <vt:variant>
        <vt:lpwstr/>
      </vt:variant>
      <vt:variant>
        <vt:lpwstr>_3.8_Income_and</vt:lpwstr>
      </vt:variant>
      <vt:variant>
        <vt:i4>720947</vt:i4>
      </vt:variant>
      <vt:variant>
        <vt:i4>1242</vt:i4>
      </vt:variant>
      <vt:variant>
        <vt:i4>0</vt:i4>
      </vt:variant>
      <vt:variant>
        <vt:i4>5</vt:i4>
      </vt:variant>
      <vt:variant>
        <vt:lpwstr/>
      </vt:variant>
      <vt:variant>
        <vt:lpwstr>_4.1.3_Depreciation,_amortisation</vt:lpwstr>
      </vt:variant>
      <vt:variant>
        <vt:i4>3538993</vt:i4>
      </vt:variant>
      <vt:variant>
        <vt:i4>1239</vt:i4>
      </vt:variant>
      <vt:variant>
        <vt:i4>0</vt:i4>
      </vt:variant>
      <vt:variant>
        <vt:i4>5</vt:i4>
      </vt:variant>
      <vt:variant>
        <vt:lpwstr/>
      </vt:variant>
      <vt:variant>
        <vt:lpwstr>_3.11_Provisions</vt:lpwstr>
      </vt:variant>
      <vt:variant>
        <vt:i4>5963821</vt:i4>
      </vt:variant>
      <vt:variant>
        <vt:i4>1236</vt:i4>
      </vt:variant>
      <vt:variant>
        <vt:i4>0</vt:i4>
      </vt:variant>
      <vt:variant>
        <vt:i4>5</vt:i4>
      </vt:variant>
      <vt:variant>
        <vt:lpwstr/>
      </vt:variant>
      <vt:variant>
        <vt:lpwstr>_3.2_Employee_benefits</vt:lpwstr>
      </vt:variant>
      <vt:variant>
        <vt:i4>2621527</vt:i4>
      </vt:variant>
      <vt:variant>
        <vt:i4>1233</vt:i4>
      </vt:variant>
      <vt:variant>
        <vt:i4>0</vt:i4>
      </vt:variant>
      <vt:variant>
        <vt:i4>5</vt:i4>
      </vt:variant>
      <vt:variant>
        <vt:lpwstr/>
      </vt:variant>
      <vt:variant>
        <vt:lpwstr>_7.1_Superannuation_-</vt:lpwstr>
      </vt:variant>
      <vt:variant>
        <vt:i4>7536649</vt:i4>
      </vt:variant>
      <vt:variant>
        <vt:i4>1230</vt:i4>
      </vt:variant>
      <vt:variant>
        <vt:i4>0</vt:i4>
      </vt:variant>
      <vt:variant>
        <vt:i4>5</vt:i4>
      </vt:variant>
      <vt:variant>
        <vt:lpwstr/>
      </vt:variant>
      <vt:variant>
        <vt:lpwstr>_4.1.2_Fair_value</vt:lpwstr>
      </vt:variant>
      <vt:variant>
        <vt:i4>917542</vt:i4>
      </vt:variant>
      <vt:variant>
        <vt:i4>1221</vt:i4>
      </vt:variant>
      <vt:variant>
        <vt:i4>0</vt:i4>
      </vt:variant>
      <vt:variant>
        <vt:i4>5</vt:i4>
      </vt:variant>
      <vt:variant>
        <vt:lpwstr/>
      </vt:variant>
      <vt:variant>
        <vt:lpwstr>NoteCF_B</vt:lpwstr>
      </vt:variant>
      <vt:variant>
        <vt:i4>917542</vt:i4>
      </vt:variant>
      <vt:variant>
        <vt:i4>1218</vt:i4>
      </vt:variant>
      <vt:variant>
        <vt:i4>0</vt:i4>
      </vt:variant>
      <vt:variant>
        <vt:i4>5</vt:i4>
      </vt:variant>
      <vt:variant>
        <vt:lpwstr/>
      </vt:variant>
      <vt:variant>
        <vt:lpwstr>NoteCF_B</vt:lpwstr>
      </vt:variant>
      <vt:variant>
        <vt:i4>852006</vt:i4>
      </vt:variant>
      <vt:variant>
        <vt:i4>1215</vt:i4>
      </vt:variant>
      <vt:variant>
        <vt:i4>0</vt:i4>
      </vt:variant>
      <vt:variant>
        <vt:i4>5</vt:i4>
      </vt:variant>
      <vt:variant>
        <vt:lpwstr/>
      </vt:variant>
      <vt:variant>
        <vt:lpwstr>NoteCF_A</vt:lpwstr>
      </vt:variant>
      <vt:variant>
        <vt:i4>3932188</vt:i4>
      </vt:variant>
      <vt:variant>
        <vt:i4>1206</vt:i4>
      </vt:variant>
      <vt:variant>
        <vt:i4>0</vt:i4>
      </vt:variant>
      <vt:variant>
        <vt:i4>5</vt:i4>
      </vt:variant>
      <vt:variant>
        <vt:lpwstr/>
      </vt:variant>
      <vt:variant>
        <vt:lpwstr>NoteCIE_B</vt:lpwstr>
      </vt:variant>
      <vt:variant>
        <vt:i4>3932188</vt:i4>
      </vt:variant>
      <vt:variant>
        <vt:i4>1203</vt:i4>
      </vt:variant>
      <vt:variant>
        <vt:i4>0</vt:i4>
      </vt:variant>
      <vt:variant>
        <vt:i4>5</vt:i4>
      </vt:variant>
      <vt:variant>
        <vt:lpwstr/>
      </vt:variant>
      <vt:variant>
        <vt:lpwstr>NoteCIE_A</vt:lpwstr>
      </vt:variant>
      <vt:variant>
        <vt:i4>3932188</vt:i4>
      </vt:variant>
      <vt:variant>
        <vt:i4>1200</vt:i4>
      </vt:variant>
      <vt:variant>
        <vt:i4>0</vt:i4>
      </vt:variant>
      <vt:variant>
        <vt:i4>5</vt:i4>
      </vt:variant>
      <vt:variant>
        <vt:lpwstr/>
      </vt:variant>
      <vt:variant>
        <vt:lpwstr>NoteCIE_B</vt:lpwstr>
      </vt:variant>
      <vt:variant>
        <vt:i4>3932188</vt:i4>
      </vt:variant>
      <vt:variant>
        <vt:i4>1197</vt:i4>
      </vt:variant>
      <vt:variant>
        <vt:i4>0</vt:i4>
      </vt:variant>
      <vt:variant>
        <vt:i4>5</vt:i4>
      </vt:variant>
      <vt:variant>
        <vt:lpwstr/>
      </vt:variant>
      <vt:variant>
        <vt:lpwstr>NoteCIE_A</vt:lpwstr>
      </vt:variant>
      <vt:variant>
        <vt:i4>1638435</vt:i4>
      </vt:variant>
      <vt:variant>
        <vt:i4>1182</vt:i4>
      </vt:variant>
      <vt:variant>
        <vt:i4>0</vt:i4>
      </vt:variant>
      <vt:variant>
        <vt:i4>5</vt:i4>
      </vt:variant>
      <vt:variant>
        <vt:lpwstr/>
      </vt:variant>
      <vt:variant>
        <vt:lpwstr>NoteFP_C</vt:lpwstr>
      </vt:variant>
      <vt:variant>
        <vt:i4>1638435</vt:i4>
      </vt:variant>
      <vt:variant>
        <vt:i4>1179</vt:i4>
      </vt:variant>
      <vt:variant>
        <vt:i4>0</vt:i4>
      </vt:variant>
      <vt:variant>
        <vt:i4>5</vt:i4>
      </vt:variant>
      <vt:variant>
        <vt:lpwstr/>
      </vt:variant>
      <vt:variant>
        <vt:lpwstr>NoteFP_C</vt:lpwstr>
      </vt:variant>
      <vt:variant>
        <vt:i4>1572899</vt:i4>
      </vt:variant>
      <vt:variant>
        <vt:i4>1176</vt:i4>
      </vt:variant>
      <vt:variant>
        <vt:i4>0</vt:i4>
      </vt:variant>
      <vt:variant>
        <vt:i4>5</vt:i4>
      </vt:variant>
      <vt:variant>
        <vt:lpwstr/>
      </vt:variant>
      <vt:variant>
        <vt:lpwstr>NoteFP_B</vt:lpwstr>
      </vt:variant>
      <vt:variant>
        <vt:i4>1769507</vt:i4>
      </vt:variant>
      <vt:variant>
        <vt:i4>1173</vt:i4>
      </vt:variant>
      <vt:variant>
        <vt:i4>0</vt:i4>
      </vt:variant>
      <vt:variant>
        <vt:i4>5</vt:i4>
      </vt:variant>
      <vt:variant>
        <vt:lpwstr/>
      </vt:variant>
      <vt:variant>
        <vt:lpwstr>NoteFP_A</vt:lpwstr>
      </vt:variant>
      <vt:variant>
        <vt:i4>6422556</vt:i4>
      </vt:variant>
      <vt:variant>
        <vt:i4>1170</vt:i4>
      </vt:variant>
      <vt:variant>
        <vt:i4>0</vt:i4>
      </vt:variant>
      <vt:variant>
        <vt:i4>5</vt:i4>
      </vt:variant>
      <vt:variant>
        <vt:lpwstr/>
      </vt:variant>
      <vt:variant>
        <vt:lpwstr>_7.8_Prospective_accounting</vt:lpwstr>
      </vt:variant>
      <vt:variant>
        <vt:i4>5963836</vt:i4>
      </vt:variant>
      <vt:variant>
        <vt:i4>1167</vt:i4>
      </vt:variant>
      <vt:variant>
        <vt:i4>0</vt:i4>
      </vt:variant>
      <vt:variant>
        <vt:i4>5</vt:i4>
      </vt:variant>
      <vt:variant>
        <vt:lpwstr/>
      </vt:variant>
      <vt:variant>
        <vt:lpwstr>_7.7_Subsequent_events</vt:lpwstr>
      </vt:variant>
      <vt:variant>
        <vt:i4>3145736</vt:i4>
      </vt:variant>
      <vt:variant>
        <vt:i4>1164</vt:i4>
      </vt:variant>
      <vt:variant>
        <vt:i4>0</vt:i4>
      </vt:variant>
      <vt:variant>
        <vt:i4>5</vt:i4>
      </vt:variant>
      <vt:variant>
        <vt:lpwstr/>
      </vt:variant>
      <vt:variant>
        <vt:lpwstr>_7.6_Ex-gratia_expenses</vt:lpwstr>
      </vt:variant>
      <vt:variant>
        <vt:i4>2293842</vt:i4>
      </vt:variant>
      <vt:variant>
        <vt:i4>1161</vt:i4>
      </vt:variant>
      <vt:variant>
        <vt:i4>0</vt:i4>
      </vt:variant>
      <vt:variant>
        <vt:i4>5</vt:i4>
      </vt:variant>
      <vt:variant>
        <vt:lpwstr/>
      </vt:variant>
      <vt:variant>
        <vt:lpwstr>_7.5_Remuneration_of</vt:lpwstr>
      </vt:variant>
      <vt:variant>
        <vt:i4>1376352</vt:i4>
      </vt:variant>
      <vt:variant>
        <vt:i4>1158</vt:i4>
      </vt:variant>
      <vt:variant>
        <vt:i4>0</vt:i4>
      </vt:variant>
      <vt:variant>
        <vt:i4>5</vt:i4>
      </vt:variant>
      <vt:variant>
        <vt:lpwstr/>
      </vt:variant>
      <vt:variant>
        <vt:lpwstr>_7.4_Related_Parties</vt:lpwstr>
      </vt:variant>
      <vt:variant>
        <vt:i4>2424914</vt:i4>
      </vt:variant>
      <vt:variant>
        <vt:i4>1155</vt:i4>
      </vt:variant>
      <vt:variant>
        <vt:i4>0</vt:i4>
      </vt:variant>
      <vt:variant>
        <vt:i4>5</vt:i4>
      </vt:variant>
      <vt:variant>
        <vt:lpwstr/>
      </vt:variant>
      <vt:variant>
        <vt:lpwstr>_7.3_Remuneration_of</vt:lpwstr>
      </vt:variant>
      <vt:variant>
        <vt:i4>65655</vt:i4>
      </vt:variant>
      <vt:variant>
        <vt:i4>1152</vt:i4>
      </vt:variant>
      <vt:variant>
        <vt:i4>0</vt:i4>
      </vt:variant>
      <vt:variant>
        <vt:i4>5</vt:i4>
      </vt:variant>
      <vt:variant>
        <vt:lpwstr/>
      </vt:variant>
      <vt:variant>
        <vt:lpwstr>_7.2_Responsible_persons</vt:lpwstr>
      </vt:variant>
      <vt:variant>
        <vt:i4>2621527</vt:i4>
      </vt:variant>
      <vt:variant>
        <vt:i4>1149</vt:i4>
      </vt:variant>
      <vt:variant>
        <vt:i4>0</vt:i4>
      </vt:variant>
      <vt:variant>
        <vt:i4>5</vt:i4>
      </vt:variant>
      <vt:variant>
        <vt:lpwstr/>
      </vt:variant>
      <vt:variant>
        <vt:lpwstr>_7.1_Superannuation_-</vt:lpwstr>
      </vt:variant>
      <vt:variant>
        <vt:i4>8126564</vt:i4>
      </vt:variant>
      <vt:variant>
        <vt:i4>1146</vt:i4>
      </vt:variant>
      <vt:variant>
        <vt:i4>0</vt:i4>
      </vt:variant>
      <vt:variant>
        <vt:i4>5</vt:i4>
      </vt:variant>
      <vt:variant>
        <vt:lpwstr/>
      </vt:variant>
      <vt:variant>
        <vt:lpwstr>_Other_Disclosures</vt:lpwstr>
      </vt:variant>
      <vt:variant>
        <vt:i4>5373996</vt:i4>
      </vt:variant>
      <vt:variant>
        <vt:i4>1143</vt:i4>
      </vt:variant>
      <vt:variant>
        <vt:i4>0</vt:i4>
      </vt:variant>
      <vt:variant>
        <vt:i4>5</vt:i4>
      </vt:variant>
      <vt:variant>
        <vt:lpwstr/>
      </vt:variant>
      <vt:variant>
        <vt:lpwstr>_6.3_Contingent_assets</vt:lpwstr>
      </vt:variant>
      <vt:variant>
        <vt:i4>4194343</vt:i4>
      </vt:variant>
      <vt:variant>
        <vt:i4>1140</vt:i4>
      </vt:variant>
      <vt:variant>
        <vt:i4>0</vt:i4>
      </vt:variant>
      <vt:variant>
        <vt:i4>5</vt:i4>
      </vt:variant>
      <vt:variant>
        <vt:lpwstr/>
      </vt:variant>
      <vt:variant>
        <vt:lpwstr>_6.2_Fair_value</vt:lpwstr>
      </vt:variant>
      <vt:variant>
        <vt:i4>8126469</vt:i4>
      </vt:variant>
      <vt:variant>
        <vt:i4>1137</vt:i4>
      </vt:variant>
      <vt:variant>
        <vt:i4>0</vt:i4>
      </vt:variant>
      <vt:variant>
        <vt:i4>5</vt:i4>
      </vt:variant>
      <vt:variant>
        <vt:lpwstr/>
      </vt:variant>
      <vt:variant>
        <vt:lpwstr>_6.1_Financial_instruments</vt:lpwstr>
      </vt:variant>
      <vt:variant>
        <vt:i4>2752570</vt:i4>
      </vt:variant>
      <vt:variant>
        <vt:i4>1134</vt:i4>
      </vt:variant>
      <vt:variant>
        <vt:i4>0</vt:i4>
      </vt:variant>
      <vt:variant>
        <vt:i4>5</vt:i4>
      </vt:variant>
      <vt:variant>
        <vt:lpwstr/>
      </vt:variant>
      <vt:variant>
        <vt:lpwstr>_Risk_management</vt:lpwstr>
      </vt:variant>
      <vt:variant>
        <vt:i4>1114185</vt:i4>
      </vt:variant>
      <vt:variant>
        <vt:i4>1131</vt:i4>
      </vt:variant>
      <vt:variant>
        <vt:i4>0</vt:i4>
      </vt:variant>
      <vt:variant>
        <vt:i4>5</vt:i4>
      </vt:variant>
      <vt:variant>
        <vt:lpwstr/>
      </vt:variant>
      <vt:variant>
        <vt:lpwstr>_5.3_Commitments</vt:lpwstr>
      </vt:variant>
      <vt:variant>
        <vt:i4>5439534</vt:i4>
      </vt:variant>
      <vt:variant>
        <vt:i4>1128</vt:i4>
      </vt:variant>
      <vt:variant>
        <vt:i4>0</vt:i4>
      </vt:variant>
      <vt:variant>
        <vt:i4>5</vt:i4>
      </vt:variant>
      <vt:variant>
        <vt:lpwstr/>
      </vt:variant>
      <vt:variant>
        <vt:lpwstr>_5.2_Cash_flow</vt:lpwstr>
      </vt:variant>
      <vt:variant>
        <vt:i4>4063326</vt:i4>
      </vt:variant>
      <vt:variant>
        <vt:i4>1125</vt:i4>
      </vt:variant>
      <vt:variant>
        <vt:i4>0</vt:i4>
      </vt:variant>
      <vt:variant>
        <vt:i4>5</vt:i4>
      </vt:variant>
      <vt:variant>
        <vt:lpwstr/>
      </vt:variant>
      <vt:variant>
        <vt:lpwstr>_5.1_Interest_bearing</vt:lpwstr>
      </vt:variant>
      <vt:variant>
        <vt:i4>1638454</vt:i4>
      </vt:variant>
      <vt:variant>
        <vt:i4>1122</vt:i4>
      </vt:variant>
      <vt:variant>
        <vt:i4>0</vt:i4>
      </vt:variant>
      <vt:variant>
        <vt:i4>5</vt:i4>
      </vt:variant>
      <vt:variant>
        <vt:lpwstr/>
      </vt:variant>
      <vt:variant>
        <vt:lpwstr>_Financing_Our_Operations</vt:lpwstr>
      </vt:variant>
      <vt:variant>
        <vt:i4>131119</vt:i4>
      </vt:variant>
      <vt:variant>
        <vt:i4>1119</vt:i4>
      </vt:variant>
      <vt:variant>
        <vt:i4>0</vt:i4>
      </vt:variant>
      <vt:variant>
        <vt:i4>5</vt:i4>
      </vt:variant>
      <vt:variant>
        <vt:lpwstr/>
      </vt:variant>
      <vt:variant>
        <vt:lpwstr>_4.3_Non-financial_assets</vt:lpwstr>
      </vt:variant>
      <vt:variant>
        <vt:i4>4849703</vt:i4>
      </vt:variant>
      <vt:variant>
        <vt:i4>1116</vt:i4>
      </vt:variant>
      <vt:variant>
        <vt:i4>0</vt:i4>
      </vt:variant>
      <vt:variant>
        <vt:i4>5</vt:i4>
      </vt:variant>
      <vt:variant>
        <vt:lpwstr/>
      </vt:variant>
      <vt:variant>
        <vt:lpwstr>_4.2_Intangible_assets</vt:lpwstr>
      </vt:variant>
      <vt:variant>
        <vt:i4>5832803</vt:i4>
      </vt:variant>
      <vt:variant>
        <vt:i4>1113</vt:i4>
      </vt:variant>
      <vt:variant>
        <vt:i4>0</vt:i4>
      </vt:variant>
      <vt:variant>
        <vt:i4>5</vt:i4>
      </vt:variant>
      <vt:variant>
        <vt:lpwstr/>
      </vt:variant>
      <vt:variant>
        <vt:lpwstr>_4.1_Land,_buildings,</vt:lpwstr>
      </vt:variant>
      <vt:variant>
        <vt:i4>1769509</vt:i4>
      </vt:variant>
      <vt:variant>
        <vt:i4>1110</vt:i4>
      </vt:variant>
      <vt:variant>
        <vt:i4>0</vt:i4>
      </vt:variant>
      <vt:variant>
        <vt:i4>5</vt:i4>
      </vt:variant>
      <vt:variant>
        <vt:lpwstr/>
      </vt:variant>
      <vt:variant>
        <vt:lpwstr>_Assets_Available_to</vt:lpwstr>
      </vt:variant>
      <vt:variant>
        <vt:i4>3538993</vt:i4>
      </vt:variant>
      <vt:variant>
        <vt:i4>1107</vt:i4>
      </vt:variant>
      <vt:variant>
        <vt:i4>0</vt:i4>
      </vt:variant>
      <vt:variant>
        <vt:i4>5</vt:i4>
      </vt:variant>
      <vt:variant>
        <vt:lpwstr/>
      </vt:variant>
      <vt:variant>
        <vt:lpwstr>_3.11_Provisions</vt:lpwstr>
      </vt:variant>
      <vt:variant>
        <vt:i4>7995456</vt:i4>
      </vt:variant>
      <vt:variant>
        <vt:i4>1104</vt:i4>
      </vt:variant>
      <vt:variant>
        <vt:i4>0</vt:i4>
      </vt:variant>
      <vt:variant>
        <vt:i4>5</vt:i4>
      </vt:variant>
      <vt:variant>
        <vt:lpwstr/>
      </vt:variant>
      <vt:variant>
        <vt:lpwstr>_3.10_Other_current</vt:lpwstr>
      </vt:variant>
      <vt:variant>
        <vt:i4>8323081</vt:i4>
      </vt:variant>
      <vt:variant>
        <vt:i4>1101</vt:i4>
      </vt:variant>
      <vt:variant>
        <vt:i4>0</vt:i4>
      </vt:variant>
      <vt:variant>
        <vt:i4>5</vt:i4>
      </vt:variant>
      <vt:variant>
        <vt:lpwstr/>
      </vt:variant>
      <vt:variant>
        <vt:lpwstr>_3.9_Trade_and</vt:lpwstr>
      </vt:variant>
      <vt:variant>
        <vt:i4>6094891</vt:i4>
      </vt:variant>
      <vt:variant>
        <vt:i4>1098</vt:i4>
      </vt:variant>
      <vt:variant>
        <vt:i4>0</vt:i4>
      </vt:variant>
      <vt:variant>
        <vt:i4>5</vt:i4>
      </vt:variant>
      <vt:variant>
        <vt:lpwstr/>
      </vt:variant>
      <vt:variant>
        <vt:lpwstr>_3.8_Income_and</vt:lpwstr>
      </vt:variant>
      <vt:variant>
        <vt:i4>7274510</vt:i4>
      </vt:variant>
      <vt:variant>
        <vt:i4>1095</vt:i4>
      </vt:variant>
      <vt:variant>
        <vt:i4>0</vt:i4>
      </vt:variant>
      <vt:variant>
        <vt:i4>5</vt:i4>
      </vt:variant>
      <vt:variant>
        <vt:lpwstr/>
      </vt:variant>
      <vt:variant>
        <vt:lpwstr>_3.7_Other_expenses</vt:lpwstr>
      </vt:variant>
      <vt:variant>
        <vt:i4>1245295</vt:i4>
      </vt:variant>
      <vt:variant>
        <vt:i4>1092</vt:i4>
      </vt:variant>
      <vt:variant>
        <vt:i4>0</vt:i4>
      </vt:variant>
      <vt:variant>
        <vt:i4>5</vt:i4>
      </vt:variant>
      <vt:variant>
        <vt:lpwstr/>
      </vt:variant>
      <vt:variant>
        <vt:lpwstr>_3.6_Asset_transfers</vt:lpwstr>
      </vt:variant>
      <vt:variant>
        <vt:i4>3997789</vt:i4>
      </vt:variant>
      <vt:variant>
        <vt:i4>1089</vt:i4>
      </vt:variant>
      <vt:variant>
        <vt:i4>0</vt:i4>
      </vt:variant>
      <vt:variant>
        <vt:i4>5</vt:i4>
      </vt:variant>
      <vt:variant>
        <vt:lpwstr/>
      </vt:variant>
      <vt:variant>
        <vt:lpwstr>_3.5_Government_rates</vt:lpwstr>
      </vt:variant>
      <vt:variant>
        <vt:i4>2359373</vt:i4>
      </vt:variant>
      <vt:variant>
        <vt:i4>1086</vt:i4>
      </vt:variant>
      <vt:variant>
        <vt:i4>0</vt:i4>
      </vt:variant>
      <vt:variant>
        <vt:i4>5</vt:i4>
      </vt:variant>
      <vt:variant>
        <vt:lpwstr/>
      </vt:variant>
      <vt:variant>
        <vt:lpwstr>_3.4_Administrative_expenses</vt:lpwstr>
      </vt:variant>
      <vt:variant>
        <vt:i4>1900649</vt:i4>
      </vt:variant>
      <vt:variant>
        <vt:i4>1083</vt:i4>
      </vt:variant>
      <vt:variant>
        <vt:i4>0</vt:i4>
      </vt:variant>
      <vt:variant>
        <vt:i4>5</vt:i4>
      </vt:variant>
      <vt:variant>
        <vt:lpwstr/>
      </vt:variant>
      <vt:variant>
        <vt:lpwstr>_3.3_Repairs_and</vt:lpwstr>
      </vt:variant>
      <vt:variant>
        <vt:i4>5963821</vt:i4>
      </vt:variant>
      <vt:variant>
        <vt:i4>1080</vt:i4>
      </vt:variant>
      <vt:variant>
        <vt:i4>0</vt:i4>
      </vt:variant>
      <vt:variant>
        <vt:i4>5</vt:i4>
      </vt:variant>
      <vt:variant>
        <vt:lpwstr/>
      </vt:variant>
      <vt:variant>
        <vt:lpwstr>_3.2_Employee_benefits</vt:lpwstr>
      </vt:variant>
      <vt:variant>
        <vt:i4>1835111</vt:i4>
      </vt:variant>
      <vt:variant>
        <vt:i4>1077</vt:i4>
      </vt:variant>
      <vt:variant>
        <vt:i4>0</vt:i4>
      </vt:variant>
      <vt:variant>
        <vt:i4>5</vt:i4>
      </vt:variant>
      <vt:variant>
        <vt:lpwstr/>
      </vt:variant>
      <vt:variant>
        <vt:lpwstr>_3.1_Operational_expenses</vt:lpwstr>
      </vt:variant>
      <vt:variant>
        <vt:i4>3670044</vt:i4>
      </vt:variant>
      <vt:variant>
        <vt:i4>1074</vt:i4>
      </vt:variant>
      <vt:variant>
        <vt:i4>0</vt:i4>
      </vt:variant>
      <vt:variant>
        <vt:i4>5</vt:i4>
      </vt:variant>
      <vt:variant>
        <vt:lpwstr/>
      </vt:variant>
      <vt:variant>
        <vt:lpwstr>_The_Cost_of</vt:lpwstr>
      </vt:variant>
      <vt:variant>
        <vt:i4>458847</vt:i4>
      </vt:variant>
      <vt:variant>
        <vt:i4>1071</vt:i4>
      </vt:variant>
      <vt:variant>
        <vt:i4>0</vt:i4>
      </vt:variant>
      <vt:variant>
        <vt:i4>5</vt:i4>
      </vt:variant>
      <vt:variant>
        <vt:lpwstr/>
      </vt:variant>
      <vt:variant>
        <vt:lpwstr>_2.3_Receivables</vt:lpwstr>
      </vt:variant>
      <vt:variant>
        <vt:i4>1179745</vt:i4>
      </vt:variant>
      <vt:variant>
        <vt:i4>1068</vt:i4>
      </vt:variant>
      <vt:variant>
        <vt:i4>0</vt:i4>
      </vt:variant>
      <vt:variant>
        <vt:i4>5</vt:i4>
      </vt:variant>
      <vt:variant>
        <vt:lpwstr/>
      </vt:variant>
      <vt:variant>
        <vt:lpwstr>_2.2_Other_Income</vt:lpwstr>
      </vt:variant>
      <vt:variant>
        <vt:i4>786523</vt:i4>
      </vt:variant>
      <vt:variant>
        <vt:i4>1065</vt:i4>
      </vt:variant>
      <vt:variant>
        <vt:i4>0</vt:i4>
      </vt:variant>
      <vt:variant>
        <vt:i4>5</vt:i4>
      </vt:variant>
      <vt:variant>
        <vt:lpwstr/>
      </vt:variant>
      <vt:variant>
        <vt:lpwstr>_2.1_Revenue</vt:lpwstr>
      </vt:variant>
      <vt:variant>
        <vt:i4>3342336</vt:i4>
      </vt:variant>
      <vt:variant>
        <vt:i4>1062</vt:i4>
      </vt:variant>
      <vt:variant>
        <vt:i4>0</vt:i4>
      </vt:variant>
      <vt:variant>
        <vt:i4>5</vt:i4>
      </vt:variant>
      <vt:variant>
        <vt:lpwstr/>
      </vt:variant>
      <vt:variant>
        <vt:lpwstr>_Funding_Delivery_of</vt:lpwstr>
      </vt:variant>
      <vt:variant>
        <vt:i4>4587644</vt:i4>
      </vt:variant>
      <vt:variant>
        <vt:i4>1059</vt:i4>
      </vt:variant>
      <vt:variant>
        <vt:i4>0</vt:i4>
      </vt:variant>
      <vt:variant>
        <vt:i4>5</vt:i4>
      </vt:variant>
      <vt:variant>
        <vt:lpwstr/>
      </vt:variant>
      <vt:variant>
        <vt:lpwstr>_About_this_Report</vt:lpwstr>
      </vt:variant>
      <vt:variant>
        <vt:i4>7012463</vt:i4>
      </vt:variant>
      <vt:variant>
        <vt:i4>1026</vt:i4>
      </vt:variant>
      <vt:variant>
        <vt:i4>0</vt:i4>
      </vt:variant>
      <vt:variant>
        <vt:i4>5</vt:i4>
      </vt:variant>
      <vt:variant>
        <vt:lpwstr/>
      </vt:variant>
      <vt:variant>
        <vt:lpwstr>CaseStudyDeliveringExceptional</vt:lpwstr>
      </vt:variant>
      <vt:variant>
        <vt:i4>5505104</vt:i4>
      </vt:variant>
      <vt:variant>
        <vt:i4>1020</vt:i4>
      </vt:variant>
      <vt:variant>
        <vt:i4>0</vt:i4>
      </vt:variant>
      <vt:variant>
        <vt:i4>5</vt:i4>
      </vt:variant>
      <vt:variant>
        <vt:lpwstr>https://www.melbournewater.com.au/media/372/download</vt:lpwstr>
      </vt:variant>
      <vt:variant>
        <vt:lpwstr/>
      </vt:variant>
      <vt:variant>
        <vt:i4>5505104</vt:i4>
      </vt:variant>
      <vt:variant>
        <vt:i4>1017</vt:i4>
      </vt:variant>
      <vt:variant>
        <vt:i4>0</vt:i4>
      </vt:variant>
      <vt:variant>
        <vt:i4>5</vt:i4>
      </vt:variant>
      <vt:variant>
        <vt:lpwstr>https://www.melbournewater.com.au/media/372/download</vt:lpwstr>
      </vt:variant>
      <vt:variant>
        <vt:lpwstr/>
      </vt:variant>
      <vt:variant>
        <vt:i4>1507346</vt:i4>
      </vt:variant>
      <vt:variant>
        <vt:i4>1014</vt:i4>
      </vt:variant>
      <vt:variant>
        <vt:i4>0</vt:i4>
      </vt:variant>
      <vt:variant>
        <vt:i4>5</vt:i4>
      </vt:variant>
      <vt:variant>
        <vt:lpwstr/>
      </vt:variant>
      <vt:variant>
        <vt:lpwstr>CaseStudyReshapingTraditionalGenderRoles</vt:lpwstr>
      </vt:variant>
      <vt:variant>
        <vt:i4>5505109</vt:i4>
      </vt:variant>
      <vt:variant>
        <vt:i4>1002</vt:i4>
      </vt:variant>
      <vt:variant>
        <vt:i4>0</vt:i4>
      </vt:variant>
      <vt:variant>
        <vt:i4>5</vt:i4>
      </vt:variant>
      <vt:variant>
        <vt:lpwstr>https://www.melbournewater.com.au/media/377/download</vt:lpwstr>
      </vt:variant>
      <vt:variant>
        <vt:lpwstr/>
      </vt:variant>
      <vt:variant>
        <vt:i4>5505109</vt:i4>
      </vt:variant>
      <vt:variant>
        <vt:i4>999</vt:i4>
      </vt:variant>
      <vt:variant>
        <vt:i4>0</vt:i4>
      </vt:variant>
      <vt:variant>
        <vt:i4>5</vt:i4>
      </vt:variant>
      <vt:variant>
        <vt:lpwstr>https://www.melbournewater.com.au/media/377/download</vt:lpwstr>
      </vt:variant>
      <vt:variant>
        <vt:lpwstr/>
      </vt:variant>
      <vt:variant>
        <vt:i4>7143533</vt:i4>
      </vt:variant>
      <vt:variant>
        <vt:i4>996</vt:i4>
      </vt:variant>
      <vt:variant>
        <vt:i4>0</vt:i4>
      </vt:variant>
      <vt:variant>
        <vt:i4>5</vt:i4>
      </vt:variant>
      <vt:variant>
        <vt:lpwstr/>
      </vt:variant>
      <vt:variant>
        <vt:lpwstr>CaseStudyWateringBolinBolin</vt:lpwstr>
      </vt:variant>
      <vt:variant>
        <vt:i4>5308431</vt:i4>
      </vt:variant>
      <vt:variant>
        <vt:i4>993</vt:i4>
      </vt:variant>
      <vt:variant>
        <vt:i4>0</vt:i4>
      </vt:variant>
      <vt:variant>
        <vt:i4>5</vt:i4>
      </vt:variant>
      <vt:variant>
        <vt:lpwstr>https://www.melbournewater.com.au/media/1801/download</vt:lpwstr>
      </vt:variant>
      <vt:variant>
        <vt:lpwstr/>
      </vt:variant>
      <vt:variant>
        <vt:i4>5505109</vt:i4>
      </vt:variant>
      <vt:variant>
        <vt:i4>990</vt:i4>
      </vt:variant>
      <vt:variant>
        <vt:i4>0</vt:i4>
      </vt:variant>
      <vt:variant>
        <vt:i4>5</vt:i4>
      </vt:variant>
      <vt:variant>
        <vt:lpwstr>https://www.melbournewater.com.au/media/377/download</vt:lpwstr>
      </vt:variant>
      <vt:variant>
        <vt:lpwstr/>
      </vt:variant>
      <vt:variant>
        <vt:i4>7340153</vt:i4>
      </vt:variant>
      <vt:variant>
        <vt:i4>987</vt:i4>
      </vt:variant>
      <vt:variant>
        <vt:i4>0</vt:i4>
      </vt:variant>
      <vt:variant>
        <vt:i4>5</vt:i4>
      </vt:variant>
      <vt:variant>
        <vt:lpwstr/>
      </vt:variant>
      <vt:variant>
        <vt:lpwstr>CaseStudyWaterlutioninAustralia</vt:lpwstr>
      </vt:variant>
      <vt:variant>
        <vt:i4>7012463</vt:i4>
      </vt:variant>
      <vt:variant>
        <vt:i4>984</vt:i4>
      </vt:variant>
      <vt:variant>
        <vt:i4>0</vt:i4>
      </vt:variant>
      <vt:variant>
        <vt:i4>5</vt:i4>
      </vt:variant>
      <vt:variant>
        <vt:lpwstr/>
      </vt:variant>
      <vt:variant>
        <vt:lpwstr>CaseStudyDeliveringExceptional</vt:lpwstr>
      </vt:variant>
      <vt:variant>
        <vt:i4>5308431</vt:i4>
      </vt:variant>
      <vt:variant>
        <vt:i4>978</vt:i4>
      </vt:variant>
      <vt:variant>
        <vt:i4>0</vt:i4>
      </vt:variant>
      <vt:variant>
        <vt:i4>5</vt:i4>
      </vt:variant>
      <vt:variant>
        <vt:lpwstr>https://www.melbournewater.com.au/media/1801/download</vt:lpwstr>
      </vt:variant>
      <vt:variant>
        <vt:lpwstr/>
      </vt:variant>
      <vt:variant>
        <vt:i4>7012450</vt:i4>
      </vt:variant>
      <vt:variant>
        <vt:i4>975</vt:i4>
      </vt:variant>
      <vt:variant>
        <vt:i4>0</vt:i4>
      </vt:variant>
      <vt:variant>
        <vt:i4>5</vt:i4>
      </vt:variant>
      <vt:variant>
        <vt:lpwstr/>
      </vt:variant>
      <vt:variant>
        <vt:lpwstr>_Enhancing_Biodiversity</vt:lpwstr>
      </vt:variant>
      <vt:variant>
        <vt:i4>5308431</vt:i4>
      </vt:variant>
      <vt:variant>
        <vt:i4>969</vt:i4>
      </vt:variant>
      <vt:variant>
        <vt:i4>0</vt:i4>
      </vt:variant>
      <vt:variant>
        <vt:i4>5</vt:i4>
      </vt:variant>
      <vt:variant>
        <vt:lpwstr>https://www.melbournewater.com.au/media/1801/download</vt:lpwstr>
      </vt:variant>
      <vt:variant>
        <vt:lpwstr/>
      </vt:variant>
      <vt:variant>
        <vt:i4>5308431</vt:i4>
      </vt:variant>
      <vt:variant>
        <vt:i4>963</vt:i4>
      </vt:variant>
      <vt:variant>
        <vt:i4>0</vt:i4>
      </vt:variant>
      <vt:variant>
        <vt:i4>5</vt:i4>
      </vt:variant>
      <vt:variant>
        <vt:lpwstr>https://www.melbournewater.com.au/media/1801/download</vt:lpwstr>
      </vt:variant>
      <vt:variant>
        <vt:lpwstr/>
      </vt:variant>
      <vt:variant>
        <vt:i4>5308431</vt:i4>
      </vt:variant>
      <vt:variant>
        <vt:i4>960</vt:i4>
      </vt:variant>
      <vt:variant>
        <vt:i4>0</vt:i4>
      </vt:variant>
      <vt:variant>
        <vt:i4>5</vt:i4>
      </vt:variant>
      <vt:variant>
        <vt:lpwstr>https://www.melbournewater.com.au/media/1801/download</vt:lpwstr>
      </vt:variant>
      <vt:variant>
        <vt:lpwstr/>
      </vt:variant>
      <vt:variant>
        <vt:i4>5636111</vt:i4>
      </vt:variant>
      <vt:variant>
        <vt:i4>957</vt:i4>
      </vt:variant>
      <vt:variant>
        <vt:i4>0</vt:i4>
      </vt:variant>
      <vt:variant>
        <vt:i4>5</vt:i4>
      </vt:variant>
      <vt:variant>
        <vt:lpwstr>https://www.melbournewater.com.au/media/2836/download</vt:lpwstr>
      </vt:variant>
      <vt:variant>
        <vt:lpwstr/>
      </vt:variant>
      <vt:variant>
        <vt:i4>6422655</vt:i4>
      </vt:variant>
      <vt:variant>
        <vt:i4>954</vt:i4>
      </vt:variant>
      <vt:variant>
        <vt:i4>0</vt:i4>
      </vt:variant>
      <vt:variant>
        <vt:i4>5</vt:i4>
      </vt:variant>
      <vt:variant>
        <vt:lpwstr/>
      </vt:variant>
      <vt:variant>
        <vt:lpwstr>CaseStudyOurSpaceYourPlace</vt:lpwstr>
      </vt:variant>
      <vt:variant>
        <vt:i4>7602284</vt:i4>
      </vt:variant>
      <vt:variant>
        <vt:i4>948</vt:i4>
      </vt:variant>
      <vt:variant>
        <vt:i4>0</vt:i4>
      </vt:variant>
      <vt:variant>
        <vt:i4>5</vt:i4>
      </vt:variant>
      <vt:variant>
        <vt:lpwstr/>
      </vt:variant>
      <vt:variant>
        <vt:lpwstr>CaseStudyTenYearsofLivingRivers</vt:lpwstr>
      </vt:variant>
      <vt:variant>
        <vt:i4>524317</vt:i4>
      </vt:variant>
      <vt:variant>
        <vt:i4>945</vt:i4>
      </vt:variant>
      <vt:variant>
        <vt:i4>0</vt:i4>
      </vt:variant>
      <vt:variant>
        <vt:i4>5</vt:i4>
      </vt:variant>
      <vt:variant>
        <vt:lpwstr/>
      </vt:variant>
      <vt:variant>
        <vt:lpwstr>CaseStudyHealthyWaterwaysStrategy</vt:lpwstr>
      </vt:variant>
      <vt:variant>
        <vt:i4>7143533</vt:i4>
      </vt:variant>
      <vt:variant>
        <vt:i4>942</vt:i4>
      </vt:variant>
      <vt:variant>
        <vt:i4>0</vt:i4>
      </vt:variant>
      <vt:variant>
        <vt:i4>5</vt:i4>
      </vt:variant>
      <vt:variant>
        <vt:lpwstr/>
      </vt:variant>
      <vt:variant>
        <vt:lpwstr>CaseStudyWateringBolinBolin</vt:lpwstr>
      </vt:variant>
      <vt:variant>
        <vt:i4>3014702</vt:i4>
      </vt:variant>
      <vt:variant>
        <vt:i4>933</vt:i4>
      </vt:variant>
      <vt:variant>
        <vt:i4>0</vt:i4>
      </vt:variant>
      <vt:variant>
        <vt:i4>5</vt:i4>
      </vt:variant>
      <vt:variant>
        <vt:lpwstr/>
      </vt:variant>
      <vt:variant>
        <vt:lpwstr>Launching50yrCommunity</vt:lpwstr>
      </vt:variant>
      <vt:variant>
        <vt:i4>5636111</vt:i4>
      </vt:variant>
      <vt:variant>
        <vt:i4>918</vt:i4>
      </vt:variant>
      <vt:variant>
        <vt:i4>0</vt:i4>
      </vt:variant>
      <vt:variant>
        <vt:i4>5</vt:i4>
      </vt:variant>
      <vt:variant>
        <vt:lpwstr>https://www.melbournewater.com.au/media/2836/download</vt:lpwstr>
      </vt:variant>
      <vt:variant>
        <vt:lpwstr/>
      </vt:variant>
      <vt:variant>
        <vt:i4>5898250</vt:i4>
      </vt:variant>
      <vt:variant>
        <vt:i4>903</vt:i4>
      </vt:variant>
      <vt:variant>
        <vt:i4>0</vt:i4>
      </vt:variant>
      <vt:variant>
        <vt:i4>5</vt:i4>
      </vt:variant>
      <vt:variant>
        <vt:lpwstr>https://www.melbournewater.com.au/media/3371/download</vt:lpwstr>
      </vt:variant>
      <vt:variant>
        <vt:lpwstr/>
      </vt:variant>
      <vt:variant>
        <vt:i4>5898250</vt:i4>
      </vt:variant>
      <vt:variant>
        <vt:i4>900</vt:i4>
      </vt:variant>
      <vt:variant>
        <vt:i4>0</vt:i4>
      </vt:variant>
      <vt:variant>
        <vt:i4>5</vt:i4>
      </vt:variant>
      <vt:variant>
        <vt:lpwstr>https://www.melbournewater.com.au/media/3371/download</vt:lpwstr>
      </vt:variant>
      <vt:variant>
        <vt:lpwstr/>
      </vt:variant>
      <vt:variant>
        <vt:i4>3080221</vt:i4>
      </vt:variant>
      <vt:variant>
        <vt:i4>840</vt:i4>
      </vt:variant>
      <vt:variant>
        <vt:i4>0</vt:i4>
      </vt:variant>
      <vt:variant>
        <vt:i4>5</vt:i4>
      </vt:variant>
      <vt:variant>
        <vt:lpwstr/>
      </vt:variant>
      <vt:variant>
        <vt:lpwstr>_Healthy_Places_–</vt:lpwstr>
      </vt:variant>
      <vt:variant>
        <vt:i4>3080221</vt:i4>
      </vt:variant>
      <vt:variant>
        <vt:i4>729</vt:i4>
      </vt:variant>
      <vt:variant>
        <vt:i4>0</vt:i4>
      </vt:variant>
      <vt:variant>
        <vt:i4>5</vt:i4>
      </vt:variant>
      <vt:variant>
        <vt:lpwstr/>
      </vt:variant>
      <vt:variant>
        <vt:lpwstr>_Healthy_Places_–</vt:lpwstr>
      </vt:variant>
      <vt:variant>
        <vt:i4>5505109</vt:i4>
      </vt:variant>
      <vt:variant>
        <vt:i4>552</vt:i4>
      </vt:variant>
      <vt:variant>
        <vt:i4>0</vt:i4>
      </vt:variant>
      <vt:variant>
        <vt:i4>5</vt:i4>
      </vt:variant>
      <vt:variant>
        <vt:lpwstr>https://www.melbournewater.com.au/media/377/download</vt:lpwstr>
      </vt:variant>
      <vt:variant>
        <vt:lpwstr/>
      </vt:variant>
      <vt:variant>
        <vt:i4>5636111</vt:i4>
      </vt:variant>
      <vt:variant>
        <vt:i4>546</vt:i4>
      </vt:variant>
      <vt:variant>
        <vt:i4>0</vt:i4>
      </vt:variant>
      <vt:variant>
        <vt:i4>5</vt:i4>
      </vt:variant>
      <vt:variant>
        <vt:lpwstr>https://www.melbournewater.com.au/media/2836/download</vt:lpwstr>
      </vt:variant>
      <vt:variant>
        <vt:lpwstr/>
      </vt:variant>
      <vt:variant>
        <vt:i4>5636111</vt:i4>
      </vt:variant>
      <vt:variant>
        <vt:i4>543</vt:i4>
      </vt:variant>
      <vt:variant>
        <vt:i4>0</vt:i4>
      </vt:variant>
      <vt:variant>
        <vt:i4>5</vt:i4>
      </vt:variant>
      <vt:variant>
        <vt:lpwstr>https://www.melbournewater.com.au/media/2836/download</vt:lpwstr>
      </vt:variant>
      <vt:variant>
        <vt:lpwstr/>
      </vt:variant>
      <vt:variant>
        <vt:i4>1966134</vt:i4>
      </vt:variant>
      <vt:variant>
        <vt:i4>536</vt:i4>
      </vt:variant>
      <vt:variant>
        <vt:i4>0</vt:i4>
      </vt:variant>
      <vt:variant>
        <vt:i4>5</vt:i4>
      </vt:variant>
      <vt:variant>
        <vt:lpwstr/>
      </vt:variant>
      <vt:variant>
        <vt:lpwstr>_Toc526926743</vt:lpwstr>
      </vt:variant>
      <vt:variant>
        <vt:i4>1966134</vt:i4>
      </vt:variant>
      <vt:variant>
        <vt:i4>530</vt:i4>
      </vt:variant>
      <vt:variant>
        <vt:i4>0</vt:i4>
      </vt:variant>
      <vt:variant>
        <vt:i4>5</vt:i4>
      </vt:variant>
      <vt:variant>
        <vt:lpwstr/>
      </vt:variant>
      <vt:variant>
        <vt:lpwstr>_Toc526926742</vt:lpwstr>
      </vt:variant>
      <vt:variant>
        <vt:i4>1966134</vt:i4>
      </vt:variant>
      <vt:variant>
        <vt:i4>524</vt:i4>
      </vt:variant>
      <vt:variant>
        <vt:i4>0</vt:i4>
      </vt:variant>
      <vt:variant>
        <vt:i4>5</vt:i4>
      </vt:variant>
      <vt:variant>
        <vt:lpwstr/>
      </vt:variant>
      <vt:variant>
        <vt:lpwstr>_Toc526926741</vt:lpwstr>
      </vt:variant>
      <vt:variant>
        <vt:i4>1966134</vt:i4>
      </vt:variant>
      <vt:variant>
        <vt:i4>518</vt:i4>
      </vt:variant>
      <vt:variant>
        <vt:i4>0</vt:i4>
      </vt:variant>
      <vt:variant>
        <vt:i4>5</vt:i4>
      </vt:variant>
      <vt:variant>
        <vt:lpwstr/>
      </vt:variant>
      <vt:variant>
        <vt:lpwstr>_Toc526926740</vt:lpwstr>
      </vt:variant>
      <vt:variant>
        <vt:i4>1638454</vt:i4>
      </vt:variant>
      <vt:variant>
        <vt:i4>512</vt:i4>
      </vt:variant>
      <vt:variant>
        <vt:i4>0</vt:i4>
      </vt:variant>
      <vt:variant>
        <vt:i4>5</vt:i4>
      </vt:variant>
      <vt:variant>
        <vt:lpwstr/>
      </vt:variant>
      <vt:variant>
        <vt:lpwstr>_Toc526926739</vt:lpwstr>
      </vt:variant>
      <vt:variant>
        <vt:i4>1638454</vt:i4>
      </vt:variant>
      <vt:variant>
        <vt:i4>506</vt:i4>
      </vt:variant>
      <vt:variant>
        <vt:i4>0</vt:i4>
      </vt:variant>
      <vt:variant>
        <vt:i4>5</vt:i4>
      </vt:variant>
      <vt:variant>
        <vt:lpwstr/>
      </vt:variant>
      <vt:variant>
        <vt:lpwstr>_Toc526926738</vt:lpwstr>
      </vt:variant>
      <vt:variant>
        <vt:i4>1638454</vt:i4>
      </vt:variant>
      <vt:variant>
        <vt:i4>500</vt:i4>
      </vt:variant>
      <vt:variant>
        <vt:i4>0</vt:i4>
      </vt:variant>
      <vt:variant>
        <vt:i4>5</vt:i4>
      </vt:variant>
      <vt:variant>
        <vt:lpwstr/>
      </vt:variant>
      <vt:variant>
        <vt:lpwstr>_Toc526926737</vt:lpwstr>
      </vt:variant>
      <vt:variant>
        <vt:i4>1638454</vt:i4>
      </vt:variant>
      <vt:variant>
        <vt:i4>494</vt:i4>
      </vt:variant>
      <vt:variant>
        <vt:i4>0</vt:i4>
      </vt:variant>
      <vt:variant>
        <vt:i4>5</vt:i4>
      </vt:variant>
      <vt:variant>
        <vt:lpwstr/>
      </vt:variant>
      <vt:variant>
        <vt:lpwstr>_Toc526926736</vt:lpwstr>
      </vt:variant>
      <vt:variant>
        <vt:i4>1638454</vt:i4>
      </vt:variant>
      <vt:variant>
        <vt:i4>488</vt:i4>
      </vt:variant>
      <vt:variant>
        <vt:i4>0</vt:i4>
      </vt:variant>
      <vt:variant>
        <vt:i4>5</vt:i4>
      </vt:variant>
      <vt:variant>
        <vt:lpwstr/>
      </vt:variant>
      <vt:variant>
        <vt:lpwstr>_Toc526926735</vt:lpwstr>
      </vt:variant>
      <vt:variant>
        <vt:i4>1638454</vt:i4>
      </vt:variant>
      <vt:variant>
        <vt:i4>482</vt:i4>
      </vt:variant>
      <vt:variant>
        <vt:i4>0</vt:i4>
      </vt:variant>
      <vt:variant>
        <vt:i4>5</vt:i4>
      </vt:variant>
      <vt:variant>
        <vt:lpwstr/>
      </vt:variant>
      <vt:variant>
        <vt:lpwstr>_Toc526926734</vt:lpwstr>
      </vt:variant>
      <vt:variant>
        <vt:i4>1638454</vt:i4>
      </vt:variant>
      <vt:variant>
        <vt:i4>476</vt:i4>
      </vt:variant>
      <vt:variant>
        <vt:i4>0</vt:i4>
      </vt:variant>
      <vt:variant>
        <vt:i4>5</vt:i4>
      </vt:variant>
      <vt:variant>
        <vt:lpwstr/>
      </vt:variant>
      <vt:variant>
        <vt:lpwstr>_Toc526926733</vt:lpwstr>
      </vt:variant>
      <vt:variant>
        <vt:i4>1638454</vt:i4>
      </vt:variant>
      <vt:variant>
        <vt:i4>470</vt:i4>
      </vt:variant>
      <vt:variant>
        <vt:i4>0</vt:i4>
      </vt:variant>
      <vt:variant>
        <vt:i4>5</vt:i4>
      </vt:variant>
      <vt:variant>
        <vt:lpwstr/>
      </vt:variant>
      <vt:variant>
        <vt:lpwstr>_Toc526926732</vt:lpwstr>
      </vt:variant>
      <vt:variant>
        <vt:i4>1638454</vt:i4>
      </vt:variant>
      <vt:variant>
        <vt:i4>464</vt:i4>
      </vt:variant>
      <vt:variant>
        <vt:i4>0</vt:i4>
      </vt:variant>
      <vt:variant>
        <vt:i4>5</vt:i4>
      </vt:variant>
      <vt:variant>
        <vt:lpwstr/>
      </vt:variant>
      <vt:variant>
        <vt:lpwstr>_Toc526926731</vt:lpwstr>
      </vt:variant>
      <vt:variant>
        <vt:i4>1638454</vt:i4>
      </vt:variant>
      <vt:variant>
        <vt:i4>458</vt:i4>
      </vt:variant>
      <vt:variant>
        <vt:i4>0</vt:i4>
      </vt:variant>
      <vt:variant>
        <vt:i4>5</vt:i4>
      </vt:variant>
      <vt:variant>
        <vt:lpwstr/>
      </vt:variant>
      <vt:variant>
        <vt:lpwstr>_Toc526926730</vt:lpwstr>
      </vt:variant>
      <vt:variant>
        <vt:i4>1572918</vt:i4>
      </vt:variant>
      <vt:variant>
        <vt:i4>452</vt:i4>
      </vt:variant>
      <vt:variant>
        <vt:i4>0</vt:i4>
      </vt:variant>
      <vt:variant>
        <vt:i4>5</vt:i4>
      </vt:variant>
      <vt:variant>
        <vt:lpwstr/>
      </vt:variant>
      <vt:variant>
        <vt:lpwstr>_Toc526926729</vt:lpwstr>
      </vt:variant>
      <vt:variant>
        <vt:i4>1572918</vt:i4>
      </vt:variant>
      <vt:variant>
        <vt:i4>446</vt:i4>
      </vt:variant>
      <vt:variant>
        <vt:i4>0</vt:i4>
      </vt:variant>
      <vt:variant>
        <vt:i4>5</vt:i4>
      </vt:variant>
      <vt:variant>
        <vt:lpwstr/>
      </vt:variant>
      <vt:variant>
        <vt:lpwstr>_Toc526926728</vt:lpwstr>
      </vt:variant>
      <vt:variant>
        <vt:i4>1572918</vt:i4>
      </vt:variant>
      <vt:variant>
        <vt:i4>440</vt:i4>
      </vt:variant>
      <vt:variant>
        <vt:i4>0</vt:i4>
      </vt:variant>
      <vt:variant>
        <vt:i4>5</vt:i4>
      </vt:variant>
      <vt:variant>
        <vt:lpwstr/>
      </vt:variant>
      <vt:variant>
        <vt:lpwstr>_Toc526926727</vt:lpwstr>
      </vt:variant>
      <vt:variant>
        <vt:i4>1572918</vt:i4>
      </vt:variant>
      <vt:variant>
        <vt:i4>434</vt:i4>
      </vt:variant>
      <vt:variant>
        <vt:i4>0</vt:i4>
      </vt:variant>
      <vt:variant>
        <vt:i4>5</vt:i4>
      </vt:variant>
      <vt:variant>
        <vt:lpwstr/>
      </vt:variant>
      <vt:variant>
        <vt:lpwstr>_Toc526926726</vt:lpwstr>
      </vt:variant>
      <vt:variant>
        <vt:i4>1572918</vt:i4>
      </vt:variant>
      <vt:variant>
        <vt:i4>428</vt:i4>
      </vt:variant>
      <vt:variant>
        <vt:i4>0</vt:i4>
      </vt:variant>
      <vt:variant>
        <vt:i4>5</vt:i4>
      </vt:variant>
      <vt:variant>
        <vt:lpwstr/>
      </vt:variant>
      <vt:variant>
        <vt:lpwstr>_Toc526926725</vt:lpwstr>
      </vt:variant>
      <vt:variant>
        <vt:i4>1572918</vt:i4>
      </vt:variant>
      <vt:variant>
        <vt:i4>422</vt:i4>
      </vt:variant>
      <vt:variant>
        <vt:i4>0</vt:i4>
      </vt:variant>
      <vt:variant>
        <vt:i4>5</vt:i4>
      </vt:variant>
      <vt:variant>
        <vt:lpwstr/>
      </vt:variant>
      <vt:variant>
        <vt:lpwstr>_Toc526926724</vt:lpwstr>
      </vt:variant>
      <vt:variant>
        <vt:i4>1572918</vt:i4>
      </vt:variant>
      <vt:variant>
        <vt:i4>416</vt:i4>
      </vt:variant>
      <vt:variant>
        <vt:i4>0</vt:i4>
      </vt:variant>
      <vt:variant>
        <vt:i4>5</vt:i4>
      </vt:variant>
      <vt:variant>
        <vt:lpwstr/>
      </vt:variant>
      <vt:variant>
        <vt:lpwstr>_Toc526926723</vt:lpwstr>
      </vt:variant>
      <vt:variant>
        <vt:i4>1572918</vt:i4>
      </vt:variant>
      <vt:variant>
        <vt:i4>410</vt:i4>
      </vt:variant>
      <vt:variant>
        <vt:i4>0</vt:i4>
      </vt:variant>
      <vt:variant>
        <vt:i4>5</vt:i4>
      </vt:variant>
      <vt:variant>
        <vt:lpwstr/>
      </vt:variant>
      <vt:variant>
        <vt:lpwstr>_Toc526926722</vt:lpwstr>
      </vt:variant>
      <vt:variant>
        <vt:i4>1572918</vt:i4>
      </vt:variant>
      <vt:variant>
        <vt:i4>404</vt:i4>
      </vt:variant>
      <vt:variant>
        <vt:i4>0</vt:i4>
      </vt:variant>
      <vt:variant>
        <vt:i4>5</vt:i4>
      </vt:variant>
      <vt:variant>
        <vt:lpwstr/>
      </vt:variant>
      <vt:variant>
        <vt:lpwstr>_Toc526926721</vt:lpwstr>
      </vt:variant>
      <vt:variant>
        <vt:i4>1572918</vt:i4>
      </vt:variant>
      <vt:variant>
        <vt:i4>398</vt:i4>
      </vt:variant>
      <vt:variant>
        <vt:i4>0</vt:i4>
      </vt:variant>
      <vt:variant>
        <vt:i4>5</vt:i4>
      </vt:variant>
      <vt:variant>
        <vt:lpwstr/>
      </vt:variant>
      <vt:variant>
        <vt:lpwstr>_Toc526926720</vt:lpwstr>
      </vt:variant>
      <vt:variant>
        <vt:i4>1769526</vt:i4>
      </vt:variant>
      <vt:variant>
        <vt:i4>392</vt:i4>
      </vt:variant>
      <vt:variant>
        <vt:i4>0</vt:i4>
      </vt:variant>
      <vt:variant>
        <vt:i4>5</vt:i4>
      </vt:variant>
      <vt:variant>
        <vt:lpwstr/>
      </vt:variant>
      <vt:variant>
        <vt:lpwstr>_Toc526926719</vt:lpwstr>
      </vt:variant>
      <vt:variant>
        <vt:i4>1769526</vt:i4>
      </vt:variant>
      <vt:variant>
        <vt:i4>386</vt:i4>
      </vt:variant>
      <vt:variant>
        <vt:i4>0</vt:i4>
      </vt:variant>
      <vt:variant>
        <vt:i4>5</vt:i4>
      </vt:variant>
      <vt:variant>
        <vt:lpwstr/>
      </vt:variant>
      <vt:variant>
        <vt:lpwstr>_Toc526926718</vt:lpwstr>
      </vt:variant>
      <vt:variant>
        <vt:i4>1769526</vt:i4>
      </vt:variant>
      <vt:variant>
        <vt:i4>380</vt:i4>
      </vt:variant>
      <vt:variant>
        <vt:i4>0</vt:i4>
      </vt:variant>
      <vt:variant>
        <vt:i4>5</vt:i4>
      </vt:variant>
      <vt:variant>
        <vt:lpwstr/>
      </vt:variant>
      <vt:variant>
        <vt:lpwstr>_Toc526926717</vt:lpwstr>
      </vt:variant>
      <vt:variant>
        <vt:i4>1769526</vt:i4>
      </vt:variant>
      <vt:variant>
        <vt:i4>374</vt:i4>
      </vt:variant>
      <vt:variant>
        <vt:i4>0</vt:i4>
      </vt:variant>
      <vt:variant>
        <vt:i4>5</vt:i4>
      </vt:variant>
      <vt:variant>
        <vt:lpwstr/>
      </vt:variant>
      <vt:variant>
        <vt:lpwstr>_Toc526926716</vt:lpwstr>
      </vt:variant>
      <vt:variant>
        <vt:i4>1769526</vt:i4>
      </vt:variant>
      <vt:variant>
        <vt:i4>368</vt:i4>
      </vt:variant>
      <vt:variant>
        <vt:i4>0</vt:i4>
      </vt:variant>
      <vt:variant>
        <vt:i4>5</vt:i4>
      </vt:variant>
      <vt:variant>
        <vt:lpwstr/>
      </vt:variant>
      <vt:variant>
        <vt:lpwstr>_Toc526926715</vt:lpwstr>
      </vt:variant>
      <vt:variant>
        <vt:i4>1769526</vt:i4>
      </vt:variant>
      <vt:variant>
        <vt:i4>362</vt:i4>
      </vt:variant>
      <vt:variant>
        <vt:i4>0</vt:i4>
      </vt:variant>
      <vt:variant>
        <vt:i4>5</vt:i4>
      </vt:variant>
      <vt:variant>
        <vt:lpwstr/>
      </vt:variant>
      <vt:variant>
        <vt:lpwstr>_Toc526926714</vt:lpwstr>
      </vt:variant>
      <vt:variant>
        <vt:i4>1769526</vt:i4>
      </vt:variant>
      <vt:variant>
        <vt:i4>356</vt:i4>
      </vt:variant>
      <vt:variant>
        <vt:i4>0</vt:i4>
      </vt:variant>
      <vt:variant>
        <vt:i4>5</vt:i4>
      </vt:variant>
      <vt:variant>
        <vt:lpwstr/>
      </vt:variant>
      <vt:variant>
        <vt:lpwstr>_Toc526926713</vt:lpwstr>
      </vt:variant>
      <vt:variant>
        <vt:i4>1769526</vt:i4>
      </vt:variant>
      <vt:variant>
        <vt:i4>350</vt:i4>
      </vt:variant>
      <vt:variant>
        <vt:i4>0</vt:i4>
      </vt:variant>
      <vt:variant>
        <vt:i4>5</vt:i4>
      </vt:variant>
      <vt:variant>
        <vt:lpwstr/>
      </vt:variant>
      <vt:variant>
        <vt:lpwstr>_Toc526926712</vt:lpwstr>
      </vt:variant>
      <vt:variant>
        <vt:i4>1769526</vt:i4>
      </vt:variant>
      <vt:variant>
        <vt:i4>344</vt:i4>
      </vt:variant>
      <vt:variant>
        <vt:i4>0</vt:i4>
      </vt:variant>
      <vt:variant>
        <vt:i4>5</vt:i4>
      </vt:variant>
      <vt:variant>
        <vt:lpwstr/>
      </vt:variant>
      <vt:variant>
        <vt:lpwstr>_Toc526926711</vt:lpwstr>
      </vt:variant>
      <vt:variant>
        <vt:i4>1769526</vt:i4>
      </vt:variant>
      <vt:variant>
        <vt:i4>338</vt:i4>
      </vt:variant>
      <vt:variant>
        <vt:i4>0</vt:i4>
      </vt:variant>
      <vt:variant>
        <vt:i4>5</vt:i4>
      </vt:variant>
      <vt:variant>
        <vt:lpwstr/>
      </vt:variant>
      <vt:variant>
        <vt:lpwstr>_Toc526926710</vt:lpwstr>
      </vt:variant>
      <vt:variant>
        <vt:i4>1703990</vt:i4>
      </vt:variant>
      <vt:variant>
        <vt:i4>332</vt:i4>
      </vt:variant>
      <vt:variant>
        <vt:i4>0</vt:i4>
      </vt:variant>
      <vt:variant>
        <vt:i4>5</vt:i4>
      </vt:variant>
      <vt:variant>
        <vt:lpwstr/>
      </vt:variant>
      <vt:variant>
        <vt:lpwstr>_Toc526926709</vt:lpwstr>
      </vt:variant>
      <vt:variant>
        <vt:i4>1703990</vt:i4>
      </vt:variant>
      <vt:variant>
        <vt:i4>326</vt:i4>
      </vt:variant>
      <vt:variant>
        <vt:i4>0</vt:i4>
      </vt:variant>
      <vt:variant>
        <vt:i4>5</vt:i4>
      </vt:variant>
      <vt:variant>
        <vt:lpwstr/>
      </vt:variant>
      <vt:variant>
        <vt:lpwstr>_Toc526926708</vt:lpwstr>
      </vt:variant>
      <vt:variant>
        <vt:i4>1703990</vt:i4>
      </vt:variant>
      <vt:variant>
        <vt:i4>320</vt:i4>
      </vt:variant>
      <vt:variant>
        <vt:i4>0</vt:i4>
      </vt:variant>
      <vt:variant>
        <vt:i4>5</vt:i4>
      </vt:variant>
      <vt:variant>
        <vt:lpwstr/>
      </vt:variant>
      <vt:variant>
        <vt:lpwstr>_Toc526926707</vt:lpwstr>
      </vt:variant>
      <vt:variant>
        <vt:i4>1703990</vt:i4>
      </vt:variant>
      <vt:variant>
        <vt:i4>314</vt:i4>
      </vt:variant>
      <vt:variant>
        <vt:i4>0</vt:i4>
      </vt:variant>
      <vt:variant>
        <vt:i4>5</vt:i4>
      </vt:variant>
      <vt:variant>
        <vt:lpwstr/>
      </vt:variant>
      <vt:variant>
        <vt:lpwstr>_Toc526926706</vt:lpwstr>
      </vt:variant>
      <vt:variant>
        <vt:i4>1703990</vt:i4>
      </vt:variant>
      <vt:variant>
        <vt:i4>308</vt:i4>
      </vt:variant>
      <vt:variant>
        <vt:i4>0</vt:i4>
      </vt:variant>
      <vt:variant>
        <vt:i4>5</vt:i4>
      </vt:variant>
      <vt:variant>
        <vt:lpwstr/>
      </vt:variant>
      <vt:variant>
        <vt:lpwstr>_Toc526926705</vt:lpwstr>
      </vt:variant>
      <vt:variant>
        <vt:i4>1703990</vt:i4>
      </vt:variant>
      <vt:variant>
        <vt:i4>302</vt:i4>
      </vt:variant>
      <vt:variant>
        <vt:i4>0</vt:i4>
      </vt:variant>
      <vt:variant>
        <vt:i4>5</vt:i4>
      </vt:variant>
      <vt:variant>
        <vt:lpwstr/>
      </vt:variant>
      <vt:variant>
        <vt:lpwstr>_Toc526926704</vt:lpwstr>
      </vt:variant>
      <vt:variant>
        <vt:i4>1703990</vt:i4>
      </vt:variant>
      <vt:variant>
        <vt:i4>296</vt:i4>
      </vt:variant>
      <vt:variant>
        <vt:i4>0</vt:i4>
      </vt:variant>
      <vt:variant>
        <vt:i4>5</vt:i4>
      </vt:variant>
      <vt:variant>
        <vt:lpwstr/>
      </vt:variant>
      <vt:variant>
        <vt:lpwstr>_Toc526926703</vt:lpwstr>
      </vt:variant>
      <vt:variant>
        <vt:i4>1703990</vt:i4>
      </vt:variant>
      <vt:variant>
        <vt:i4>290</vt:i4>
      </vt:variant>
      <vt:variant>
        <vt:i4>0</vt:i4>
      </vt:variant>
      <vt:variant>
        <vt:i4>5</vt:i4>
      </vt:variant>
      <vt:variant>
        <vt:lpwstr/>
      </vt:variant>
      <vt:variant>
        <vt:lpwstr>_Toc526926702</vt:lpwstr>
      </vt:variant>
      <vt:variant>
        <vt:i4>1703990</vt:i4>
      </vt:variant>
      <vt:variant>
        <vt:i4>284</vt:i4>
      </vt:variant>
      <vt:variant>
        <vt:i4>0</vt:i4>
      </vt:variant>
      <vt:variant>
        <vt:i4>5</vt:i4>
      </vt:variant>
      <vt:variant>
        <vt:lpwstr/>
      </vt:variant>
      <vt:variant>
        <vt:lpwstr>_Toc526926701</vt:lpwstr>
      </vt:variant>
      <vt:variant>
        <vt:i4>1703990</vt:i4>
      </vt:variant>
      <vt:variant>
        <vt:i4>278</vt:i4>
      </vt:variant>
      <vt:variant>
        <vt:i4>0</vt:i4>
      </vt:variant>
      <vt:variant>
        <vt:i4>5</vt:i4>
      </vt:variant>
      <vt:variant>
        <vt:lpwstr/>
      </vt:variant>
      <vt:variant>
        <vt:lpwstr>_Toc526926700</vt:lpwstr>
      </vt:variant>
      <vt:variant>
        <vt:i4>1245239</vt:i4>
      </vt:variant>
      <vt:variant>
        <vt:i4>272</vt:i4>
      </vt:variant>
      <vt:variant>
        <vt:i4>0</vt:i4>
      </vt:variant>
      <vt:variant>
        <vt:i4>5</vt:i4>
      </vt:variant>
      <vt:variant>
        <vt:lpwstr/>
      </vt:variant>
      <vt:variant>
        <vt:lpwstr>_Toc526926699</vt:lpwstr>
      </vt:variant>
      <vt:variant>
        <vt:i4>1245239</vt:i4>
      </vt:variant>
      <vt:variant>
        <vt:i4>266</vt:i4>
      </vt:variant>
      <vt:variant>
        <vt:i4>0</vt:i4>
      </vt:variant>
      <vt:variant>
        <vt:i4>5</vt:i4>
      </vt:variant>
      <vt:variant>
        <vt:lpwstr/>
      </vt:variant>
      <vt:variant>
        <vt:lpwstr>_Toc526926698</vt:lpwstr>
      </vt:variant>
      <vt:variant>
        <vt:i4>1245239</vt:i4>
      </vt:variant>
      <vt:variant>
        <vt:i4>260</vt:i4>
      </vt:variant>
      <vt:variant>
        <vt:i4>0</vt:i4>
      </vt:variant>
      <vt:variant>
        <vt:i4>5</vt:i4>
      </vt:variant>
      <vt:variant>
        <vt:lpwstr/>
      </vt:variant>
      <vt:variant>
        <vt:lpwstr>_Toc526926697</vt:lpwstr>
      </vt:variant>
      <vt:variant>
        <vt:i4>1245239</vt:i4>
      </vt:variant>
      <vt:variant>
        <vt:i4>254</vt:i4>
      </vt:variant>
      <vt:variant>
        <vt:i4>0</vt:i4>
      </vt:variant>
      <vt:variant>
        <vt:i4>5</vt:i4>
      </vt:variant>
      <vt:variant>
        <vt:lpwstr/>
      </vt:variant>
      <vt:variant>
        <vt:lpwstr>_Toc526926696</vt:lpwstr>
      </vt:variant>
      <vt:variant>
        <vt:i4>1245239</vt:i4>
      </vt:variant>
      <vt:variant>
        <vt:i4>248</vt:i4>
      </vt:variant>
      <vt:variant>
        <vt:i4>0</vt:i4>
      </vt:variant>
      <vt:variant>
        <vt:i4>5</vt:i4>
      </vt:variant>
      <vt:variant>
        <vt:lpwstr/>
      </vt:variant>
      <vt:variant>
        <vt:lpwstr>_Toc526926695</vt:lpwstr>
      </vt:variant>
      <vt:variant>
        <vt:i4>1245239</vt:i4>
      </vt:variant>
      <vt:variant>
        <vt:i4>242</vt:i4>
      </vt:variant>
      <vt:variant>
        <vt:i4>0</vt:i4>
      </vt:variant>
      <vt:variant>
        <vt:i4>5</vt:i4>
      </vt:variant>
      <vt:variant>
        <vt:lpwstr/>
      </vt:variant>
      <vt:variant>
        <vt:lpwstr>_Toc526926694</vt:lpwstr>
      </vt:variant>
      <vt:variant>
        <vt:i4>1245239</vt:i4>
      </vt:variant>
      <vt:variant>
        <vt:i4>236</vt:i4>
      </vt:variant>
      <vt:variant>
        <vt:i4>0</vt:i4>
      </vt:variant>
      <vt:variant>
        <vt:i4>5</vt:i4>
      </vt:variant>
      <vt:variant>
        <vt:lpwstr/>
      </vt:variant>
      <vt:variant>
        <vt:lpwstr>_Toc526926693</vt:lpwstr>
      </vt:variant>
      <vt:variant>
        <vt:i4>1245239</vt:i4>
      </vt:variant>
      <vt:variant>
        <vt:i4>230</vt:i4>
      </vt:variant>
      <vt:variant>
        <vt:i4>0</vt:i4>
      </vt:variant>
      <vt:variant>
        <vt:i4>5</vt:i4>
      </vt:variant>
      <vt:variant>
        <vt:lpwstr/>
      </vt:variant>
      <vt:variant>
        <vt:lpwstr>_Toc526926692</vt:lpwstr>
      </vt:variant>
      <vt:variant>
        <vt:i4>1245239</vt:i4>
      </vt:variant>
      <vt:variant>
        <vt:i4>224</vt:i4>
      </vt:variant>
      <vt:variant>
        <vt:i4>0</vt:i4>
      </vt:variant>
      <vt:variant>
        <vt:i4>5</vt:i4>
      </vt:variant>
      <vt:variant>
        <vt:lpwstr/>
      </vt:variant>
      <vt:variant>
        <vt:lpwstr>_Toc526926691</vt:lpwstr>
      </vt:variant>
      <vt:variant>
        <vt:i4>1245239</vt:i4>
      </vt:variant>
      <vt:variant>
        <vt:i4>218</vt:i4>
      </vt:variant>
      <vt:variant>
        <vt:i4>0</vt:i4>
      </vt:variant>
      <vt:variant>
        <vt:i4>5</vt:i4>
      </vt:variant>
      <vt:variant>
        <vt:lpwstr/>
      </vt:variant>
      <vt:variant>
        <vt:lpwstr>_Toc526926690</vt:lpwstr>
      </vt:variant>
      <vt:variant>
        <vt:i4>1179703</vt:i4>
      </vt:variant>
      <vt:variant>
        <vt:i4>212</vt:i4>
      </vt:variant>
      <vt:variant>
        <vt:i4>0</vt:i4>
      </vt:variant>
      <vt:variant>
        <vt:i4>5</vt:i4>
      </vt:variant>
      <vt:variant>
        <vt:lpwstr/>
      </vt:variant>
      <vt:variant>
        <vt:lpwstr>_Toc526926689</vt:lpwstr>
      </vt:variant>
      <vt:variant>
        <vt:i4>1179703</vt:i4>
      </vt:variant>
      <vt:variant>
        <vt:i4>206</vt:i4>
      </vt:variant>
      <vt:variant>
        <vt:i4>0</vt:i4>
      </vt:variant>
      <vt:variant>
        <vt:i4>5</vt:i4>
      </vt:variant>
      <vt:variant>
        <vt:lpwstr/>
      </vt:variant>
      <vt:variant>
        <vt:lpwstr>_Toc526926688</vt:lpwstr>
      </vt:variant>
      <vt:variant>
        <vt:i4>1179703</vt:i4>
      </vt:variant>
      <vt:variant>
        <vt:i4>200</vt:i4>
      </vt:variant>
      <vt:variant>
        <vt:i4>0</vt:i4>
      </vt:variant>
      <vt:variant>
        <vt:i4>5</vt:i4>
      </vt:variant>
      <vt:variant>
        <vt:lpwstr/>
      </vt:variant>
      <vt:variant>
        <vt:lpwstr>_Toc526926687</vt:lpwstr>
      </vt:variant>
      <vt:variant>
        <vt:i4>1179703</vt:i4>
      </vt:variant>
      <vt:variant>
        <vt:i4>194</vt:i4>
      </vt:variant>
      <vt:variant>
        <vt:i4>0</vt:i4>
      </vt:variant>
      <vt:variant>
        <vt:i4>5</vt:i4>
      </vt:variant>
      <vt:variant>
        <vt:lpwstr/>
      </vt:variant>
      <vt:variant>
        <vt:lpwstr>_Toc526926686</vt:lpwstr>
      </vt:variant>
      <vt:variant>
        <vt:i4>1179703</vt:i4>
      </vt:variant>
      <vt:variant>
        <vt:i4>188</vt:i4>
      </vt:variant>
      <vt:variant>
        <vt:i4>0</vt:i4>
      </vt:variant>
      <vt:variant>
        <vt:i4>5</vt:i4>
      </vt:variant>
      <vt:variant>
        <vt:lpwstr/>
      </vt:variant>
      <vt:variant>
        <vt:lpwstr>_Toc526926685</vt:lpwstr>
      </vt:variant>
      <vt:variant>
        <vt:i4>1179703</vt:i4>
      </vt:variant>
      <vt:variant>
        <vt:i4>182</vt:i4>
      </vt:variant>
      <vt:variant>
        <vt:i4>0</vt:i4>
      </vt:variant>
      <vt:variant>
        <vt:i4>5</vt:i4>
      </vt:variant>
      <vt:variant>
        <vt:lpwstr/>
      </vt:variant>
      <vt:variant>
        <vt:lpwstr>_Toc526926684</vt:lpwstr>
      </vt:variant>
      <vt:variant>
        <vt:i4>1179703</vt:i4>
      </vt:variant>
      <vt:variant>
        <vt:i4>176</vt:i4>
      </vt:variant>
      <vt:variant>
        <vt:i4>0</vt:i4>
      </vt:variant>
      <vt:variant>
        <vt:i4>5</vt:i4>
      </vt:variant>
      <vt:variant>
        <vt:lpwstr/>
      </vt:variant>
      <vt:variant>
        <vt:lpwstr>_Toc526926683</vt:lpwstr>
      </vt:variant>
      <vt:variant>
        <vt:i4>1179703</vt:i4>
      </vt:variant>
      <vt:variant>
        <vt:i4>170</vt:i4>
      </vt:variant>
      <vt:variant>
        <vt:i4>0</vt:i4>
      </vt:variant>
      <vt:variant>
        <vt:i4>5</vt:i4>
      </vt:variant>
      <vt:variant>
        <vt:lpwstr/>
      </vt:variant>
      <vt:variant>
        <vt:lpwstr>_Toc526926682</vt:lpwstr>
      </vt:variant>
      <vt:variant>
        <vt:i4>1179703</vt:i4>
      </vt:variant>
      <vt:variant>
        <vt:i4>164</vt:i4>
      </vt:variant>
      <vt:variant>
        <vt:i4>0</vt:i4>
      </vt:variant>
      <vt:variant>
        <vt:i4>5</vt:i4>
      </vt:variant>
      <vt:variant>
        <vt:lpwstr/>
      </vt:variant>
      <vt:variant>
        <vt:lpwstr>_Toc526926681</vt:lpwstr>
      </vt:variant>
      <vt:variant>
        <vt:i4>1179703</vt:i4>
      </vt:variant>
      <vt:variant>
        <vt:i4>158</vt:i4>
      </vt:variant>
      <vt:variant>
        <vt:i4>0</vt:i4>
      </vt:variant>
      <vt:variant>
        <vt:i4>5</vt:i4>
      </vt:variant>
      <vt:variant>
        <vt:lpwstr/>
      </vt:variant>
      <vt:variant>
        <vt:lpwstr>_Toc526926680</vt:lpwstr>
      </vt:variant>
      <vt:variant>
        <vt:i4>1900599</vt:i4>
      </vt:variant>
      <vt:variant>
        <vt:i4>152</vt:i4>
      </vt:variant>
      <vt:variant>
        <vt:i4>0</vt:i4>
      </vt:variant>
      <vt:variant>
        <vt:i4>5</vt:i4>
      </vt:variant>
      <vt:variant>
        <vt:lpwstr/>
      </vt:variant>
      <vt:variant>
        <vt:lpwstr>_Toc526926679</vt:lpwstr>
      </vt:variant>
      <vt:variant>
        <vt:i4>1900599</vt:i4>
      </vt:variant>
      <vt:variant>
        <vt:i4>146</vt:i4>
      </vt:variant>
      <vt:variant>
        <vt:i4>0</vt:i4>
      </vt:variant>
      <vt:variant>
        <vt:i4>5</vt:i4>
      </vt:variant>
      <vt:variant>
        <vt:lpwstr/>
      </vt:variant>
      <vt:variant>
        <vt:lpwstr>_Toc526926678</vt:lpwstr>
      </vt:variant>
      <vt:variant>
        <vt:i4>1900599</vt:i4>
      </vt:variant>
      <vt:variant>
        <vt:i4>140</vt:i4>
      </vt:variant>
      <vt:variant>
        <vt:i4>0</vt:i4>
      </vt:variant>
      <vt:variant>
        <vt:i4>5</vt:i4>
      </vt:variant>
      <vt:variant>
        <vt:lpwstr/>
      </vt:variant>
      <vt:variant>
        <vt:lpwstr>_Toc526926677</vt:lpwstr>
      </vt:variant>
      <vt:variant>
        <vt:i4>1900599</vt:i4>
      </vt:variant>
      <vt:variant>
        <vt:i4>134</vt:i4>
      </vt:variant>
      <vt:variant>
        <vt:i4>0</vt:i4>
      </vt:variant>
      <vt:variant>
        <vt:i4>5</vt:i4>
      </vt:variant>
      <vt:variant>
        <vt:lpwstr/>
      </vt:variant>
      <vt:variant>
        <vt:lpwstr>_Toc526926676</vt:lpwstr>
      </vt:variant>
      <vt:variant>
        <vt:i4>1900599</vt:i4>
      </vt:variant>
      <vt:variant>
        <vt:i4>128</vt:i4>
      </vt:variant>
      <vt:variant>
        <vt:i4>0</vt:i4>
      </vt:variant>
      <vt:variant>
        <vt:i4>5</vt:i4>
      </vt:variant>
      <vt:variant>
        <vt:lpwstr/>
      </vt:variant>
      <vt:variant>
        <vt:lpwstr>_Toc526926675</vt:lpwstr>
      </vt:variant>
      <vt:variant>
        <vt:i4>1900599</vt:i4>
      </vt:variant>
      <vt:variant>
        <vt:i4>122</vt:i4>
      </vt:variant>
      <vt:variant>
        <vt:i4>0</vt:i4>
      </vt:variant>
      <vt:variant>
        <vt:i4>5</vt:i4>
      </vt:variant>
      <vt:variant>
        <vt:lpwstr/>
      </vt:variant>
      <vt:variant>
        <vt:lpwstr>_Toc526926674</vt:lpwstr>
      </vt:variant>
      <vt:variant>
        <vt:i4>1900599</vt:i4>
      </vt:variant>
      <vt:variant>
        <vt:i4>116</vt:i4>
      </vt:variant>
      <vt:variant>
        <vt:i4>0</vt:i4>
      </vt:variant>
      <vt:variant>
        <vt:i4>5</vt:i4>
      </vt:variant>
      <vt:variant>
        <vt:lpwstr/>
      </vt:variant>
      <vt:variant>
        <vt:lpwstr>_Toc526926673</vt:lpwstr>
      </vt:variant>
      <vt:variant>
        <vt:i4>1900599</vt:i4>
      </vt:variant>
      <vt:variant>
        <vt:i4>110</vt:i4>
      </vt:variant>
      <vt:variant>
        <vt:i4>0</vt:i4>
      </vt:variant>
      <vt:variant>
        <vt:i4>5</vt:i4>
      </vt:variant>
      <vt:variant>
        <vt:lpwstr/>
      </vt:variant>
      <vt:variant>
        <vt:lpwstr>_Toc526926672</vt:lpwstr>
      </vt:variant>
      <vt:variant>
        <vt:i4>1900599</vt:i4>
      </vt:variant>
      <vt:variant>
        <vt:i4>104</vt:i4>
      </vt:variant>
      <vt:variant>
        <vt:i4>0</vt:i4>
      </vt:variant>
      <vt:variant>
        <vt:i4>5</vt:i4>
      </vt:variant>
      <vt:variant>
        <vt:lpwstr/>
      </vt:variant>
      <vt:variant>
        <vt:lpwstr>_Toc526926671</vt:lpwstr>
      </vt:variant>
      <vt:variant>
        <vt:i4>1900599</vt:i4>
      </vt:variant>
      <vt:variant>
        <vt:i4>98</vt:i4>
      </vt:variant>
      <vt:variant>
        <vt:i4>0</vt:i4>
      </vt:variant>
      <vt:variant>
        <vt:i4>5</vt:i4>
      </vt:variant>
      <vt:variant>
        <vt:lpwstr/>
      </vt:variant>
      <vt:variant>
        <vt:lpwstr>_Toc526926670</vt:lpwstr>
      </vt:variant>
      <vt:variant>
        <vt:i4>1835063</vt:i4>
      </vt:variant>
      <vt:variant>
        <vt:i4>92</vt:i4>
      </vt:variant>
      <vt:variant>
        <vt:i4>0</vt:i4>
      </vt:variant>
      <vt:variant>
        <vt:i4>5</vt:i4>
      </vt:variant>
      <vt:variant>
        <vt:lpwstr/>
      </vt:variant>
      <vt:variant>
        <vt:lpwstr>_Toc526926669</vt:lpwstr>
      </vt:variant>
      <vt:variant>
        <vt:i4>1835063</vt:i4>
      </vt:variant>
      <vt:variant>
        <vt:i4>86</vt:i4>
      </vt:variant>
      <vt:variant>
        <vt:i4>0</vt:i4>
      </vt:variant>
      <vt:variant>
        <vt:i4>5</vt:i4>
      </vt:variant>
      <vt:variant>
        <vt:lpwstr/>
      </vt:variant>
      <vt:variant>
        <vt:lpwstr>_Toc526926668</vt:lpwstr>
      </vt:variant>
      <vt:variant>
        <vt:i4>1835063</vt:i4>
      </vt:variant>
      <vt:variant>
        <vt:i4>80</vt:i4>
      </vt:variant>
      <vt:variant>
        <vt:i4>0</vt:i4>
      </vt:variant>
      <vt:variant>
        <vt:i4>5</vt:i4>
      </vt:variant>
      <vt:variant>
        <vt:lpwstr/>
      </vt:variant>
      <vt:variant>
        <vt:lpwstr>_Toc526926667</vt:lpwstr>
      </vt:variant>
      <vt:variant>
        <vt:i4>1835063</vt:i4>
      </vt:variant>
      <vt:variant>
        <vt:i4>74</vt:i4>
      </vt:variant>
      <vt:variant>
        <vt:i4>0</vt:i4>
      </vt:variant>
      <vt:variant>
        <vt:i4>5</vt:i4>
      </vt:variant>
      <vt:variant>
        <vt:lpwstr/>
      </vt:variant>
      <vt:variant>
        <vt:lpwstr>_Toc526926666</vt:lpwstr>
      </vt:variant>
      <vt:variant>
        <vt:i4>1835063</vt:i4>
      </vt:variant>
      <vt:variant>
        <vt:i4>68</vt:i4>
      </vt:variant>
      <vt:variant>
        <vt:i4>0</vt:i4>
      </vt:variant>
      <vt:variant>
        <vt:i4>5</vt:i4>
      </vt:variant>
      <vt:variant>
        <vt:lpwstr/>
      </vt:variant>
      <vt:variant>
        <vt:lpwstr>_Toc526926665</vt:lpwstr>
      </vt:variant>
      <vt:variant>
        <vt:i4>1835063</vt:i4>
      </vt:variant>
      <vt:variant>
        <vt:i4>62</vt:i4>
      </vt:variant>
      <vt:variant>
        <vt:i4>0</vt:i4>
      </vt:variant>
      <vt:variant>
        <vt:i4>5</vt:i4>
      </vt:variant>
      <vt:variant>
        <vt:lpwstr/>
      </vt:variant>
      <vt:variant>
        <vt:lpwstr>_Toc526926664</vt:lpwstr>
      </vt:variant>
      <vt:variant>
        <vt:i4>1835063</vt:i4>
      </vt:variant>
      <vt:variant>
        <vt:i4>56</vt:i4>
      </vt:variant>
      <vt:variant>
        <vt:i4>0</vt:i4>
      </vt:variant>
      <vt:variant>
        <vt:i4>5</vt:i4>
      </vt:variant>
      <vt:variant>
        <vt:lpwstr/>
      </vt:variant>
      <vt:variant>
        <vt:lpwstr>_Toc526926663</vt:lpwstr>
      </vt:variant>
      <vt:variant>
        <vt:i4>1835063</vt:i4>
      </vt:variant>
      <vt:variant>
        <vt:i4>50</vt:i4>
      </vt:variant>
      <vt:variant>
        <vt:i4>0</vt:i4>
      </vt:variant>
      <vt:variant>
        <vt:i4>5</vt:i4>
      </vt:variant>
      <vt:variant>
        <vt:lpwstr/>
      </vt:variant>
      <vt:variant>
        <vt:lpwstr>_Toc526926662</vt:lpwstr>
      </vt:variant>
      <vt:variant>
        <vt:i4>1835063</vt:i4>
      </vt:variant>
      <vt:variant>
        <vt:i4>44</vt:i4>
      </vt:variant>
      <vt:variant>
        <vt:i4>0</vt:i4>
      </vt:variant>
      <vt:variant>
        <vt:i4>5</vt:i4>
      </vt:variant>
      <vt:variant>
        <vt:lpwstr/>
      </vt:variant>
      <vt:variant>
        <vt:lpwstr>_Toc526926661</vt:lpwstr>
      </vt:variant>
      <vt:variant>
        <vt:i4>1835063</vt:i4>
      </vt:variant>
      <vt:variant>
        <vt:i4>38</vt:i4>
      </vt:variant>
      <vt:variant>
        <vt:i4>0</vt:i4>
      </vt:variant>
      <vt:variant>
        <vt:i4>5</vt:i4>
      </vt:variant>
      <vt:variant>
        <vt:lpwstr/>
      </vt:variant>
      <vt:variant>
        <vt:lpwstr>_Toc526926660</vt:lpwstr>
      </vt:variant>
      <vt:variant>
        <vt:i4>2031671</vt:i4>
      </vt:variant>
      <vt:variant>
        <vt:i4>32</vt:i4>
      </vt:variant>
      <vt:variant>
        <vt:i4>0</vt:i4>
      </vt:variant>
      <vt:variant>
        <vt:i4>5</vt:i4>
      </vt:variant>
      <vt:variant>
        <vt:lpwstr/>
      </vt:variant>
      <vt:variant>
        <vt:lpwstr>_Toc526926659</vt:lpwstr>
      </vt:variant>
      <vt:variant>
        <vt:i4>2031671</vt:i4>
      </vt:variant>
      <vt:variant>
        <vt:i4>26</vt:i4>
      </vt:variant>
      <vt:variant>
        <vt:i4>0</vt:i4>
      </vt:variant>
      <vt:variant>
        <vt:i4>5</vt:i4>
      </vt:variant>
      <vt:variant>
        <vt:lpwstr/>
      </vt:variant>
      <vt:variant>
        <vt:lpwstr>_Toc526926658</vt:lpwstr>
      </vt:variant>
      <vt:variant>
        <vt:i4>2031671</vt:i4>
      </vt:variant>
      <vt:variant>
        <vt:i4>20</vt:i4>
      </vt:variant>
      <vt:variant>
        <vt:i4>0</vt:i4>
      </vt:variant>
      <vt:variant>
        <vt:i4>5</vt:i4>
      </vt:variant>
      <vt:variant>
        <vt:lpwstr/>
      </vt:variant>
      <vt:variant>
        <vt:lpwstr>_Toc526926657</vt:lpwstr>
      </vt:variant>
      <vt:variant>
        <vt:i4>2031671</vt:i4>
      </vt:variant>
      <vt:variant>
        <vt:i4>14</vt:i4>
      </vt:variant>
      <vt:variant>
        <vt:i4>0</vt:i4>
      </vt:variant>
      <vt:variant>
        <vt:i4>5</vt:i4>
      </vt:variant>
      <vt:variant>
        <vt:lpwstr/>
      </vt:variant>
      <vt:variant>
        <vt:lpwstr>_Toc526926656</vt:lpwstr>
      </vt:variant>
      <vt:variant>
        <vt:i4>2031671</vt:i4>
      </vt:variant>
      <vt:variant>
        <vt:i4>8</vt:i4>
      </vt:variant>
      <vt:variant>
        <vt:i4>0</vt:i4>
      </vt:variant>
      <vt:variant>
        <vt:i4>5</vt:i4>
      </vt:variant>
      <vt:variant>
        <vt:lpwstr/>
      </vt:variant>
      <vt:variant>
        <vt:lpwstr>_Toc526926655</vt:lpwstr>
      </vt:variant>
      <vt:variant>
        <vt:i4>65633</vt:i4>
      </vt:variant>
      <vt:variant>
        <vt:i4>3</vt:i4>
      </vt:variant>
      <vt:variant>
        <vt:i4>0</vt:i4>
      </vt:variant>
      <vt:variant>
        <vt:i4>5</vt:i4>
      </vt:variant>
      <vt:variant>
        <vt:lpwstr>mailto:enquiry@melbournewater.com.au</vt:lpwstr>
      </vt:variant>
      <vt:variant>
        <vt:lpwstr/>
      </vt:variant>
      <vt:variant>
        <vt:i4>4980818</vt:i4>
      </vt:variant>
      <vt:variant>
        <vt:i4>0</vt:i4>
      </vt:variant>
      <vt:variant>
        <vt:i4>0</vt:i4>
      </vt:variant>
      <vt:variant>
        <vt:i4>5</vt:i4>
      </vt:variant>
      <vt:variant>
        <vt:lpwstr>http://www.melbournewater.com.au/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Melbourne Water Annual Report 2020-21</dc:title>
  <dc:subject/>
  <dc:creator/>
  <cp:keywords/>
  <dc:description/>
  <cp:lastModifiedBy/>
  <cp:revision>1</cp:revision>
  <dcterms:created xsi:type="dcterms:W3CDTF">2021-12-14T09:29:00Z</dcterms:created>
  <dcterms:modified xsi:type="dcterms:W3CDTF">2022-01-21T01:08:00Z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ies>
</file>